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85ACA" w14:textId="77777777" w:rsidR="00D9058C" w:rsidRPr="00A538B5" w:rsidRDefault="00D9058C" w:rsidP="00D9058C">
      <w:pPr>
        <w:pBdr>
          <w:bottom w:val="single" w:sz="4" w:space="1" w:color="auto"/>
        </w:pBdr>
        <w:tabs>
          <w:tab w:val="right" w:pos="9026"/>
        </w:tabs>
        <w:spacing w:after="160" w:line="360" w:lineRule="auto"/>
        <w:jc w:val="both"/>
        <w:rPr>
          <w:rFonts w:ascii="Sylfaen" w:hAnsi="Sylfaen"/>
          <w:i/>
        </w:rPr>
      </w:pPr>
      <w:r>
        <w:rPr>
          <w:rFonts w:ascii="Sylfaen" w:hAnsi="Sylfaen"/>
          <w:i/>
        </w:rPr>
        <w:t xml:space="preserve">Essay </w:t>
      </w:r>
      <w:r>
        <w:rPr>
          <w:rFonts w:ascii="Sylfaen" w:hAnsi="Sylfaen"/>
          <w:i/>
        </w:rPr>
        <w:tab/>
      </w:r>
    </w:p>
    <w:p w14:paraId="5F0B2082" w14:textId="664CF5BC" w:rsidR="00D9058C" w:rsidRPr="00DE720D" w:rsidRDefault="00A34692" w:rsidP="00D9058C">
      <w:pPr>
        <w:spacing w:after="160" w:line="360" w:lineRule="auto"/>
        <w:jc w:val="both"/>
        <w:rPr>
          <w:rFonts w:ascii="Sylfaen" w:hAnsi="Sylfaen"/>
          <w:sz w:val="48"/>
          <w:szCs w:val="48"/>
        </w:rPr>
      </w:pPr>
      <w:r>
        <w:rPr>
          <w:rFonts w:ascii="Sylfaen" w:hAnsi="Sylfaen"/>
          <w:b/>
          <w:bCs/>
          <w:sz w:val="48"/>
          <w:szCs w:val="48"/>
        </w:rPr>
        <w:t>H</w:t>
      </w:r>
      <w:r w:rsidR="00D9058C" w:rsidRPr="00D9058C">
        <w:rPr>
          <w:rFonts w:ascii="Sylfaen" w:hAnsi="Sylfaen"/>
          <w:b/>
          <w:bCs/>
          <w:sz w:val="48"/>
          <w:szCs w:val="48"/>
        </w:rPr>
        <w:t xml:space="preserve">ow can policy makers effectively use </w:t>
      </w:r>
      <w:r w:rsidRPr="00D9058C">
        <w:rPr>
          <w:rFonts w:ascii="Sylfaen" w:hAnsi="Sylfaen"/>
          <w:b/>
          <w:bCs/>
          <w:sz w:val="48"/>
          <w:szCs w:val="48"/>
        </w:rPr>
        <w:t xml:space="preserve">behavioural nudges </w:t>
      </w:r>
      <w:r w:rsidR="00D9058C" w:rsidRPr="00D9058C">
        <w:rPr>
          <w:rFonts w:ascii="Sylfaen" w:hAnsi="Sylfaen"/>
          <w:b/>
          <w:bCs/>
          <w:sz w:val="48"/>
          <w:szCs w:val="48"/>
        </w:rPr>
        <w:t xml:space="preserve">to overcome market inefficiencies? </w:t>
      </w:r>
    </w:p>
    <w:p w14:paraId="393D0A50" w14:textId="123D6B3A" w:rsidR="002E2518" w:rsidRDefault="002E2518" w:rsidP="00D9058C">
      <w:pPr>
        <w:spacing w:after="160" w:line="360" w:lineRule="auto"/>
        <w:jc w:val="both"/>
        <w:rPr>
          <w:rFonts w:ascii="Sylfaen" w:hAnsi="Sylfaen"/>
        </w:rPr>
      </w:pPr>
      <w:proofErr w:type="spellStart"/>
      <w:r>
        <w:rPr>
          <w:rFonts w:ascii="Sylfaen" w:hAnsi="Sylfaen"/>
        </w:rPr>
        <w:t>Akshana</w:t>
      </w:r>
      <w:proofErr w:type="spellEnd"/>
      <w:r>
        <w:rPr>
          <w:rFonts w:ascii="Sylfaen" w:hAnsi="Sylfaen"/>
        </w:rPr>
        <w:t xml:space="preserve"> Ravikumar</w:t>
      </w:r>
    </w:p>
    <w:p w14:paraId="0A09B673" w14:textId="24C1C8B2" w:rsidR="00D9058C" w:rsidRPr="00331418" w:rsidRDefault="00D9058C" w:rsidP="00D9058C">
      <w:pPr>
        <w:spacing w:after="160" w:line="360" w:lineRule="auto"/>
        <w:jc w:val="both"/>
        <w:rPr>
          <w:rFonts w:ascii="Sylfaen" w:hAnsi="Sylfaen"/>
        </w:rPr>
      </w:pPr>
      <w:r w:rsidRPr="00331418">
        <w:rPr>
          <w:rFonts w:ascii="Sylfaen" w:hAnsi="Sylfaen"/>
        </w:rPr>
        <w:t>University of Essex</w:t>
      </w:r>
      <w:r w:rsidR="003645AF">
        <w:rPr>
          <w:rFonts w:ascii="Sylfaen" w:hAnsi="Sylfaen"/>
          <w:noProof/>
        </w:rPr>
        <w:pict w14:anchorId="072BA102">
          <v:rect id="_x0000_i1025" alt="" style="width:451.3pt;height:.05pt;mso-width-percent:0;mso-height-percent:0;mso-width-percent:0;mso-height-percent:0" o:hralign="center" o:hrstd="t" o:hr="t" fillcolor="#a0a0a0" stroked="f"/>
        </w:pict>
      </w:r>
    </w:p>
    <w:p w14:paraId="31A90A42" w14:textId="16CE5C14" w:rsidR="00D9058C" w:rsidRDefault="00D9058C" w:rsidP="00D9058C">
      <w:pPr>
        <w:pStyle w:val="Heading1"/>
        <w:spacing w:after="160" w:line="360" w:lineRule="auto"/>
        <w:jc w:val="both"/>
        <w:rPr>
          <w:rFonts w:ascii="Sylfaen" w:hAnsi="Sylfaen"/>
          <w:b/>
          <w:color w:val="auto"/>
          <w:sz w:val="22"/>
        </w:rPr>
      </w:pPr>
      <w:r w:rsidRPr="00ED039A">
        <w:rPr>
          <w:rFonts w:ascii="Sylfaen" w:hAnsi="Sylfaen"/>
          <w:b/>
          <w:color w:val="auto"/>
          <w:sz w:val="22"/>
        </w:rPr>
        <w:t>Abstract</w:t>
      </w:r>
    </w:p>
    <w:p w14:paraId="05AF3839" w14:textId="43F01B33" w:rsidR="00D9058C" w:rsidRPr="00D9058C" w:rsidRDefault="00D9058C" w:rsidP="00E4073C">
      <w:pPr>
        <w:spacing w:line="360" w:lineRule="auto"/>
        <w:ind w:left="720"/>
        <w:jc w:val="both"/>
      </w:pPr>
      <w:r>
        <w:rPr>
          <w:rFonts w:ascii="Sylfaen" w:hAnsi="Sylfaen"/>
        </w:rPr>
        <w:t xml:space="preserve">This essay will examine what behavioural nudges are along with the methods that policy makers </w:t>
      </w:r>
      <w:r w:rsidR="00A34692">
        <w:rPr>
          <w:rFonts w:ascii="Sylfaen" w:hAnsi="Sylfaen"/>
        </w:rPr>
        <w:t>have used and can use</w:t>
      </w:r>
      <w:r>
        <w:rPr>
          <w:rFonts w:ascii="Sylfaen" w:hAnsi="Sylfaen"/>
        </w:rPr>
        <w:t xml:space="preserve"> to enforce certain behaviours to prevent market failures. </w:t>
      </w:r>
      <w:r w:rsidR="00A34692">
        <w:rPr>
          <w:rFonts w:ascii="Sylfaen" w:hAnsi="Sylfaen"/>
        </w:rPr>
        <w:t xml:space="preserve">In part one of this paper, we will be discussing the importance of behavioural nudges by observing both sides of the argument. In the second part of the paper, we will be exploring the influence nudges have in overcoming market inefficiencies. In addition, the paper discusses the results </w:t>
      </w:r>
      <w:r w:rsidR="00D2590E">
        <w:rPr>
          <w:rFonts w:ascii="Sylfaen" w:hAnsi="Sylfaen"/>
        </w:rPr>
        <w:t>detected</w:t>
      </w:r>
      <w:r w:rsidR="00A34692" w:rsidRPr="00D9058C">
        <w:rPr>
          <w:rFonts w:ascii="Sylfaen" w:hAnsi="Sylfaen"/>
        </w:rPr>
        <w:t xml:space="preserve"> in both Sweden and in the United States of America (USA)</w:t>
      </w:r>
      <w:r w:rsidR="00D2590E">
        <w:rPr>
          <w:rFonts w:ascii="Sylfaen" w:hAnsi="Sylfaen"/>
        </w:rPr>
        <w:t xml:space="preserve">, when observing food labelling and found positive results from both countries. </w:t>
      </w:r>
      <w:r w:rsidR="00A34692">
        <w:rPr>
          <w:rFonts w:ascii="Sylfaen" w:hAnsi="Sylfaen"/>
        </w:rPr>
        <w:t>To support our argument, w</w:t>
      </w:r>
      <w:r>
        <w:rPr>
          <w:rFonts w:ascii="Sylfaen" w:hAnsi="Sylfaen"/>
        </w:rPr>
        <w:t xml:space="preserve">e will </w:t>
      </w:r>
      <w:r w:rsidR="00D2590E">
        <w:rPr>
          <w:rFonts w:ascii="Sylfaen" w:hAnsi="Sylfaen"/>
        </w:rPr>
        <w:t xml:space="preserve">also </w:t>
      </w:r>
      <w:r>
        <w:rPr>
          <w:rFonts w:ascii="Sylfaen" w:hAnsi="Sylfaen"/>
        </w:rPr>
        <w:t xml:space="preserve">be </w:t>
      </w:r>
      <w:r w:rsidR="00A34692">
        <w:rPr>
          <w:rFonts w:ascii="Sylfaen" w:hAnsi="Sylfaen"/>
        </w:rPr>
        <w:t>investigating</w:t>
      </w:r>
      <w:r>
        <w:rPr>
          <w:rFonts w:ascii="Sylfaen" w:hAnsi="Sylfaen"/>
        </w:rPr>
        <w:t xml:space="preserve"> key examples of nudges that have been successful and unsuccessful</w:t>
      </w:r>
      <w:r w:rsidR="00A34692">
        <w:rPr>
          <w:rFonts w:ascii="Sylfaen" w:hAnsi="Sylfaen"/>
        </w:rPr>
        <w:t xml:space="preserve"> in the current economy</w:t>
      </w:r>
      <w:r>
        <w:rPr>
          <w:rFonts w:ascii="Sylfaen" w:hAnsi="Sylfaen"/>
        </w:rPr>
        <w:t>.</w:t>
      </w:r>
    </w:p>
    <w:p w14:paraId="0FD76649" w14:textId="58F28B3F" w:rsidR="00D9058C" w:rsidRDefault="00D9058C" w:rsidP="00D9058C">
      <w:pPr>
        <w:spacing w:after="160" w:line="360" w:lineRule="auto"/>
        <w:jc w:val="both"/>
        <w:rPr>
          <w:rFonts w:ascii="Sylfaen" w:hAnsi="Sylfaen"/>
        </w:rPr>
      </w:pPr>
      <w:r w:rsidRPr="001767D0">
        <w:rPr>
          <w:rStyle w:val="Heading1Char"/>
          <w:rFonts w:ascii="Sylfaen" w:hAnsi="Sylfaen"/>
          <w:b/>
          <w:bCs/>
          <w:color w:val="000000" w:themeColor="text1"/>
          <w:sz w:val="22"/>
          <w:szCs w:val="22"/>
        </w:rPr>
        <w:t>Keywords</w:t>
      </w:r>
      <w:r>
        <w:rPr>
          <w:rFonts w:ascii="Sylfaen" w:hAnsi="Sylfaen"/>
          <w:b/>
        </w:rPr>
        <w:t>:</w:t>
      </w:r>
      <w:r w:rsidRPr="00331418">
        <w:rPr>
          <w:rFonts w:ascii="Sylfaen" w:hAnsi="Sylfaen"/>
        </w:rPr>
        <w:t xml:space="preserve">  </w:t>
      </w:r>
      <w:r>
        <w:rPr>
          <w:rFonts w:ascii="Sylfaen" w:hAnsi="Sylfaen"/>
        </w:rPr>
        <w:t>Behavioural economics, nudges, policy makers</w:t>
      </w:r>
    </w:p>
    <w:p w14:paraId="557BBDC2" w14:textId="7397DF8D" w:rsidR="00D9058C" w:rsidRPr="001767D0" w:rsidRDefault="00984843" w:rsidP="001767D0">
      <w:pPr>
        <w:pStyle w:val="Heading1"/>
        <w:rPr>
          <w:rFonts w:ascii="Sylfaen" w:hAnsi="Sylfaen"/>
          <w:b/>
          <w:bCs/>
          <w:color w:val="000000" w:themeColor="text1"/>
          <w:sz w:val="22"/>
          <w:szCs w:val="22"/>
        </w:rPr>
      </w:pPr>
      <w:r w:rsidRPr="001767D0">
        <w:rPr>
          <w:rFonts w:ascii="Sylfaen" w:hAnsi="Sylfaen"/>
          <w:b/>
          <w:bCs/>
          <w:color w:val="000000" w:themeColor="text1"/>
          <w:sz w:val="22"/>
          <w:szCs w:val="22"/>
        </w:rPr>
        <w:t>Introduction</w:t>
      </w:r>
    </w:p>
    <w:p w14:paraId="2F6B733A" w14:textId="52F693D6" w:rsidR="00D9058C" w:rsidRPr="00D9058C" w:rsidRDefault="00D9058C" w:rsidP="00D9058C">
      <w:pPr>
        <w:spacing w:line="360" w:lineRule="auto"/>
        <w:jc w:val="both"/>
        <w:rPr>
          <w:rFonts w:ascii="Sylfaen" w:hAnsi="Sylfaen"/>
        </w:rPr>
      </w:pPr>
      <w:r w:rsidRPr="00D9058C">
        <w:rPr>
          <w:rFonts w:ascii="Sylfaen" w:hAnsi="Sylfaen"/>
        </w:rPr>
        <w:t xml:space="preserve">Over many years, behavioural nudges have been used as part of the government’s policy making decisions as well as been a large topic of interest in behavioural economics. Behavioural nudges became a topic of interest following the ‘publication of the best seller Nudge </w:t>
      </w:r>
      <w:r w:rsidR="004E074A">
        <w:rPr>
          <w:rFonts w:ascii="Sylfaen" w:hAnsi="Sylfaen"/>
        </w:rPr>
        <w:t xml:space="preserve">by </w:t>
      </w:r>
      <w:r w:rsidRPr="00D9058C">
        <w:rPr>
          <w:rFonts w:ascii="Sylfaen" w:hAnsi="Sylfaen"/>
        </w:rPr>
        <w:t xml:space="preserve">Thaler and Sunstein </w:t>
      </w:r>
      <w:r w:rsidR="004E074A">
        <w:rPr>
          <w:rFonts w:ascii="Sylfaen" w:hAnsi="Sylfaen"/>
        </w:rPr>
        <w:t>(</w:t>
      </w:r>
      <w:r w:rsidRPr="00D9058C">
        <w:rPr>
          <w:rFonts w:ascii="Sylfaen" w:hAnsi="Sylfaen"/>
        </w:rPr>
        <w:t>2008)’ as mentioned in Bogliacino</w:t>
      </w:r>
      <w:r w:rsidR="004E074A">
        <w:rPr>
          <w:rFonts w:ascii="Sylfaen" w:hAnsi="Sylfaen"/>
        </w:rPr>
        <w:t xml:space="preserve"> et al, (</w:t>
      </w:r>
      <w:r w:rsidRPr="00D9058C">
        <w:rPr>
          <w:rFonts w:ascii="Sylfaen" w:hAnsi="Sylfaen"/>
        </w:rPr>
        <w:t>2016). It is defined as any form of influence on an individual’s choice making. It is assumed that these nudges allow people to ‘make choices that are rational, self-interested and consistent’ (Leicester</w:t>
      </w:r>
      <w:r w:rsidR="004E074A">
        <w:rPr>
          <w:rFonts w:ascii="Sylfaen" w:hAnsi="Sylfaen"/>
        </w:rPr>
        <w:t xml:space="preserve"> et al, </w:t>
      </w:r>
      <w:r w:rsidRPr="00D9058C">
        <w:rPr>
          <w:rFonts w:ascii="Sylfaen" w:hAnsi="Sylfaen"/>
        </w:rPr>
        <w:t xml:space="preserve">2012). There are indirect and direct forms </w:t>
      </w:r>
      <w:r w:rsidRPr="00D9058C">
        <w:rPr>
          <w:rFonts w:ascii="Sylfaen" w:hAnsi="Sylfaen"/>
        </w:rPr>
        <w:lastRenderedPageBreak/>
        <w:t xml:space="preserve">of nudges for example, exchanging sugary desserts for fruits is an example of indirect nudge and warning drivers to drive within the limit to avoid a fine is a form of direct nudge. A nudge can provide guidance for the individual to not only </w:t>
      </w:r>
      <w:proofErr w:type="gramStart"/>
      <w:r w:rsidRPr="00D9058C">
        <w:rPr>
          <w:rFonts w:ascii="Sylfaen" w:hAnsi="Sylfaen"/>
        </w:rPr>
        <w:t>make a decision</w:t>
      </w:r>
      <w:proofErr w:type="gramEnd"/>
      <w:r w:rsidRPr="00D9058C">
        <w:rPr>
          <w:rFonts w:ascii="Sylfaen" w:hAnsi="Sylfaen"/>
        </w:rPr>
        <w:t xml:space="preserve"> but to also ‘behave in a particular way’ (Nudge theory - Wikipedia, 2021). The concept of behavioural nudges is that they provide ‘positive reinforcements’ when aiding individuals with their decisions. The need for nudges arises from many theories, but most importantly the use for it comes in handy when attempting to avoid market inefficiencies. This ‘exist due to information asymmetries, transaction costs, market psychology, and human emotion’ (Hayes, 2020). Government policy makers use these nudges to achieve obeyance in sectors such as health, education, and enforcement. We will explore these sectors in detail late on. Subsequently, we will also be looking into successful and unsuccessful forms of nudges that have been previously implemented. With this in mind, this paper will function by providing the theories behind behavioural nudges, the need for it and whether they have been successful so far. </w:t>
      </w:r>
    </w:p>
    <w:p w14:paraId="12B7DB6D" w14:textId="1103C0C3" w:rsidR="00DE720D" w:rsidRPr="001767D0" w:rsidRDefault="00DE720D" w:rsidP="001767D0">
      <w:pPr>
        <w:pStyle w:val="Heading1"/>
        <w:rPr>
          <w:rFonts w:ascii="Sylfaen" w:hAnsi="Sylfaen"/>
          <w:b/>
          <w:bCs/>
          <w:color w:val="000000" w:themeColor="text1"/>
          <w:sz w:val="22"/>
          <w:szCs w:val="22"/>
        </w:rPr>
      </w:pPr>
      <w:r w:rsidRPr="001767D0">
        <w:rPr>
          <w:rFonts w:ascii="Sylfaen" w:hAnsi="Sylfaen"/>
          <w:b/>
          <w:bCs/>
          <w:color w:val="000000" w:themeColor="text1"/>
          <w:sz w:val="22"/>
          <w:szCs w:val="22"/>
        </w:rPr>
        <w:t>Theory on behavioural nudges</w:t>
      </w:r>
    </w:p>
    <w:p w14:paraId="402B0351" w14:textId="6DD86BF6" w:rsidR="00D9058C" w:rsidRPr="00D9058C" w:rsidRDefault="00D9058C" w:rsidP="00D9058C">
      <w:pPr>
        <w:spacing w:line="360" w:lineRule="auto"/>
        <w:jc w:val="both"/>
        <w:rPr>
          <w:rFonts w:ascii="Sylfaen" w:hAnsi="Sylfaen"/>
        </w:rPr>
      </w:pPr>
      <w:r w:rsidRPr="00D9058C">
        <w:rPr>
          <w:rFonts w:ascii="Sylfaen" w:hAnsi="Sylfaen"/>
        </w:rPr>
        <w:t>A number of researchers have attempted to understand the concept of behavioural nudges for numerous decades. As mentioned earlier, the purpose of nudges is to improve an individual’s decision-making process by providing extra information that can allow the said person to make a better-informed decision. This can come in the form of advertising the drawbacks of smoking and drinking or illustrating the disadvantages of an unhealthy diet to name a few. There are few methods that have previously been used till this day to better inform an individual. Policy makers utilise schools and other educational institutes to set examples by educating younger students of the benefits of healthy eating. They also implemented this rule through the sugar tax which was introduced in January 2014 to combat the UK’s obesity. An example of a</w:t>
      </w:r>
      <w:r>
        <w:rPr>
          <w:rFonts w:ascii="Sylfaen" w:hAnsi="Sylfaen"/>
        </w:rPr>
        <w:t xml:space="preserve"> </w:t>
      </w:r>
      <w:r w:rsidRPr="00D9058C">
        <w:rPr>
          <w:rFonts w:ascii="Sylfaen" w:hAnsi="Sylfaen"/>
        </w:rPr>
        <w:t>positive behavioural nudge is when schools started to provide fruits in place of sugary desserts. This change has created a positive effect as it has allowed children to be healthier and parents to be more aware of what their children are being served at school. Arno and Thomas (2016) also pinpoint a similar finding that ‘items placed at eye-level in a supermarket may be selected more frequently than those near the floor’ which further reinforces a positive nudge. In contrast, as a result of Covid-19 and schools being closed because of the pandemic, many children from low-income households have unfortunately been neglected and consequently</w:t>
      </w:r>
      <w:r w:rsidR="004E074A">
        <w:rPr>
          <w:rFonts w:ascii="Sylfaen" w:hAnsi="Sylfaen"/>
        </w:rPr>
        <w:t>,</w:t>
      </w:r>
      <w:r w:rsidRPr="00D9058C">
        <w:rPr>
          <w:rFonts w:ascii="Sylfaen" w:hAnsi="Sylfaen"/>
        </w:rPr>
        <w:t xml:space="preserve"> statistics have shown that the ‘average intake of fruits...fell from just over one portion a day to half a portion a day’ (Baraniuk, 2020). </w:t>
      </w:r>
    </w:p>
    <w:p w14:paraId="0254985E" w14:textId="780FDA11" w:rsidR="00D9058C" w:rsidRDefault="00D9058C" w:rsidP="00DE720D">
      <w:pPr>
        <w:spacing w:line="360" w:lineRule="auto"/>
        <w:ind w:firstLine="720"/>
        <w:jc w:val="both"/>
        <w:rPr>
          <w:rFonts w:ascii="Sylfaen" w:hAnsi="Sylfaen"/>
        </w:rPr>
      </w:pPr>
      <w:r w:rsidRPr="00D9058C">
        <w:rPr>
          <w:rFonts w:ascii="Sylfaen" w:hAnsi="Sylfaen"/>
        </w:rPr>
        <w:lastRenderedPageBreak/>
        <w:t>Despite this it is also thought that, in many cases according to Bogliacino</w:t>
      </w:r>
      <w:r w:rsidR="004E074A">
        <w:rPr>
          <w:rFonts w:ascii="Sylfaen" w:hAnsi="Sylfaen"/>
        </w:rPr>
        <w:t xml:space="preserve"> et al,</w:t>
      </w:r>
      <w:r w:rsidRPr="00D9058C">
        <w:rPr>
          <w:rFonts w:ascii="Sylfaen" w:hAnsi="Sylfaen"/>
        </w:rPr>
        <w:t xml:space="preserve"> </w:t>
      </w:r>
      <w:r w:rsidR="004E074A">
        <w:rPr>
          <w:rFonts w:ascii="Sylfaen" w:hAnsi="Sylfaen"/>
        </w:rPr>
        <w:t>(</w:t>
      </w:r>
      <w:r w:rsidRPr="00D9058C">
        <w:rPr>
          <w:rFonts w:ascii="Sylfaen" w:hAnsi="Sylfaen"/>
        </w:rPr>
        <w:t xml:space="preserve">2016) ‘behaviourally informed policy interventions are complex and require new’ forms of interventions unlike the neutral ones exhibited by Thaler and Sunstein (2008). Furthermore, Fischhoff and Eggers </w:t>
      </w:r>
      <w:r w:rsidR="004E074A">
        <w:rPr>
          <w:rFonts w:ascii="Sylfaen" w:hAnsi="Sylfaen"/>
        </w:rPr>
        <w:t>(</w:t>
      </w:r>
      <w:r w:rsidRPr="00D9058C">
        <w:rPr>
          <w:rFonts w:ascii="Sylfaen" w:hAnsi="Sylfaen"/>
        </w:rPr>
        <w:t xml:space="preserve">2013) as cited in </w:t>
      </w:r>
      <w:r w:rsidR="004E074A">
        <w:rPr>
          <w:rFonts w:ascii="Sylfaen" w:hAnsi="Sylfaen"/>
        </w:rPr>
        <w:t>(</w:t>
      </w:r>
      <w:r w:rsidRPr="00D9058C">
        <w:rPr>
          <w:rFonts w:ascii="Sylfaen" w:hAnsi="Sylfaen"/>
        </w:rPr>
        <w:t>Bogliacino</w:t>
      </w:r>
      <w:r w:rsidR="004E074A">
        <w:rPr>
          <w:rFonts w:ascii="Sylfaen" w:hAnsi="Sylfaen"/>
        </w:rPr>
        <w:t xml:space="preserve"> et al, </w:t>
      </w:r>
      <w:r w:rsidRPr="00D9058C">
        <w:rPr>
          <w:rFonts w:ascii="Sylfaen" w:hAnsi="Sylfaen"/>
        </w:rPr>
        <w:t xml:space="preserve">2016), argue that behavioural nudges disregard the phases needed to implement a positive behavioural insight. </w:t>
      </w:r>
      <w:r w:rsidR="004E074A">
        <w:rPr>
          <w:rFonts w:ascii="Sylfaen" w:hAnsi="Sylfaen"/>
        </w:rPr>
        <w:t>These</w:t>
      </w:r>
      <w:r w:rsidRPr="00D9058C">
        <w:rPr>
          <w:rFonts w:ascii="Sylfaen" w:hAnsi="Sylfaen"/>
        </w:rPr>
        <w:t xml:space="preserve"> most common assumptions in relation to behavioural insight are that consumers are consistent, </w:t>
      </w:r>
      <w:r w:rsidR="004E074A" w:rsidRPr="00D9058C">
        <w:rPr>
          <w:rFonts w:ascii="Sylfaen" w:hAnsi="Sylfaen"/>
        </w:rPr>
        <w:t>rational,</w:t>
      </w:r>
      <w:r w:rsidRPr="00D9058C">
        <w:rPr>
          <w:rFonts w:ascii="Sylfaen" w:hAnsi="Sylfaen"/>
        </w:rPr>
        <w:t xml:space="preserve"> and self-interested (Leicester,</w:t>
      </w:r>
      <w:r w:rsidR="004E074A">
        <w:rPr>
          <w:rFonts w:ascii="Sylfaen" w:hAnsi="Sylfaen"/>
        </w:rPr>
        <w:t xml:space="preserve"> et al, </w:t>
      </w:r>
      <w:r w:rsidRPr="00D9058C">
        <w:rPr>
          <w:rFonts w:ascii="Sylfaen" w:hAnsi="Sylfaen"/>
        </w:rPr>
        <w:t>2012). For example, they pay particular attention to three methods needed: ‘normative analysis’ which utilises available resources to predict the choice the individual would make. Secondly, ‘descriptive analysis’ identifies the decision an individual would make predominately based on the policies that are existent. Lastly, ‘prescriptive analysis’ embodies and distinguishes the ‘gap’ between both the normative and descriptive steps taken forward. Despite this, there are also limitations to this conviction. It can be disputed that despite policy makers researching and nudging individuals to make a better-informed decision, ‘without knowing individuals’ values, analysts cannot identify evidence relevant to their choices’ (Bogliacino</w:t>
      </w:r>
      <w:r w:rsidR="004E074A">
        <w:rPr>
          <w:rFonts w:ascii="Sylfaen" w:hAnsi="Sylfaen"/>
        </w:rPr>
        <w:t xml:space="preserve"> et al, </w:t>
      </w:r>
      <w:r w:rsidRPr="00D9058C">
        <w:rPr>
          <w:rFonts w:ascii="Sylfaen" w:hAnsi="Sylfaen"/>
        </w:rPr>
        <w:t xml:space="preserve">2016). In the next section, we will be exploring the arguments for nudges and highlighting examples positive nudges. </w:t>
      </w:r>
    </w:p>
    <w:p w14:paraId="755C4095" w14:textId="16C1BFC1" w:rsidR="00DE720D" w:rsidRPr="00260455" w:rsidRDefault="00DE720D" w:rsidP="001767D0">
      <w:pPr>
        <w:pStyle w:val="Heading1"/>
        <w:rPr>
          <w:rFonts w:ascii="Sylfaen" w:hAnsi="Sylfaen" w:cs="Times New Roman"/>
          <w:b/>
          <w:bCs/>
          <w:color w:val="000000" w:themeColor="text1"/>
          <w:sz w:val="22"/>
          <w:szCs w:val="22"/>
        </w:rPr>
      </w:pPr>
      <w:r w:rsidRPr="00260455">
        <w:rPr>
          <w:rFonts w:ascii="Sylfaen" w:hAnsi="Sylfaen" w:cs="Times New Roman"/>
          <w:b/>
          <w:bCs/>
          <w:color w:val="000000" w:themeColor="text1"/>
          <w:sz w:val="22"/>
          <w:szCs w:val="22"/>
        </w:rPr>
        <w:t>Argument supporting nudges</w:t>
      </w:r>
    </w:p>
    <w:p w14:paraId="06C6DC9F" w14:textId="31DF630D" w:rsidR="00D9058C" w:rsidRPr="00D9058C" w:rsidRDefault="00D9058C" w:rsidP="00D9058C">
      <w:pPr>
        <w:spacing w:line="360" w:lineRule="auto"/>
        <w:jc w:val="both"/>
        <w:rPr>
          <w:rFonts w:ascii="Sylfaen" w:hAnsi="Sylfaen"/>
        </w:rPr>
      </w:pPr>
      <w:r w:rsidRPr="00D9058C">
        <w:rPr>
          <w:rFonts w:ascii="Sylfaen" w:hAnsi="Sylfaen"/>
        </w:rPr>
        <w:t xml:space="preserve">As discussed earlier, the concept of nudges has been given particular attention and many researchers have shown interest by supporting the view that nudges are beneficial. The argument is whether ‘should nudging be deemed as permissible... intrusive to individuals’ freedom of choice?’ in Hagman </w:t>
      </w:r>
      <w:r w:rsidRPr="00D9058C">
        <w:rPr>
          <w:rFonts w:ascii="Sylfaen" w:hAnsi="Sylfaen"/>
          <w:i/>
          <w:iCs/>
        </w:rPr>
        <w:t>et al.</w:t>
      </w:r>
      <w:r w:rsidRPr="00D9058C">
        <w:rPr>
          <w:rFonts w:ascii="Sylfaen" w:hAnsi="Sylfaen"/>
        </w:rPr>
        <w:t xml:space="preserve">, (2015) </w:t>
      </w:r>
    </w:p>
    <w:p w14:paraId="0C1682C0" w14:textId="1A788593" w:rsidR="00D9058C" w:rsidRPr="00D9058C" w:rsidRDefault="00D9058C" w:rsidP="00D9058C">
      <w:pPr>
        <w:spacing w:line="360" w:lineRule="auto"/>
        <w:jc w:val="both"/>
        <w:rPr>
          <w:rFonts w:ascii="Sylfaen" w:hAnsi="Sylfaen"/>
        </w:rPr>
      </w:pPr>
      <w:r w:rsidRPr="00D9058C">
        <w:rPr>
          <w:rFonts w:ascii="Sylfaen" w:hAnsi="Sylfaen"/>
        </w:rPr>
        <w:t>According to Schmidt and Engelen</w:t>
      </w:r>
      <w:r w:rsidR="004E074A">
        <w:rPr>
          <w:rFonts w:ascii="Sylfaen" w:hAnsi="Sylfaen"/>
        </w:rPr>
        <w:t xml:space="preserve"> (</w:t>
      </w:r>
      <w:r w:rsidRPr="00D9058C">
        <w:rPr>
          <w:rFonts w:ascii="Sylfaen" w:hAnsi="Sylfaen"/>
        </w:rPr>
        <w:t>2020) nudges provide a freedom of choice without significantly changing any factors that could contribute to disabling this freedom. The nudge approach plays significance when policy makers create policies that require them to be transparent as possible. In contrast, some argue that there is great concern that too much freedom of choice may eventually ‘sidestep some partisan and ideological disagreements that are so often beset politics’ (</w:t>
      </w:r>
      <w:r w:rsidR="00DD40B1">
        <w:rPr>
          <w:rFonts w:ascii="Sylfaen" w:hAnsi="Sylfaen"/>
        </w:rPr>
        <w:t>ibid</w:t>
      </w:r>
      <w:r w:rsidRPr="00D9058C">
        <w:rPr>
          <w:rFonts w:ascii="Sylfaen" w:hAnsi="Sylfaen"/>
        </w:rPr>
        <w:t xml:space="preserve">). </w:t>
      </w:r>
    </w:p>
    <w:p w14:paraId="56A2B40D" w14:textId="25F9FA2B" w:rsidR="00D9058C" w:rsidRPr="00D9058C" w:rsidRDefault="00D9058C" w:rsidP="00D9058C">
      <w:pPr>
        <w:spacing w:line="360" w:lineRule="auto"/>
        <w:jc w:val="both"/>
        <w:rPr>
          <w:rFonts w:ascii="Sylfaen" w:hAnsi="Sylfaen"/>
        </w:rPr>
      </w:pPr>
      <w:r w:rsidRPr="00D9058C">
        <w:rPr>
          <w:rFonts w:ascii="Sylfaen" w:hAnsi="Sylfaen"/>
        </w:rPr>
        <w:t xml:space="preserve">On the other hand, behavioural nudges created by policy makers can also be more welcomed if people felt their choices were created ‘by parties with whom they can identify’ with in Hagman </w:t>
      </w:r>
      <w:r w:rsidRPr="00D9058C">
        <w:rPr>
          <w:rFonts w:ascii="Sylfaen" w:hAnsi="Sylfaen"/>
          <w:i/>
          <w:iCs/>
        </w:rPr>
        <w:t>et al.</w:t>
      </w:r>
      <w:r w:rsidRPr="00D9058C">
        <w:rPr>
          <w:rFonts w:ascii="Sylfaen" w:hAnsi="Sylfaen"/>
        </w:rPr>
        <w:t xml:space="preserve">, (2015). Similarly, in the context of associating behavioural nudges with policy implementation, it has been expressed that ‘there has been a shifted focus toward using nudges to increase prosocial behavior’ which means ‘serving society at large as opposed to the individual’. This view has been </w:t>
      </w:r>
      <w:r w:rsidRPr="00D9058C">
        <w:rPr>
          <w:rFonts w:ascii="Sylfaen" w:hAnsi="Sylfaen"/>
        </w:rPr>
        <w:lastRenderedPageBreak/>
        <w:t>an increasingly utilised method by policy makers to overcome inefficiencies when setting policies. An example of an environmental (educative) nudge would be to provide recycling bins to every household to set an example to recycle and to achieve the goal of a green nudge</w:t>
      </w:r>
      <w:r w:rsidR="004E074A">
        <w:rPr>
          <w:rFonts w:ascii="Sylfaen" w:hAnsi="Sylfaen"/>
        </w:rPr>
        <w:t>.</w:t>
      </w:r>
      <w:r w:rsidRPr="00D9058C">
        <w:rPr>
          <w:rFonts w:ascii="Sylfaen" w:hAnsi="Sylfaen"/>
        </w:rPr>
        <w:t xml:space="preserve"> By ‘endowing individuals with resources in order to enhance their capacity for reflective choice’ will facilitate overcoming such biases. However, contrary to belief, while we may assume that all individuals will obey to these rules, some decide not to and instead choose ‘to free ride and choose not to recycle’. </w:t>
      </w:r>
    </w:p>
    <w:p w14:paraId="6ED5170B" w14:textId="304E49BE" w:rsidR="00D9058C" w:rsidRDefault="00D9058C" w:rsidP="00D9058C">
      <w:pPr>
        <w:spacing w:line="360" w:lineRule="auto"/>
        <w:jc w:val="both"/>
        <w:rPr>
          <w:rFonts w:ascii="Sylfaen" w:hAnsi="Sylfaen"/>
        </w:rPr>
      </w:pPr>
      <w:r w:rsidRPr="00D9058C">
        <w:rPr>
          <w:rFonts w:ascii="Sylfaen" w:hAnsi="Sylfaen"/>
        </w:rPr>
        <w:t xml:space="preserve">To support the above theoretical perspective on behavioural nudges, an experiment was conducted in Hagman </w:t>
      </w:r>
      <w:r w:rsidRPr="00D9058C">
        <w:rPr>
          <w:rFonts w:ascii="Sylfaen" w:hAnsi="Sylfaen"/>
          <w:i/>
          <w:iCs/>
        </w:rPr>
        <w:t>et al.</w:t>
      </w:r>
      <w:r w:rsidRPr="00D9058C">
        <w:rPr>
          <w:rFonts w:ascii="Sylfaen" w:hAnsi="Sylfaen"/>
        </w:rPr>
        <w:t xml:space="preserve">, (2015) research paper. The experiment was observed in both Sweden and in the United States of America (USA). Both groups were presented with a set of questions and examples to seek to under if these interventions restricted the individuals in any way and if the policies were acceptable. The first set of policies referred to as pro-social ranged from organ donation, climate compensation, energy consumption and avoiding tax evasion. The second set of policies were referred to as pro-self which were categorised as smoking cessation, smoking discouragement, cafeteria re-design and food labelling. The survey responses ‘on all four questions were given on a four-point Likert scale ranging from 1 (not at all) to 4 (very much)’. The themes identified in these responses are apparent in both Sweden and USA, where the policy on ‘food labelling’ was highly accepted. A significantly positive result was found with ‘(86.9% in Sweden and 83.8% in the United States)’. Interestingly, they found no evidence that ‘nudge-policies as intrusive to freedom of choice’ as hypothesised earlier. With this in mind, policy makers can use such behavioural nudges to overcome any issues that may be faced when individuals neglect or do not identify with. When this is the case, policy makers adhere to ensure that social welfare is met and thus it is ‘natural that nudges are used to do just that’. Having said that, there are limitations to this experiment. The data only used two countries and the ‘concept of “one-nudge-fits-all” is not tenable’. Apart from nudges, other factors such as cultural differences can also influence an individual’s decision. </w:t>
      </w:r>
    </w:p>
    <w:p w14:paraId="1C330E24" w14:textId="242767B1" w:rsidR="00DE720D" w:rsidRPr="001767D0" w:rsidRDefault="00DE720D" w:rsidP="001767D0">
      <w:pPr>
        <w:pStyle w:val="Heading1"/>
        <w:rPr>
          <w:rFonts w:ascii="Sylfaen" w:hAnsi="Sylfaen"/>
          <w:b/>
          <w:bCs/>
          <w:color w:val="000000" w:themeColor="text1"/>
          <w:sz w:val="22"/>
          <w:szCs w:val="22"/>
        </w:rPr>
      </w:pPr>
      <w:r w:rsidRPr="001767D0">
        <w:rPr>
          <w:rFonts w:ascii="Sylfaen" w:hAnsi="Sylfaen"/>
          <w:b/>
          <w:bCs/>
          <w:color w:val="000000" w:themeColor="text1"/>
          <w:sz w:val="22"/>
          <w:szCs w:val="22"/>
        </w:rPr>
        <w:t>Argument against nudges</w:t>
      </w:r>
    </w:p>
    <w:p w14:paraId="0E6E381D" w14:textId="61E7A7B0" w:rsidR="00D9058C" w:rsidRPr="00D9058C" w:rsidRDefault="00D9058C" w:rsidP="00D9058C">
      <w:pPr>
        <w:spacing w:line="360" w:lineRule="auto"/>
        <w:jc w:val="both"/>
        <w:rPr>
          <w:rFonts w:ascii="Sylfaen" w:hAnsi="Sylfaen"/>
          <w:b/>
          <w:bCs/>
        </w:rPr>
      </w:pPr>
      <w:r w:rsidRPr="00D9058C">
        <w:rPr>
          <w:rFonts w:ascii="Sylfaen" w:hAnsi="Sylfaen"/>
        </w:rPr>
        <w:t xml:space="preserve">While we have set an argument above supporting the concept of behavioural nudges and setting examples of occasions where they have been successful, nudging has also equally received few censures. Critics question the ability of the nudging theory stipulating only guidance. Some argue that nudging can lead to the loss of freedom of choice and moral values. Hausman &amp; Welch (2010) as cited in Schmidt and Engelen (2020) claims that nudges in fact do not act as a form of guidance </w:t>
      </w:r>
      <w:r w:rsidRPr="00D9058C">
        <w:rPr>
          <w:rFonts w:ascii="Sylfaen" w:hAnsi="Sylfaen"/>
        </w:rPr>
        <w:lastRenderedPageBreak/>
        <w:t xml:space="preserve">but instead ‘pull our strings and employ tricks to get us to do what </w:t>
      </w:r>
      <w:r w:rsidRPr="00D9058C">
        <w:rPr>
          <w:rFonts w:ascii="Sylfaen" w:hAnsi="Sylfaen"/>
          <w:i/>
          <w:iCs/>
        </w:rPr>
        <w:t xml:space="preserve">they </w:t>
      </w:r>
      <w:r w:rsidRPr="00D9058C">
        <w:rPr>
          <w:rFonts w:ascii="Sylfaen" w:hAnsi="Sylfaen"/>
        </w:rPr>
        <w:t xml:space="preserve">want’. This results in our choice not being completely of our own. </w:t>
      </w:r>
    </w:p>
    <w:p w14:paraId="356B59AC" w14:textId="77777777" w:rsidR="00D9058C" w:rsidRPr="00D9058C" w:rsidRDefault="00D9058C" w:rsidP="00D9058C">
      <w:pPr>
        <w:spacing w:line="360" w:lineRule="auto"/>
        <w:jc w:val="both"/>
        <w:rPr>
          <w:rFonts w:ascii="Sylfaen" w:hAnsi="Sylfaen"/>
        </w:rPr>
      </w:pPr>
      <w:r w:rsidRPr="00D9058C">
        <w:rPr>
          <w:rFonts w:ascii="Sylfaen" w:hAnsi="Sylfaen"/>
        </w:rPr>
        <w:t xml:space="preserve">Perhaps the most interesting finding in Schubert (2017) paper, is that ‘transparency makes most nudges somewhat less effective, without, however, eliminating their impact’. As identified earlier, transparency is key to avoid market inefficiencies as this is a result of asymmetric information. According to Bruns </w:t>
      </w:r>
      <w:r w:rsidRPr="00D9058C">
        <w:rPr>
          <w:rFonts w:ascii="Sylfaen" w:hAnsi="Sylfaen"/>
          <w:i/>
          <w:iCs/>
        </w:rPr>
        <w:t>et al</w:t>
      </w:r>
      <w:r w:rsidRPr="00D9058C">
        <w:rPr>
          <w:rFonts w:ascii="Sylfaen" w:hAnsi="Sylfaen"/>
        </w:rPr>
        <w:t xml:space="preserve">., (2016), they believe that ‘full transparency of nudges, thus, may even lead to the opposite outcome than the one intended’. To an extent, this is feasible for example, a handful people will attempt to understand the drawbacks of smoking and slowly quit. Whereas few people will ‘protest against being manipulated’. In contrast to this, according to Reisch and Sunstein (2016), their research found there was a ‘strong majority support for nudges’ from the six countries they studied. However, they also mention that the same six countries ‘reject nudges that offend’ any basic morals that are taken away from its citizens for example, the government should not exploit its power and coerce money from its citizens without their consent. It should also be noted that it is impossible for policy makers to that they are completely aware of an ‘individual preferences necessary to design optimal </w:t>
      </w:r>
      <w:proofErr w:type="gramStart"/>
      <w:r w:rsidRPr="00D9058C">
        <w:rPr>
          <w:rFonts w:ascii="Sylfaen" w:hAnsi="Sylfaen"/>
        </w:rPr>
        <w:t>nudges’</w:t>
      </w:r>
      <w:proofErr w:type="gramEnd"/>
      <w:r w:rsidRPr="00D9058C">
        <w:rPr>
          <w:rFonts w:ascii="Sylfaen" w:hAnsi="Sylfaen"/>
        </w:rPr>
        <w:t xml:space="preserve">. </w:t>
      </w:r>
    </w:p>
    <w:p w14:paraId="7118CC3F" w14:textId="77777777" w:rsidR="00D9058C" w:rsidRPr="00D9058C" w:rsidRDefault="00D9058C" w:rsidP="00D9058C">
      <w:pPr>
        <w:spacing w:line="360" w:lineRule="auto"/>
        <w:jc w:val="both"/>
        <w:rPr>
          <w:rFonts w:ascii="Sylfaen" w:hAnsi="Sylfaen"/>
        </w:rPr>
      </w:pPr>
      <w:r w:rsidRPr="00D9058C">
        <w:rPr>
          <w:rFonts w:ascii="Sylfaen" w:hAnsi="Sylfaen"/>
        </w:rPr>
        <w:t>In summation to the above arguments, Hirschman (1991) as cited in Sunstein (2017) holds the same view about unsuccessful nudges. He claims that while policy makers may observe nudges to have good intentions, it has shown evidence of being ‘futile’. For instance, Hirschman (1991) proclaims that environmental nudges that are utilised to reduce pollution may cause ‘increasing</w:t>
      </w:r>
      <w:r>
        <w:rPr>
          <w:rFonts w:ascii="Sylfaen" w:hAnsi="Sylfaen"/>
        </w:rPr>
        <w:t xml:space="preserve"> </w:t>
      </w:r>
      <w:r w:rsidRPr="00D9058C">
        <w:rPr>
          <w:rFonts w:ascii="Sylfaen" w:hAnsi="Sylfaen"/>
        </w:rPr>
        <w:t xml:space="preserve">energy costs for the most disadvantaged members of society’. Therefore, in the process of attempting to modify the issue, nudges can ‘jeopardize’ this goal. </w:t>
      </w:r>
    </w:p>
    <w:p w14:paraId="026803BC" w14:textId="156D7B7F" w:rsidR="00DE720D" w:rsidRPr="001767D0" w:rsidRDefault="00DE720D" w:rsidP="001767D0">
      <w:pPr>
        <w:pStyle w:val="Heading1"/>
        <w:rPr>
          <w:rFonts w:ascii="Sylfaen" w:hAnsi="Sylfaen"/>
          <w:b/>
          <w:bCs/>
          <w:color w:val="000000" w:themeColor="text1"/>
          <w:sz w:val="22"/>
          <w:szCs w:val="22"/>
        </w:rPr>
      </w:pPr>
      <w:r w:rsidRPr="001767D0">
        <w:rPr>
          <w:rFonts w:ascii="Sylfaen" w:hAnsi="Sylfaen"/>
          <w:b/>
          <w:bCs/>
          <w:color w:val="000000" w:themeColor="text1"/>
          <w:sz w:val="22"/>
          <w:szCs w:val="22"/>
        </w:rPr>
        <w:t>Relationship between nudges and overcoming market inefficiencies</w:t>
      </w:r>
    </w:p>
    <w:p w14:paraId="3ED93441" w14:textId="5F5ACBFA" w:rsidR="00D9058C" w:rsidRPr="00D9058C" w:rsidRDefault="00D9058C" w:rsidP="00D9058C">
      <w:pPr>
        <w:spacing w:line="360" w:lineRule="auto"/>
        <w:jc w:val="both"/>
        <w:rPr>
          <w:rFonts w:ascii="Sylfaen" w:hAnsi="Sylfaen"/>
        </w:rPr>
      </w:pPr>
      <w:r w:rsidRPr="00D9058C">
        <w:rPr>
          <w:rFonts w:ascii="Sylfaen" w:hAnsi="Sylfaen"/>
        </w:rPr>
        <w:t>Leicester</w:t>
      </w:r>
      <w:r w:rsidR="004E074A">
        <w:rPr>
          <w:rFonts w:ascii="Sylfaen" w:hAnsi="Sylfaen"/>
        </w:rPr>
        <w:t xml:space="preserve"> et al, </w:t>
      </w:r>
      <w:r w:rsidRPr="00D9058C">
        <w:rPr>
          <w:rFonts w:ascii="Sylfaen" w:hAnsi="Sylfaen"/>
        </w:rPr>
        <w:t xml:space="preserve">(2012) discusses extensively on the relationship between behavioural nudges and how to overcome market inefficiencies/ failure. As mentioned earlier, market inefficiencies occur ‘due to information asymmetries, transaction costs, market psychology, and human emotion’ (Hayes, 2020). As a result of market inefficiencies that occur in the economy, policy makers are constantly regulating this to ensure that the any issues are kept to minimal. As a result of this, policy makers use nudges as a form of intervention to overcome these problems. As discussed in the previous section, behavioural nudges functions only as a form of guidance to allow the individual to make a better-informed decision. In the case of market inefficiency, whereby policy makers are </w:t>
      </w:r>
      <w:r w:rsidRPr="00D9058C">
        <w:rPr>
          <w:rFonts w:ascii="Sylfaen" w:hAnsi="Sylfaen"/>
        </w:rPr>
        <w:lastRenderedPageBreak/>
        <w:t>tacking asymmetric information, nudging may not prove to be sufficient. An example of an unsuccessful nudge is the introduction of benefits to unemployed individuals – this essentially ‘can reduce the effort people put into searching for jobs’ (Leicester</w:t>
      </w:r>
      <w:r w:rsidR="004E074A">
        <w:rPr>
          <w:rFonts w:ascii="Sylfaen" w:hAnsi="Sylfaen"/>
        </w:rPr>
        <w:t xml:space="preserve"> et al, </w:t>
      </w:r>
      <w:r w:rsidRPr="00D9058C">
        <w:rPr>
          <w:rFonts w:ascii="Sylfaen" w:hAnsi="Sylfaen"/>
        </w:rPr>
        <w:t>2012). Similarly, providing people with easier access to credit</w:t>
      </w:r>
      <w:r w:rsidR="004E074A">
        <w:rPr>
          <w:rFonts w:ascii="Sylfaen" w:hAnsi="Sylfaen"/>
        </w:rPr>
        <w:t xml:space="preserve"> </w:t>
      </w:r>
      <w:r w:rsidRPr="00D9058C">
        <w:rPr>
          <w:rFonts w:ascii="Sylfaen" w:hAnsi="Sylfaen"/>
        </w:rPr>
        <w:t xml:space="preserve">can also deter people from managing their finances well. These are all examples of moral hazard – a key concept in behavioural economics that highlights how individuals may engage in behaviours that can be risky, but they are aware that they are protected by a form of means therefore, do not restrict themselves from performing this behaviour. </w:t>
      </w:r>
    </w:p>
    <w:p w14:paraId="24A32DC9" w14:textId="056A7943" w:rsidR="00DE720D" w:rsidRDefault="00D9058C" w:rsidP="00D9058C">
      <w:pPr>
        <w:spacing w:line="360" w:lineRule="auto"/>
        <w:jc w:val="both"/>
        <w:rPr>
          <w:rFonts w:ascii="Sylfaen" w:hAnsi="Sylfaen"/>
        </w:rPr>
      </w:pPr>
      <w:r w:rsidRPr="00D9058C">
        <w:rPr>
          <w:rFonts w:ascii="Sylfaen" w:hAnsi="Sylfaen"/>
        </w:rPr>
        <w:t>On the contrary, market failures are not the only reason people engage in risky behaviours. ‘Social preferences might mean people do not engage in more risky behaviour even when insured’ according to (</w:t>
      </w:r>
      <w:r w:rsidR="004E074A" w:rsidRPr="00D9058C">
        <w:rPr>
          <w:rFonts w:ascii="Sylfaen" w:hAnsi="Sylfaen"/>
        </w:rPr>
        <w:t>Leicester</w:t>
      </w:r>
      <w:r w:rsidR="004E074A">
        <w:rPr>
          <w:rFonts w:ascii="Sylfaen" w:hAnsi="Sylfaen"/>
        </w:rPr>
        <w:t xml:space="preserve"> et al, </w:t>
      </w:r>
      <w:r w:rsidR="004E074A" w:rsidRPr="00D9058C">
        <w:rPr>
          <w:rFonts w:ascii="Sylfaen" w:hAnsi="Sylfaen"/>
        </w:rPr>
        <w:t xml:space="preserve">2012). </w:t>
      </w:r>
      <w:r w:rsidRPr="00D9058C">
        <w:rPr>
          <w:rFonts w:ascii="Sylfaen" w:hAnsi="Sylfaen"/>
        </w:rPr>
        <w:t xml:space="preserve">Another perspective observed within behavioural nudges, is the concept of ‘de-biasing’ which is essentially an attempt to help ‘alter these biases’ rather than recuperating the welfare. An example of a positive nudge as a result of this, is the ‘alcohol strategy published by the Home Office (2012)’. The purpose of this approach was to regulate the timing that alcohol is served at, set a minimum price as well as ‘providing information on the dangers of excess alcohol consumption’. While this strategy sounds promising as it is transparent and can be effective. The issue here is that ‘Packaging policies together like this might improve their overall effectiveness, but... challenging to isolate the impact of individual policies on behaviour’. </w:t>
      </w:r>
    </w:p>
    <w:p w14:paraId="4096DDF8" w14:textId="582ECECA" w:rsidR="00A631E3" w:rsidRPr="001767D0" w:rsidRDefault="004E074A" w:rsidP="00D9058C">
      <w:pPr>
        <w:spacing w:line="360" w:lineRule="auto"/>
        <w:jc w:val="both"/>
        <w:rPr>
          <w:rFonts w:ascii="Sylfaen" w:hAnsi="Sylfaen"/>
        </w:rPr>
      </w:pPr>
      <w:r w:rsidRPr="00D9058C">
        <w:rPr>
          <w:rFonts w:ascii="Sylfaen" w:hAnsi="Sylfaen"/>
        </w:rPr>
        <w:t>Leicester</w:t>
      </w:r>
      <w:r>
        <w:rPr>
          <w:rFonts w:ascii="Sylfaen" w:hAnsi="Sylfaen"/>
        </w:rPr>
        <w:t xml:space="preserve"> et al, (</w:t>
      </w:r>
      <w:r w:rsidRPr="00D9058C">
        <w:rPr>
          <w:rFonts w:ascii="Sylfaen" w:hAnsi="Sylfaen"/>
        </w:rPr>
        <w:t>2012)</w:t>
      </w:r>
      <w:r>
        <w:rPr>
          <w:rFonts w:ascii="Sylfaen" w:hAnsi="Sylfaen"/>
        </w:rPr>
        <w:t xml:space="preserve"> </w:t>
      </w:r>
      <w:r w:rsidR="00D9058C" w:rsidRPr="00D9058C">
        <w:rPr>
          <w:rFonts w:ascii="Sylfaen" w:hAnsi="Sylfaen"/>
        </w:rPr>
        <w:t>also offer a valuable insight into the advantage of using nudges. They state that nudges ‘change the behaviour of those who are ‘biased’ without imposing particular costs on those who are not’. An example of a positive nudge in this scenario would be the case of placing bans on cigarettes and the areas in which they are smoked in. A ‘nudge-inspired policy might be to arrange some sort of private or public mechanism whereby people can voluntarily commit’. By implementing this, policy makers are essentially providing enough information by being transparent to the people by creating an agreement with them. Conversely, if they fail to oblige to the agreement, they can face a penalty</w:t>
      </w:r>
      <w:r w:rsidR="000B06F9">
        <w:rPr>
          <w:rFonts w:ascii="Sylfaen" w:hAnsi="Sylfaen"/>
        </w:rPr>
        <w:t xml:space="preserve"> that</w:t>
      </w:r>
      <w:r w:rsidR="00D9058C" w:rsidRPr="00D9058C">
        <w:rPr>
          <w:rFonts w:ascii="Sylfaen" w:hAnsi="Sylfaen"/>
        </w:rPr>
        <w:t xml:space="preserve"> defeats the purpose of not imposing a cost. </w:t>
      </w:r>
    </w:p>
    <w:p w14:paraId="59703065" w14:textId="51979E0B" w:rsidR="00984843" w:rsidRPr="001767D0" w:rsidRDefault="00984843" w:rsidP="001767D0">
      <w:pPr>
        <w:pStyle w:val="Heading1"/>
        <w:rPr>
          <w:rFonts w:ascii="Sylfaen" w:hAnsi="Sylfaen"/>
          <w:b/>
          <w:bCs/>
          <w:color w:val="000000" w:themeColor="text1"/>
          <w:sz w:val="22"/>
          <w:szCs w:val="22"/>
        </w:rPr>
      </w:pPr>
      <w:r w:rsidRPr="001767D0">
        <w:rPr>
          <w:rFonts w:ascii="Sylfaen" w:hAnsi="Sylfaen"/>
          <w:b/>
          <w:bCs/>
          <w:color w:val="000000" w:themeColor="text1"/>
          <w:sz w:val="22"/>
          <w:szCs w:val="22"/>
        </w:rPr>
        <w:t>Conclusion</w:t>
      </w:r>
    </w:p>
    <w:p w14:paraId="2BA99AB0" w14:textId="3D8FE8A3" w:rsidR="0007662B" w:rsidRDefault="00D9058C" w:rsidP="00A34692">
      <w:pPr>
        <w:spacing w:line="360" w:lineRule="auto"/>
        <w:jc w:val="both"/>
        <w:rPr>
          <w:rFonts w:ascii="Sylfaen" w:hAnsi="Sylfaen"/>
        </w:rPr>
      </w:pPr>
      <w:r w:rsidRPr="00D9058C">
        <w:rPr>
          <w:rFonts w:ascii="Sylfaen" w:hAnsi="Sylfaen"/>
        </w:rPr>
        <w:t xml:space="preserve">The purpose of this paper was to evaluate how effective nudges are and how policy makers should utilise them to decrease market inefficiencies in the economy. The evidence presented in this paper has shown that nudges is a key concept in behavioural economics and useful as it is transparent. The findings from this </w:t>
      </w:r>
      <w:r w:rsidR="004E074A">
        <w:rPr>
          <w:rFonts w:ascii="Sylfaen" w:hAnsi="Sylfaen"/>
        </w:rPr>
        <w:t>paper</w:t>
      </w:r>
      <w:r w:rsidRPr="00D9058C">
        <w:rPr>
          <w:rFonts w:ascii="Sylfaen" w:hAnsi="Sylfaen"/>
        </w:rPr>
        <w:t xml:space="preserve"> have demonstrated nudges are relevant to an extent in providing </w:t>
      </w:r>
      <w:r w:rsidRPr="00D9058C">
        <w:rPr>
          <w:rFonts w:ascii="Sylfaen" w:hAnsi="Sylfaen"/>
        </w:rPr>
        <w:lastRenderedPageBreak/>
        <w:t xml:space="preserve">guidance to individuals to make a better-informed decision for example, educate a smoker on the harms of smoking or providing recycling bins to increase recycling for environmental benefits. They are also cheaper to administer. In contrast, few sources have displayed uncertainty when conforming to the rules of nudging and if it may ‘jeopardize’ an individual’s decision by eliminating their freedom of choice. </w:t>
      </w:r>
    </w:p>
    <w:p w14:paraId="425A9E2D" w14:textId="13A8C003" w:rsidR="00D9058C" w:rsidRPr="00043B6A" w:rsidRDefault="00D9058C" w:rsidP="00043B6A">
      <w:pPr>
        <w:pStyle w:val="Heading1"/>
        <w:rPr>
          <w:rFonts w:ascii="Sylfaen" w:eastAsia="Times New Roman" w:hAnsi="Sylfaen"/>
          <w:b/>
          <w:bCs/>
          <w:color w:val="000000" w:themeColor="text1"/>
          <w:sz w:val="22"/>
          <w:szCs w:val="22"/>
          <w:lang w:eastAsia="en-GB"/>
        </w:rPr>
      </w:pPr>
      <w:r w:rsidRPr="00043B6A">
        <w:rPr>
          <w:rFonts w:ascii="Sylfaen" w:eastAsia="Times New Roman" w:hAnsi="Sylfaen"/>
          <w:b/>
          <w:bCs/>
          <w:color w:val="000000" w:themeColor="text1"/>
          <w:sz w:val="22"/>
          <w:szCs w:val="22"/>
          <w:lang w:eastAsia="en-GB"/>
        </w:rPr>
        <w:t>References</w:t>
      </w:r>
    </w:p>
    <w:p w14:paraId="2972EC95" w14:textId="77777777" w:rsidR="00D9058C" w:rsidRPr="00D9058C" w:rsidRDefault="00D9058C" w:rsidP="00D9058C">
      <w:pPr>
        <w:numPr>
          <w:ilvl w:val="0"/>
          <w:numId w:val="1"/>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Arno, A. and Thomas, S., (2016). The efficacy of nudge theory strategies in influencing adult dietary behaviour: a systematic review and meta-analysis. </w:t>
      </w:r>
      <w:r w:rsidRPr="00D9058C">
        <w:rPr>
          <w:rFonts w:ascii="Sylfaen" w:eastAsia="Times New Roman" w:hAnsi="Sylfaen" w:cs="Times New Roman"/>
          <w:i/>
          <w:iCs/>
          <w:lang w:eastAsia="en-GB"/>
        </w:rPr>
        <w:t>BMC Public Health</w:t>
      </w:r>
      <w:r w:rsidRPr="00D9058C">
        <w:rPr>
          <w:rFonts w:ascii="Sylfaen" w:eastAsia="Times New Roman" w:hAnsi="Sylfaen" w:cs="Times New Roman"/>
          <w:lang w:eastAsia="en-GB"/>
        </w:rPr>
        <w:t xml:space="preserve">, [online] 16(1). Available at: </w:t>
      </w:r>
      <w:r w:rsidRPr="00D9058C">
        <w:rPr>
          <w:rFonts w:ascii="Sylfaen" w:eastAsia="Times New Roman" w:hAnsi="Sylfaen" w:cs="Times New Roman"/>
          <w:color w:val="0260BF"/>
          <w:lang w:eastAsia="en-GB"/>
        </w:rPr>
        <w:t xml:space="preserve">https://bmcpublichealth.biomedcentral.com/articles/10.1186/s12889-016-3272- </w:t>
      </w:r>
      <w:proofErr w:type="spellStart"/>
      <w:r w:rsidRPr="00D9058C">
        <w:rPr>
          <w:rFonts w:ascii="Sylfaen" w:eastAsia="Times New Roman" w:hAnsi="Sylfaen" w:cs="Times New Roman"/>
          <w:color w:val="0260BF"/>
          <w:lang w:eastAsia="en-GB"/>
        </w:rPr>
        <w:t>x#citeas</w:t>
      </w:r>
      <w:proofErr w:type="spellEnd"/>
      <w:r w:rsidRPr="00D9058C">
        <w:rPr>
          <w:rFonts w:ascii="Sylfaen" w:eastAsia="Times New Roman" w:hAnsi="Sylfaen" w:cs="Times New Roman"/>
          <w:color w:val="0260BF"/>
          <w:lang w:eastAsia="en-GB"/>
        </w:rPr>
        <w:t xml:space="preserve"> </w:t>
      </w:r>
      <w:r w:rsidRPr="00D9058C">
        <w:rPr>
          <w:rFonts w:ascii="Sylfaen" w:eastAsia="Times New Roman" w:hAnsi="Sylfaen" w:cs="Times New Roman"/>
          <w:lang w:eastAsia="en-GB"/>
        </w:rPr>
        <w:t xml:space="preserve">[Accessed 1 May 2021] </w:t>
      </w:r>
    </w:p>
    <w:p w14:paraId="38EAC780" w14:textId="77777777" w:rsidR="00D9058C" w:rsidRPr="00D9058C" w:rsidRDefault="00D9058C" w:rsidP="00D9058C">
      <w:pPr>
        <w:numPr>
          <w:ilvl w:val="0"/>
          <w:numId w:val="1"/>
        </w:numPr>
        <w:spacing w:before="100" w:beforeAutospacing="1" w:after="100" w:afterAutospacing="1" w:line="240" w:lineRule="auto"/>
        <w:jc w:val="both"/>
        <w:rPr>
          <w:rFonts w:ascii="Sylfaen" w:eastAsia="Times New Roman" w:hAnsi="Sylfaen" w:cs="Times New Roman"/>
          <w:lang w:eastAsia="en-GB"/>
        </w:rPr>
      </w:pPr>
      <w:proofErr w:type="spellStart"/>
      <w:r w:rsidRPr="00D9058C">
        <w:rPr>
          <w:rFonts w:ascii="Sylfaen" w:eastAsia="Times New Roman" w:hAnsi="Sylfaen" w:cs="Times New Roman"/>
          <w:lang w:eastAsia="en-GB"/>
        </w:rPr>
        <w:t>Baraniuk</w:t>
      </w:r>
      <w:proofErr w:type="spellEnd"/>
      <w:r w:rsidRPr="00D9058C">
        <w:rPr>
          <w:rFonts w:ascii="Sylfaen" w:eastAsia="Times New Roman" w:hAnsi="Sylfaen" w:cs="Times New Roman"/>
          <w:lang w:eastAsia="en-GB"/>
        </w:rPr>
        <w:t xml:space="preserve">, C., (2020). </w:t>
      </w:r>
      <w:r w:rsidRPr="00D9058C">
        <w:rPr>
          <w:rFonts w:ascii="Sylfaen" w:eastAsia="Times New Roman" w:hAnsi="Sylfaen" w:cs="Times New Roman"/>
          <w:i/>
          <w:iCs/>
          <w:lang w:eastAsia="en-GB"/>
        </w:rPr>
        <w:t>Fears grow of nutritional crisis in lockdown UK</w:t>
      </w:r>
      <w:r w:rsidRPr="00D9058C">
        <w:rPr>
          <w:rFonts w:ascii="Sylfaen" w:eastAsia="Times New Roman" w:hAnsi="Sylfaen" w:cs="Times New Roman"/>
          <w:lang w:eastAsia="en-GB"/>
        </w:rPr>
        <w:t xml:space="preserve">. [online] Bmj.com. Available at: </w:t>
      </w:r>
      <w:r w:rsidRPr="00D9058C">
        <w:rPr>
          <w:rFonts w:ascii="Sylfaen" w:eastAsia="Times New Roman" w:hAnsi="Sylfaen" w:cs="Times New Roman"/>
          <w:color w:val="0260BF"/>
          <w:lang w:eastAsia="en-GB"/>
        </w:rPr>
        <w:t xml:space="preserve">https://www.bmj.com/content/bmj/370/bmj.m3193.full.pdf </w:t>
      </w:r>
      <w:r w:rsidRPr="00D9058C">
        <w:rPr>
          <w:rFonts w:ascii="Sylfaen" w:eastAsia="Times New Roman" w:hAnsi="Sylfaen" w:cs="Times New Roman"/>
          <w:lang w:eastAsia="en-GB"/>
        </w:rPr>
        <w:t xml:space="preserve">[Accessed 1 May 2021] </w:t>
      </w:r>
    </w:p>
    <w:p w14:paraId="21F45C42" w14:textId="77777777" w:rsidR="00D9058C" w:rsidRPr="00D9058C" w:rsidRDefault="00D9058C" w:rsidP="00D9058C">
      <w:pPr>
        <w:numPr>
          <w:ilvl w:val="0"/>
          <w:numId w:val="1"/>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Bogliacino, F., Codagnone, C. and Veltri, G., (2016). An introduction to the special issue on “the behavioural turn in public policy: new evidence from </w:t>
      </w:r>
      <w:proofErr w:type="spellStart"/>
      <w:r w:rsidRPr="00D9058C">
        <w:rPr>
          <w:rFonts w:ascii="Sylfaen" w:eastAsia="Times New Roman" w:hAnsi="Sylfaen" w:cs="Times New Roman"/>
          <w:lang w:eastAsia="en-GB"/>
        </w:rPr>
        <w:t>experiments</w:t>
      </w:r>
      <w:proofErr w:type="gramStart"/>
      <w:r w:rsidRPr="00D9058C">
        <w:rPr>
          <w:rFonts w:ascii="Sylfaen" w:eastAsia="Times New Roman" w:hAnsi="Sylfaen" w:cs="Times New Roman"/>
          <w:lang w:eastAsia="en-GB"/>
        </w:rPr>
        <w:t>”.</w:t>
      </w:r>
      <w:r w:rsidRPr="00D9058C">
        <w:rPr>
          <w:rFonts w:ascii="Sylfaen" w:eastAsia="Times New Roman" w:hAnsi="Sylfaen" w:cs="Times New Roman"/>
          <w:i/>
          <w:iCs/>
          <w:lang w:eastAsia="en-GB"/>
        </w:rPr>
        <w:t>Economia</w:t>
      </w:r>
      <w:proofErr w:type="spellEnd"/>
      <w:proofErr w:type="gramEnd"/>
      <w:r w:rsidRPr="00D9058C">
        <w:rPr>
          <w:rFonts w:ascii="Sylfaen" w:eastAsia="Times New Roman" w:hAnsi="Sylfaen" w:cs="Times New Roman"/>
          <w:i/>
          <w:iCs/>
          <w:lang w:eastAsia="en-GB"/>
        </w:rPr>
        <w:t xml:space="preserve"> </w:t>
      </w:r>
      <w:proofErr w:type="spellStart"/>
      <w:r w:rsidRPr="00D9058C">
        <w:rPr>
          <w:rFonts w:ascii="Sylfaen" w:eastAsia="Times New Roman" w:hAnsi="Sylfaen" w:cs="Times New Roman"/>
          <w:i/>
          <w:iCs/>
          <w:lang w:eastAsia="en-GB"/>
        </w:rPr>
        <w:t>Politica</w:t>
      </w:r>
      <w:proofErr w:type="spellEnd"/>
      <w:r w:rsidRPr="00D9058C">
        <w:rPr>
          <w:rFonts w:ascii="Sylfaen" w:eastAsia="Times New Roman" w:hAnsi="Sylfaen" w:cs="Times New Roman"/>
          <w:lang w:eastAsia="en-GB"/>
        </w:rPr>
        <w:t xml:space="preserve">, [online] 33(3), pp.323-332. Available at: </w:t>
      </w:r>
      <w:r w:rsidRPr="00D9058C">
        <w:rPr>
          <w:rFonts w:ascii="Sylfaen" w:eastAsia="Times New Roman" w:hAnsi="Sylfaen" w:cs="Times New Roman"/>
          <w:color w:val="0260BF"/>
          <w:lang w:eastAsia="en-GB"/>
        </w:rPr>
        <w:t xml:space="preserve">https://link.springer.com/content/pdf/10.1007/s40888-016-0044-0.pdf </w:t>
      </w:r>
      <w:r w:rsidRPr="00D9058C">
        <w:rPr>
          <w:rFonts w:ascii="Sylfaen" w:eastAsia="Times New Roman" w:hAnsi="Sylfaen" w:cs="Times New Roman"/>
          <w:lang w:eastAsia="en-GB"/>
        </w:rPr>
        <w:t xml:space="preserve">[Accessed 1 May 2021] </w:t>
      </w:r>
    </w:p>
    <w:p w14:paraId="368412E3" w14:textId="77777777" w:rsidR="00D9058C" w:rsidRPr="00D9058C" w:rsidRDefault="00D9058C" w:rsidP="00D9058C">
      <w:pPr>
        <w:numPr>
          <w:ilvl w:val="0"/>
          <w:numId w:val="1"/>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Bruns, H., </w:t>
      </w:r>
      <w:proofErr w:type="spellStart"/>
      <w:r w:rsidRPr="00D9058C">
        <w:rPr>
          <w:rFonts w:ascii="Sylfaen" w:eastAsia="Times New Roman" w:hAnsi="Sylfaen" w:cs="Times New Roman"/>
          <w:lang w:eastAsia="en-GB"/>
        </w:rPr>
        <w:t>Kantorowicz-Reznichenko</w:t>
      </w:r>
      <w:proofErr w:type="spellEnd"/>
      <w:r w:rsidRPr="00D9058C">
        <w:rPr>
          <w:rFonts w:ascii="Sylfaen" w:eastAsia="Times New Roman" w:hAnsi="Sylfaen" w:cs="Times New Roman"/>
          <w:lang w:eastAsia="en-GB"/>
        </w:rPr>
        <w:t xml:space="preserve">, E., </w:t>
      </w:r>
      <w:proofErr w:type="spellStart"/>
      <w:r w:rsidRPr="00D9058C">
        <w:rPr>
          <w:rFonts w:ascii="Sylfaen" w:eastAsia="Times New Roman" w:hAnsi="Sylfaen" w:cs="Times New Roman"/>
          <w:lang w:eastAsia="en-GB"/>
        </w:rPr>
        <w:t>Klement</w:t>
      </w:r>
      <w:proofErr w:type="spellEnd"/>
      <w:r w:rsidRPr="00D9058C">
        <w:rPr>
          <w:rFonts w:ascii="Sylfaen" w:eastAsia="Times New Roman" w:hAnsi="Sylfaen" w:cs="Times New Roman"/>
          <w:lang w:eastAsia="en-GB"/>
        </w:rPr>
        <w:t xml:space="preserve">, K., Jonsson, M. and </w:t>
      </w:r>
      <w:proofErr w:type="spellStart"/>
      <w:r w:rsidRPr="00D9058C">
        <w:rPr>
          <w:rFonts w:ascii="Sylfaen" w:eastAsia="Times New Roman" w:hAnsi="Sylfaen" w:cs="Times New Roman"/>
          <w:lang w:eastAsia="en-GB"/>
        </w:rPr>
        <w:t>Rahali</w:t>
      </w:r>
      <w:proofErr w:type="spellEnd"/>
      <w:r w:rsidRPr="00D9058C">
        <w:rPr>
          <w:rFonts w:ascii="Sylfaen" w:eastAsia="Times New Roman" w:hAnsi="Sylfaen" w:cs="Times New Roman"/>
          <w:lang w:eastAsia="en-GB"/>
        </w:rPr>
        <w:t xml:space="preserve">, B., (2016). Can Nudges Be Transparent and Yet </w:t>
      </w:r>
      <w:proofErr w:type="spellStart"/>
      <w:r w:rsidRPr="00D9058C">
        <w:rPr>
          <w:rFonts w:ascii="Sylfaen" w:eastAsia="Times New Roman" w:hAnsi="Sylfaen" w:cs="Times New Roman"/>
          <w:lang w:eastAsia="en-GB"/>
        </w:rPr>
        <w:t>Effective</w:t>
      </w:r>
      <w:proofErr w:type="gramStart"/>
      <w:r w:rsidRPr="00D9058C">
        <w:rPr>
          <w:rFonts w:ascii="Sylfaen" w:eastAsia="Times New Roman" w:hAnsi="Sylfaen" w:cs="Times New Roman"/>
          <w:lang w:eastAsia="en-GB"/>
        </w:rPr>
        <w:t>?.</w:t>
      </w:r>
      <w:r w:rsidRPr="00D9058C">
        <w:rPr>
          <w:rFonts w:ascii="Sylfaen" w:eastAsia="Times New Roman" w:hAnsi="Sylfaen" w:cs="Times New Roman"/>
          <w:i/>
          <w:iCs/>
          <w:lang w:eastAsia="en-GB"/>
        </w:rPr>
        <w:t>Journal</w:t>
      </w:r>
      <w:proofErr w:type="spellEnd"/>
      <w:proofErr w:type="gramEnd"/>
      <w:r w:rsidRPr="00D9058C">
        <w:rPr>
          <w:rFonts w:ascii="Sylfaen" w:eastAsia="Times New Roman" w:hAnsi="Sylfaen" w:cs="Times New Roman"/>
          <w:i/>
          <w:iCs/>
          <w:lang w:eastAsia="en-GB"/>
        </w:rPr>
        <w:t xml:space="preserve"> of Economic Psychology, Forthcoming</w:t>
      </w:r>
      <w:r w:rsidRPr="00D9058C">
        <w:rPr>
          <w:rFonts w:ascii="Sylfaen" w:eastAsia="Times New Roman" w:hAnsi="Sylfaen" w:cs="Times New Roman"/>
          <w:lang w:eastAsia="en-GB"/>
        </w:rPr>
        <w:t xml:space="preserve">, [online] pp.2-47. Available at: </w:t>
      </w:r>
      <w:r w:rsidRPr="00D9058C">
        <w:rPr>
          <w:rFonts w:ascii="Sylfaen" w:eastAsia="Times New Roman" w:hAnsi="Sylfaen" w:cs="Times New Roman"/>
          <w:color w:val="0260BF"/>
          <w:lang w:eastAsia="en-GB"/>
        </w:rPr>
        <w:t xml:space="preserve">https://papers.ssrn.com/sol3/papers.cfm?abstract_id=2816227 </w:t>
      </w:r>
      <w:r w:rsidRPr="00D9058C">
        <w:rPr>
          <w:rFonts w:ascii="Sylfaen" w:eastAsia="Times New Roman" w:hAnsi="Sylfaen" w:cs="Times New Roman"/>
          <w:lang w:eastAsia="en-GB"/>
        </w:rPr>
        <w:t xml:space="preserve">[Accessed 1 May 2021] </w:t>
      </w:r>
    </w:p>
    <w:p w14:paraId="03D5702D" w14:textId="77777777" w:rsidR="00D9058C" w:rsidRPr="00D9058C" w:rsidRDefault="00D9058C" w:rsidP="00D9058C">
      <w:pPr>
        <w:numPr>
          <w:ilvl w:val="0"/>
          <w:numId w:val="1"/>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En.wikipedia.org. 2021.</w:t>
      </w:r>
      <w:r w:rsidRPr="00D9058C">
        <w:rPr>
          <w:rFonts w:ascii="Sylfaen" w:eastAsia="Times New Roman" w:hAnsi="Sylfaen" w:cs="Times New Roman"/>
          <w:i/>
          <w:iCs/>
          <w:lang w:eastAsia="en-GB"/>
        </w:rPr>
        <w:t>Nudge theory - Wikipedia</w:t>
      </w:r>
      <w:r w:rsidRPr="00D9058C">
        <w:rPr>
          <w:rFonts w:ascii="Sylfaen" w:eastAsia="Times New Roman" w:hAnsi="Sylfaen" w:cs="Times New Roman"/>
          <w:lang w:eastAsia="en-GB"/>
        </w:rPr>
        <w:t xml:space="preserve">. [online] Available at: </w:t>
      </w:r>
      <w:r w:rsidRPr="00D9058C">
        <w:rPr>
          <w:rFonts w:ascii="Sylfaen" w:eastAsia="Times New Roman" w:hAnsi="Sylfaen" w:cs="Times New Roman"/>
          <w:color w:val="0260BF"/>
          <w:lang w:eastAsia="en-GB"/>
        </w:rPr>
        <w:t xml:space="preserve">https://en.wikipedia.org/wiki/Nudge_theory </w:t>
      </w:r>
      <w:r w:rsidRPr="00D9058C">
        <w:rPr>
          <w:rFonts w:ascii="Sylfaen" w:eastAsia="Times New Roman" w:hAnsi="Sylfaen" w:cs="Times New Roman"/>
          <w:lang w:eastAsia="en-GB"/>
        </w:rPr>
        <w:t xml:space="preserve">[Accessed 1 May 2021] </w:t>
      </w:r>
    </w:p>
    <w:p w14:paraId="797876A2" w14:textId="5AC03D73" w:rsidR="00D9058C" w:rsidRPr="00D9058C" w:rsidRDefault="00D9058C" w:rsidP="00D9058C">
      <w:pPr>
        <w:numPr>
          <w:ilvl w:val="0"/>
          <w:numId w:val="1"/>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Fischhoff, B. and Eggers, S., (2013). Questions of Competence: The Duty to Inform and the Limits </w:t>
      </w:r>
      <w:proofErr w:type="gramStart"/>
      <w:r w:rsidRPr="00D9058C">
        <w:rPr>
          <w:rFonts w:ascii="Sylfaen" w:eastAsia="Times New Roman" w:hAnsi="Sylfaen" w:cs="Times New Roman"/>
          <w:lang w:eastAsia="en-GB"/>
        </w:rPr>
        <w:t>to Choice</w:t>
      </w:r>
      <w:proofErr w:type="gramEnd"/>
      <w:r w:rsidRPr="00D9058C">
        <w:rPr>
          <w:rFonts w:ascii="Sylfaen" w:eastAsia="Times New Roman" w:hAnsi="Sylfaen" w:cs="Times New Roman"/>
          <w:lang w:eastAsia="en-GB"/>
        </w:rPr>
        <w:t xml:space="preserve">. </w:t>
      </w:r>
      <w:r w:rsidRPr="00D9058C">
        <w:rPr>
          <w:rFonts w:ascii="Sylfaen" w:eastAsia="Times New Roman" w:hAnsi="Sylfaen" w:cs="Times New Roman"/>
          <w:i/>
          <w:iCs/>
          <w:lang w:eastAsia="en-GB"/>
        </w:rPr>
        <w:t>Judgment and Decision Making</w:t>
      </w:r>
      <w:r w:rsidRPr="00D9058C">
        <w:rPr>
          <w:rFonts w:ascii="Sylfaen" w:eastAsia="Times New Roman" w:hAnsi="Sylfaen" w:cs="Times New Roman"/>
          <w:lang w:eastAsia="en-GB"/>
        </w:rPr>
        <w:t xml:space="preserve">, [online] Available at: </w:t>
      </w:r>
      <w:r w:rsidRPr="00D9058C">
        <w:rPr>
          <w:rFonts w:ascii="Sylfaen" w:eastAsia="Times New Roman" w:hAnsi="Sylfaen" w:cs="Times New Roman"/>
          <w:color w:val="0260BF"/>
          <w:lang w:eastAsia="en-GB"/>
        </w:rPr>
        <w:t>https://www.researchgate.net/publication/228767679_Questions_of_Competence_The _</w:t>
      </w:r>
      <w:proofErr w:type="spellStart"/>
      <w:r w:rsidRPr="00D9058C">
        <w:rPr>
          <w:rFonts w:ascii="Sylfaen" w:eastAsia="Times New Roman" w:hAnsi="Sylfaen" w:cs="Times New Roman"/>
          <w:color w:val="0260BF"/>
          <w:lang w:eastAsia="en-GB"/>
        </w:rPr>
        <w:t>Duty_to_Inform_and_the_Limits_to_Choice</w:t>
      </w:r>
      <w:proofErr w:type="spellEnd"/>
      <w:r w:rsidRPr="00D9058C">
        <w:rPr>
          <w:rFonts w:ascii="Sylfaen" w:eastAsia="Times New Roman" w:hAnsi="Sylfaen" w:cs="Times New Roman"/>
          <w:color w:val="0260BF"/>
          <w:lang w:eastAsia="en-GB"/>
        </w:rPr>
        <w:t xml:space="preserve"> </w:t>
      </w:r>
      <w:r w:rsidRPr="00D9058C">
        <w:rPr>
          <w:rFonts w:ascii="Sylfaen" w:eastAsia="Times New Roman" w:hAnsi="Sylfaen" w:cs="Times New Roman"/>
          <w:lang w:eastAsia="en-GB"/>
        </w:rPr>
        <w:t xml:space="preserve">[Accessed 2 May 2021] </w:t>
      </w:r>
    </w:p>
    <w:p w14:paraId="5173BB3B" w14:textId="77777777" w:rsidR="00D9058C" w:rsidRPr="00D9058C" w:rsidRDefault="00D9058C" w:rsidP="00D9058C">
      <w:pPr>
        <w:pStyle w:val="ListParagraph"/>
        <w:numPr>
          <w:ilvl w:val="0"/>
          <w:numId w:val="1"/>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Hagman, W., Andersson, D., </w:t>
      </w:r>
      <w:proofErr w:type="spellStart"/>
      <w:r w:rsidRPr="00D9058C">
        <w:rPr>
          <w:rFonts w:ascii="Sylfaen" w:eastAsia="Times New Roman" w:hAnsi="Sylfaen" w:cs="Times New Roman"/>
          <w:lang w:eastAsia="en-GB"/>
        </w:rPr>
        <w:t>Va</w:t>
      </w:r>
      <w:r w:rsidRPr="00D9058C">
        <w:rPr>
          <w:rFonts w:ascii="Times New Roman" w:eastAsia="Times New Roman" w:hAnsi="Times New Roman" w:cs="Times New Roman"/>
          <w:lang w:eastAsia="en-GB"/>
        </w:rPr>
        <w:t>̈</w:t>
      </w:r>
      <w:r w:rsidRPr="00D9058C">
        <w:rPr>
          <w:rFonts w:ascii="Sylfaen" w:eastAsia="Times New Roman" w:hAnsi="Sylfaen" w:cs="Times New Roman"/>
          <w:lang w:eastAsia="en-GB"/>
        </w:rPr>
        <w:t>stfja</w:t>
      </w:r>
      <w:r w:rsidRPr="00D9058C">
        <w:rPr>
          <w:rFonts w:ascii="Times New Roman" w:eastAsia="Times New Roman" w:hAnsi="Times New Roman" w:cs="Times New Roman"/>
          <w:lang w:eastAsia="en-GB"/>
        </w:rPr>
        <w:t>̈</w:t>
      </w:r>
      <w:r w:rsidRPr="00D9058C">
        <w:rPr>
          <w:rFonts w:ascii="Sylfaen" w:eastAsia="Times New Roman" w:hAnsi="Sylfaen" w:cs="Times New Roman"/>
          <w:lang w:eastAsia="en-GB"/>
        </w:rPr>
        <w:t>ll</w:t>
      </w:r>
      <w:proofErr w:type="spellEnd"/>
      <w:r w:rsidRPr="00D9058C">
        <w:rPr>
          <w:rFonts w:ascii="Sylfaen" w:eastAsia="Times New Roman" w:hAnsi="Sylfaen" w:cs="Times New Roman"/>
          <w:lang w:eastAsia="en-GB"/>
        </w:rPr>
        <w:t xml:space="preserve">, D. and </w:t>
      </w:r>
      <w:proofErr w:type="spellStart"/>
      <w:r w:rsidRPr="00D9058C">
        <w:rPr>
          <w:rFonts w:ascii="Sylfaen" w:eastAsia="Times New Roman" w:hAnsi="Sylfaen" w:cs="Times New Roman"/>
          <w:lang w:eastAsia="en-GB"/>
        </w:rPr>
        <w:t>Tingho</w:t>
      </w:r>
      <w:r w:rsidRPr="00D9058C">
        <w:rPr>
          <w:rFonts w:ascii="Times New Roman" w:eastAsia="Times New Roman" w:hAnsi="Times New Roman" w:cs="Times New Roman"/>
          <w:lang w:eastAsia="en-GB"/>
        </w:rPr>
        <w:t>̈</w:t>
      </w:r>
      <w:r w:rsidRPr="00D9058C">
        <w:rPr>
          <w:rFonts w:ascii="Sylfaen" w:eastAsia="Times New Roman" w:hAnsi="Sylfaen" w:cs="Times New Roman"/>
          <w:lang w:eastAsia="en-GB"/>
        </w:rPr>
        <w:t>g</w:t>
      </w:r>
      <w:proofErr w:type="spellEnd"/>
      <w:r w:rsidRPr="00D9058C">
        <w:rPr>
          <w:rFonts w:ascii="Sylfaen" w:eastAsia="Times New Roman" w:hAnsi="Sylfaen" w:cs="Times New Roman"/>
          <w:lang w:eastAsia="en-GB"/>
        </w:rPr>
        <w:t xml:space="preserve">, G., (2015). Public Views on </w:t>
      </w:r>
    </w:p>
    <w:p w14:paraId="5FE295A2" w14:textId="77777777" w:rsidR="00D9058C" w:rsidRPr="00D9058C" w:rsidRDefault="00D9058C" w:rsidP="00D9058C">
      <w:pPr>
        <w:pStyle w:val="ListParagraph"/>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Policies Involving Nudges. </w:t>
      </w:r>
      <w:r w:rsidRPr="00D9058C">
        <w:rPr>
          <w:rFonts w:ascii="Sylfaen" w:eastAsia="Times New Roman" w:hAnsi="Sylfaen" w:cs="Times New Roman"/>
          <w:i/>
          <w:iCs/>
          <w:lang w:eastAsia="en-GB"/>
        </w:rPr>
        <w:t>Review of Philosophy and Psychology</w:t>
      </w:r>
      <w:r w:rsidRPr="00D9058C">
        <w:rPr>
          <w:rFonts w:ascii="Sylfaen" w:eastAsia="Times New Roman" w:hAnsi="Sylfaen" w:cs="Times New Roman"/>
          <w:lang w:eastAsia="en-GB"/>
        </w:rPr>
        <w:t xml:space="preserve">, [online] 6(3), </w:t>
      </w:r>
    </w:p>
    <w:p w14:paraId="12934178" w14:textId="77777777" w:rsidR="00D9058C" w:rsidRPr="00D9058C" w:rsidRDefault="00D9058C" w:rsidP="00D9058C">
      <w:pPr>
        <w:pStyle w:val="ListParagraph"/>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pp.439-453. Available at: </w:t>
      </w:r>
    </w:p>
    <w:p w14:paraId="3643555D" w14:textId="77777777" w:rsidR="00D9058C" w:rsidRPr="00D9058C" w:rsidRDefault="00D9058C" w:rsidP="00D9058C">
      <w:pPr>
        <w:pStyle w:val="ListParagraph"/>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color w:val="0260BF"/>
          <w:lang w:eastAsia="en-GB"/>
        </w:rPr>
        <w:t xml:space="preserve">https://www.researchgate.net/publication/276248714_Public_Views_on_Policies_Inv </w:t>
      </w:r>
    </w:p>
    <w:p w14:paraId="5C26C9DC" w14:textId="77777777" w:rsidR="00D9058C" w:rsidRPr="00D9058C" w:rsidRDefault="00D9058C" w:rsidP="00D9058C">
      <w:pPr>
        <w:pStyle w:val="ListParagraph"/>
        <w:spacing w:before="100" w:beforeAutospacing="1" w:after="100" w:afterAutospacing="1" w:line="240" w:lineRule="auto"/>
        <w:jc w:val="both"/>
        <w:rPr>
          <w:rFonts w:ascii="Sylfaen" w:eastAsia="Times New Roman" w:hAnsi="Sylfaen" w:cs="Times New Roman"/>
          <w:lang w:eastAsia="en-GB"/>
        </w:rPr>
      </w:pPr>
      <w:proofErr w:type="spellStart"/>
      <w:r w:rsidRPr="00D9058C">
        <w:rPr>
          <w:rFonts w:ascii="Sylfaen" w:eastAsia="Times New Roman" w:hAnsi="Sylfaen" w:cs="Times New Roman"/>
          <w:color w:val="0260BF"/>
          <w:lang w:eastAsia="en-GB"/>
        </w:rPr>
        <w:t>olving_Nudges</w:t>
      </w:r>
      <w:proofErr w:type="spellEnd"/>
      <w:r w:rsidRPr="00D9058C">
        <w:rPr>
          <w:rFonts w:ascii="Sylfaen" w:eastAsia="Times New Roman" w:hAnsi="Sylfaen" w:cs="Times New Roman"/>
          <w:color w:val="0260BF"/>
          <w:lang w:eastAsia="en-GB"/>
        </w:rPr>
        <w:t xml:space="preserve"> </w:t>
      </w:r>
      <w:r w:rsidRPr="00D9058C">
        <w:rPr>
          <w:rFonts w:ascii="Sylfaen" w:eastAsia="Times New Roman" w:hAnsi="Sylfaen" w:cs="Times New Roman"/>
          <w:lang w:eastAsia="en-GB"/>
        </w:rPr>
        <w:t>[Accessed 1 May 2021].</w:t>
      </w:r>
    </w:p>
    <w:p w14:paraId="20CCE649" w14:textId="77777777" w:rsidR="00D9058C" w:rsidRPr="00D9058C" w:rsidRDefault="00D9058C" w:rsidP="00D9058C">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Hausman, D. and Welch, B., (2010). Debate: To Nudge or Not to Nudge*. </w:t>
      </w:r>
      <w:r w:rsidRPr="00D9058C">
        <w:rPr>
          <w:rFonts w:ascii="Sylfaen" w:eastAsia="Times New Roman" w:hAnsi="Sylfaen" w:cs="Times New Roman"/>
          <w:i/>
          <w:iCs/>
          <w:lang w:eastAsia="en-GB"/>
        </w:rPr>
        <w:t>Journal of Political Philosophy</w:t>
      </w:r>
      <w:r w:rsidRPr="00D9058C">
        <w:rPr>
          <w:rFonts w:ascii="Sylfaen" w:eastAsia="Times New Roman" w:hAnsi="Sylfaen" w:cs="Times New Roman"/>
          <w:lang w:eastAsia="en-GB"/>
        </w:rPr>
        <w:t xml:space="preserve">, [online] 18(1), pp.123-136. Available at: </w:t>
      </w:r>
      <w:r w:rsidRPr="00D9058C">
        <w:rPr>
          <w:rFonts w:ascii="Sylfaen" w:eastAsia="Times New Roman" w:hAnsi="Sylfaen" w:cs="Times New Roman"/>
          <w:color w:val="0260BF"/>
          <w:lang w:eastAsia="en-GB"/>
        </w:rPr>
        <w:t xml:space="preserve">https://onlinelibrary.wiley.com/doi/epdf/10.1111/j.1467-9760.2009.00351.x </w:t>
      </w:r>
      <w:r w:rsidRPr="00D9058C">
        <w:rPr>
          <w:rFonts w:ascii="Sylfaen" w:eastAsia="Times New Roman" w:hAnsi="Sylfaen" w:cs="Times New Roman"/>
          <w:lang w:eastAsia="en-GB"/>
        </w:rPr>
        <w:t>[Accessed 1 May 2021]</w:t>
      </w:r>
    </w:p>
    <w:p w14:paraId="3A2B4E70" w14:textId="77777777" w:rsidR="00D9058C" w:rsidRPr="00D9058C" w:rsidRDefault="00D9058C" w:rsidP="00D9058C">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Hayes, A., (2020). </w:t>
      </w:r>
      <w:r w:rsidRPr="00D9058C">
        <w:rPr>
          <w:rFonts w:ascii="Sylfaen" w:eastAsia="Times New Roman" w:hAnsi="Sylfaen" w:cs="Times New Roman"/>
          <w:i/>
          <w:iCs/>
          <w:lang w:eastAsia="en-GB"/>
        </w:rPr>
        <w:t>Inefficient Market Definition</w:t>
      </w:r>
      <w:r w:rsidRPr="00D9058C">
        <w:rPr>
          <w:rFonts w:ascii="Sylfaen" w:eastAsia="Times New Roman" w:hAnsi="Sylfaen" w:cs="Times New Roman"/>
          <w:lang w:eastAsia="en-GB"/>
        </w:rPr>
        <w:t xml:space="preserve">. [online] Investopedia. Available at: </w:t>
      </w:r>
      <w:r w:rsidRPr="00D9058C">
        <w:rPr>
          <w:rFonts w:ascii="Sylfaen" w:eastAsia="Times New Roman" w:hAnsi="Sylfaen" w:cs="Times New Roman"/>
          <w:color w:val="0260BF"/>
          <w:lang w:eastAsia="en-GB"/>
        </w:rPr>
        <w:t>https://www.investopedia.com/terms/i/inefficientmarket.asp#:~:text=Market%20ineffi ciencies%20exist%20due%20</w:t>
      </w:r>
      <w:proofErr w:type="gramStart"/>
      <w:r w:rsidRPr="00D9058C">
        <w:rPr>
          <w:rFonts w:ascii="Sylfaen" w:eastAsia="Times New Roman" w:hAnsi="Sylfaen" w:cs="Times New Roman"/>
          <w:color w:val="0260BF"/>
          <w:lang w:eastAsia="en-GB"/>
        </w:rPr>
        <w:t>to,creating</w:t>
      </w:r>
      <w:proofErr w:type="gramEnd"/>
      <w:r w:rsidRPr="00D9058C">
        <w:rPr>
          <w:rFonts w:ascii="Sylfaen" w:eastAsia="Times New Roman" w:hAnsi="Sylfaen" w:cs="Times New Roman"/>
          <w:color w:val="0260BF"/>
          <w:lang w:eastAsia="en-GB"/>
        </w:rPr>
        <w:t xml:space="preserve">%20opportunities%20for%20excess%20prof its. </w:t>
      </w:r>
      <w:r w:rsidRPr="00D9058C">
        <w:rPr>
          <w:rFonts w:ascii="Sylfaen" w:eastAsia="Times New Roman" w:hAnsi="Sylfaen" w:cs="Times New Roman"/>
          <w:lang w:eastAsia="en-GB"/>
        </w:rPr>
        <w:t xml:space="preserve">[Accessed 1 May 2021] </w:t>
      </w:r>
    </w:p>
    <w:p w14:paraId="3DBAA5E8" w14:textId="77777777" w:rsidR="00D9058C" w:rsidRPr="00D9058C" w:rsidRDefault="00D9058C" w:rsidP="00D9058C">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lastRenderedPageBreak/>
        <w:t xml:space="preserve">Leicester, A., Levell, P. and Rasul, I., (2012). </w:t>
      </w:r>
      <w:r w:rsidRPr="00D9058C">
        <w:rPr>
          <w:rFonts w:ascii="Sylfaen" w:eastAsia="Times New Roman" w:hAnsi="Sylfaen" w:cs="Times New Roman"/>
          <w:i/>
          <w:iCs/>
          <w:lang w:eastAsia="en-GB"/>
        </w:rPr>
        <w:t>Tax and benefit policy: insights from behavioural economics</w:t>
      </w:r>
      <w:r w:rsidRPr="00D9058C">
        <w:rPr>
          <w:rFonts w:ascii="Sylfaen" w:eastAsia="Times New Roman" w:hAnsi="Sylfaen" w:cs="Times New Roman"/>
          <w:lang w:eastAsia="en-GB"/>
        </w:rPr>
        <w:t xml:space="preserve">. [online] Ifs.org.uk. Available at: </w:t>
      </w:r>
      <w:r w:rsidRPr="00D9058C">
        <w:rPr>
          <w:rFonts w:ascii="Sylfaen" w:eastAsia="Times New Roman" w:hAnsi="Sylfaen" w:cs="Times New Roman"/>
          <w:color w:val="0260BF"/>
          <w:lang w:eastAsia="en-GB"/>
        </w:rPr>
        <w:t xml:space="preserve">https://www.ifs.org.uk/comms/comm125.pdf </w:t>
      </w:r>
      <w:r w:rsidRPr="00D9058C">
        <w:rPr>
          <w:rFonts w:ascii="Sylfaen" w:eastAsia="Times New Roman" w:hAnsi="Sylfaen" w:cs="Times New Roman"/>
          <w:lang w:eastAsia="en-GB"/>
        </w:rPr>
        <w:t xml:space="preserve">[Accessed 1 May 2021] </w:t>
      </w:r>
    </w:p>
    <w:p w14:paraId="32E7ED56" w14:textId="77777777" w:rsidR="00D9058C" w:rsidRPr="00D9058C" w:rsidRDefault="00D9058C" w:rsidP="00D9058C">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Reisch, L. and Sunstein, C., (2016). Do Europeans Like </w:t>
      </w:r>
      <w:proofErr w:type="gramStart"/>
      <w:r w:rsidRPr="00D9058C">
        <w:rPr>
          <w:rFonts w:ascii="Sylfaen" w:eastAsia="Times New Roman" w:hAnsi="Sylfaen" w:cs="Times New Roman"/>
          <w:lang w:eastAsia="en-GB"/>
        </w:rPr>
        <w:t>Nudges?.</w:t>
      </w:r>
      <w:proofErr w:type="gramEnd"/>
      <w:r w:rsidRPr="00D9058C">
        <w:rPr>
          <w:rFonts w:ascii="Sylfaen" w:eastAsia="Times New Roman" w:hAnsi="Sylfaen" w:cs="Times New Roman"/>
          <w:lang w:eastAsia="en-GB"/>
        </w:rPr>
        <w:t xml:space="preserve"> </w:t>
      </w:r>
      <w:r w:rsidRPr="00D9058C">
        <w:rPr>
          <w:rFonts w:ascii="Sylfaen" w:eastAsia="Times New Roman" w:hAnsi="Sylfaen" w:cs="Times New Roman"/>
          <w:i/>
          <w:iCs/>
          <w:lang w:eastAsia="en-GB"/>
        </w:rPr>
        <w:t>SSRN Electronic Journal</w:t>
      </w:r>
      <w:r w:rsidRPr="00D9058C">
        <w:rPr>
          <w:rFonts w:ascii="Sylfaen" w:eastAsia="Times New Roman" w:hAnsi="Sylfaen" w:cs="Times New Roman"/>
          <w:lang w:eastAsia="en-GB"/>
        </w:rPr>
        <w:t xml:space="preserve">, [online] 11(4), pp.3120-325. Available at: </w:t>
      </w:r>
      <w:r w:rsidRPr="00D9058C">
        <w:rPr>
          <w:rFonts w:ascii="Sylfaen" w:eastAsia="Times New Roman" w:hAnsi="Sylfaen" w:cs="Times New Roman"/>
          <w:color w:val="0260BF"/>
          <w:lang w:eastAsia="en-GB"/>
        </w:rPr>
        <w:t xml:space="preserve">http://journal.sjdm.org/16/16202b/jdm16202b.pdf </w:t>
      </w:r>
      <w:r w:rsidRPr="00D9058C">
        <w:rPr>
          <w:rFonts w:ascii="Sylfaen" w:eastAsia="Times New Roman" w:hAnsi="Sylfaen" w:cs="Times New Roman"/>
          <w:lang w:eastAsia="en-GB"/>
        </w:rPr>
        <w:t xml:space="preserve">[Accessed 1 May 2021] </w:t>
      </w:r>
    </w:p>
    <w:p w14:paraId="4397DBA2" w14:textId="77777777" w:rsidR="004E074A" w:rsidRDefault="00D9058C" w:rsidP="004E074A">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D9058C">
        <w:rPr>
          <w:rFonts w:ascii="Sylfaen" w:eastAsia="Times New Roman" w:hAnsi="Sylfaen" w:cs="Times New Roman"/>
          <w:lang w:eastAsia="en-GB"/>
        </w:rPr>
        <w:t xml:space="preserve">Schmidt, A. and Engelen, B., (2020). The ethics of nudging: An overview. </w:t>
      </w:r>
      <w:r w:rsidRPr="00D9058C">
        <w:rPr>
          <w:rFonts w:ascii="Sylfaen" w:eastAsia="Times New Roman" w:hAnsi="Sylfaen" w:cs="Times New Roman"/>
          <w:i/>
          <w:iCs/>
          <w:lang w:eastAsia="en-GB"/>
        </w:rPr>
        <w:t>Philosophy Compass</w:t>
      </w:r>
      <w:r w:rsidRPr="00D9058C">
        <w:rPr>
          <w:rFonts w:ascii="Sylfaen" w:eastAsia="Times New Roman" w:hAnsi="Sylfaen" w:cs="Times New Roman"/>
          <w:lang w:eastAsia="en-GB"/>
        </w:rPr>
        <w:t xml:space="preserve">, [online] 15(4). Available at: </w:t>
      </w:r>
      <w:r w:rsidRPr="00D9058C">
        <w:rPr>
          <w:rFonts w:ascii="Sylfaen" w:eastAsia="Times New Roman" w:hAnsi="Sylfaen" w:cs="Times New Roman"/>
          <w:color w:val="0260BF"/>
          <w:lang w:eastAsia="en-GB"/>
        </w:rPr>
        <w:t xml:space="preserve">https://onlinelibrary.wiley.com/doi/epdf/10.1111/phc3.12658 </w:t>
      </w:r>
      <w:r w:rsidRPr="00D9058C">
        <w:rPr>
          <w:rFonts w:ascii="Sylfaen" w:eastAsia="Times New Roman" w:hAnsi="Sylfaen" w:cs="Times New Roman"/>
          <w:lang w:eastAsia="en-GB"/>
        </w:rPr>
        <w:t xml:space="preserve">[Accessed 2 May 2021]. </w:t>
      </w:r>
    </w:p>
    <w:p w14:paraId="4252D049" w14:textId="77777777" w:rsidR="004E074A" w:rsidRPr="004E074A" w:rsidRDefault="00D9058C" w:rsidP="004E074A">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4E074A">
        <w:rPr>
          <w:rFonts w:ascii="TimesNewRomanPSMT" w:eastAsia="Times New Roman" w:hAnsi="TimesNewRomanPSMT" w:cs="Times New Roman"/>
          <w:sz w:val="24"/>
          <w:szCs w:val="24"/>
          <w:lang w:eastAsia="en-GB"/>
        </w:rPr>
        <w:t xml:space="preserve">Schubert, C., (2017). Exploring the (behavioural) political economy of nudging. </w:t>
      </w:r>
      <w:r w:rsidRPr="004E074A">
        <w:rPr>
          <w:rFonts w:ascii="TimesNewRomanPS" w:eastAsia="Times New Roman" w:hAnsi="TimesNewRomanPS" w:cs="Times New Roman"/>
          <w:i/>
          <w:iCs/>
          <w:sz w:val="24"/>
          <w:szCs w:val="24"/>
          <w:lang w:eastAsia="en-GB"/>
        </w:rPr>
        <w:t>Journal of Institutional Economics</w:t>
      </w:r>
      <w:r w:rsidRPr="004E074A">
        <w:rPr>
          <w:rFonts w:ascii="TimesNewRomanPSMT" w:eastAsia="Times New Roman" w:hAnsi="TimesNewRomanPSMT" w:cs="Times New Roman"/>
          <w:sz w:val="24"/>
          <w:szCs w:val="24"/>
          <w:lang w:eastAsia="en-GB"/>
        </w:rPr>
        <w:t xml:space="preserve">, [online] 13(3), pp.499-522. Available at: </w:t>
      </w:r>
      <w:r w:rsidRPr="004E074A">
        <w:rPr>
          <w:rFonts w:ascii="TimesNewRomanPSMT" w:eastAsia="Times New Roman" w:hAnsi="TimesNewRomanPSMT" w:cs="Times New Roman"/>
          <w:color w:val="0260BF"/>
          <w:sz w:val="24"/>
          <w:szCs w:val="24"/>
          <w:lang w:eastAsia="en-GB"/>
        </w:rPr>
        <w:t xml:space="preserve">https://www.cambridge.org/core/journals/journal-of-institutional- economics/article/exploring-the-behavioural-political-economy-of- nudging/17C12F1AA7C349DB21ABDCE30AB8E433# </w:t>
      </w:r>
      <w:r w:rsidRPr="004E074A">
        <w:rPr>
          <w:rFonts w:ascii="TimesNewRomanPSMT" w:eastAsia="Times New Roman" w:hAnsi="TimesNewRomanPSMT" w:cs="Times New Roman"/>
          <w:sz w:val="24"/>
          <w:szCs w:val="24"/>
          <w:lang w:eastAsia="en-GB"/>
        </w:rPr>
        <w:t>[Accessed 1 May 2021].</w:t>
      </w:r>
    </w:p>
    <w:p w14:paraId="2F6295A5" w14:textId="25081678" w:rsidR="00D9058C" w:rsidRPr="004E074A" w:rsidRDefault="00D9058C" w:rsidP="004E074A">
      <w:pPr>
        <w:pStyle w:val="ListParagraph"/>
        <w:numPr>
          <w:ilvl w:val="0"/>
          <w:numId w:val="3"/>
        </w:numPr>
        <w:spacing w:before="100" w:beforeAutospacing="1" w:after="100" w:afterAutospacing="1" w:line="240" w:lineRule="auto"/>
        <w:jc w:val="both"/>
        <w:rPr>
          <w:rFonts w:ascii="Sylfaen" w:eastAsia="Times New Roman" w:hAnsi="Sylfaen" w:cs="Times New Roman"/>
          <w:lang w:eastAsia="en-GB"/>
        </w:rPr>
      </w:pPr>
      <w:r w:rsidRPr="004E074A">
        <w:rPr>
          <w:rFonts w:ascii="TimesNewRomanPSMT" w:eastAsia="Times New Roman" w:hAnsi="TimesNewRomanPSMT" w:cs="Times New Roman"/>
          <w:sz w:val="24"/>
          <w:szCs w:val="24"/>
          <w:lang w:eastAsia="en-GB"/>
        </w:rPr>
        <w:t xml:space="preserve">Sunstein, C., (2017). Nudges that fail. </w:t>
      </w:r>
      <w:r w:rsidRPr="004E074A">
        <w:rPr>
          <w:rFonts w:ascii="TimesNewRomanPS" w:eastAsia="Times New Roman" w:hAnsi="TimesNewRomanPS" w:cs="Times New Roman"/>
          <w:i/>
          <w:iCs/>
          <w:sz w:val="24"/>
          <w:szCs w:val="24"/>
          <w:lang w:eastAsia="en-GB"/>
        </w:rPr>
        <w:t>Behavioural Public Policy</w:t>
      </w:r>
      <w:r w:rsidRPr="004E074A">
        <w:rPr>
          <w:rFonts w:ascii="TimesNewRomanPSMT" w:eastAsia="Times New Roman" w:hAnsi="TimesNewRomanPSMT" w:cs="Times New Roman"/>
          <w:sz w:val="24"/>
          <w:szCs w:val="24"/>
          <w:lang w:eastAsia="en-GB"/>
        </w:rPr>
        <w:t xml:space="preserve">, [online] 1(1), pp.4- 25. Available at: </w:t>
      </w:r>
      <w:r w:rsidRPr="004E074A">
        <w:rPr>
          <w:rFonts w:ascii="TimesNewRomanPSMT" w:eastAsia="Times New Roman" w:hAnsi="TimesNewRomanPSMT" w:cs="Times New Roman"/>
          <w:color w:val="0260BF"/>
          <w:sz w:val="24"/>
          <w:szCs w:val="24"/>
          <w:lang w:eastAsia="en-GB"/>
        </w:rPr>
        <w:t xml:space="preserve">https://www.cambridge.org/core/journals/behavioural-public- policy/article/nudges-that fail/8DE5FFFFB7DA5BE14F8DC1E3D2C0C0AA </w:t>
      </w:r>
      <w:r w:rsidRPr="004E074A">
        <w:rPr>
          <w:rFonts w:ascii="TimesNewRomanPSMT" w:eastAsia="Times New Roman" w:hAnsi="TimesNewRomanPSMT" w:cs="Times New Roman"/>
          <w:sz w:val="24"/>
          <w:szCs w:val="24"/>
          <w:lang w:eastAsia="en-GB"/>
        </w:rPr>
        <w:t xml:space="preserve">[Accessed 1 May 2021] </w:t>
      </w:r>
    </w:p>
    <w:p w14:paraId="7413A651" w14:textId="5561295B" w:rsidR="00D9058C" w:rsidRPr="00D9058C" w:rsidRDefault="00D9058C" w:rsidP="00D9058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9058C">
        <w:rPr>
          <w:rFonts w:ascii="TimesNewRomanPSMT" w:eastAsia="Times New Roman" w:hAnsi="TimesNewRomanPSMT" w:cs="Times New Roman"/>
          <w:sz w:val="24"/>
          <w:szCs w:val="24"/>
          <w:lang w:eastAsia="en-GB"/>
        </w:rPr>
        <w:t xml:space="preserve">Thaler, R. and Sunstein, C., (2008). </w:t>
      </w:r>
      <w:r w:rsidRPr="00D9058C">
        <w:rPr>
          <w:rFonts w:ascii="TimesNewRomanPS" w:eastAsia="Times New Roman" w:hAnsi="TimesNewRomanPS" w:cs="Times New Roman"/>
          <w:i/>
          <w:iCs/>
          <w:sz w:val="24"/>
          <w:szCs w:val="24"/>
          <w:lang w:eastAsia="en-GB"/>
        </w:rPr>
        <w:t>NUDGE Improving Decisions About Health, Wealth, and Happiness</w:t>
      </w:r>
      <w:r w:rsidRPr="00D9058C">
        <w:rPr>
          <w:rFonts w:ascii="TimesNewRomanPSMT" w:eastAsia="Times New Roman" w:hAnsi="TimesNewRomanPSMT" w:cs="Times New Roman"/>
          <w:sz w:val="24"/>
          <w:szCs w:val="24"/>
          <w:lang w:eastAsia="en-GB"/>
        </w:rPr>
        <w:t xml:space="preserve">. [online] Google Scholar. Available at: </w:t>
      </w:r>
      <w:r w:rsidRPr="00D9058C">
        <w:rPr>
          <w:rFonts w:ascii="TimesNewRomanPSMT" w:eastAsia="Times New Roman" w:hAnsi="TimesNewRomanPSMT" w:cs="Times New Roman"/>
          <w:color w:val="0260BF"/>
          <w:sz w:val="24"/>
          <w:szCs w:val="24"/>
          <w:lang w:eastAsia="en-GB"/>
        </w:rPr>
        <w:t>https://scholar.google.com/scholar_lookup?title=Nudge%3A+Improving+Decisions+ about+Health%2C+Wealth+and+Happiness&amp;author=Thaler+R.+H.&amp;author=Sunstein +C.+R.&amp;</w:t>
      </w:r>
      <w:proofErr w:type="spellStart"/>
      <w:r w:rsidRPr="00D9058C">
        <w:rPr>
          <w:rFonts w:ascii="TimesNewRomanPSMT" w:eastAsia="Times New Roman" w:hAnsi="TimesNewRomanPSMT" w:cs="Times New Roman"/>
          <w:color w:val="0260BF"/>
          <w:sz w:val="24"/>
          <w:szCs w:val="24"/>
          <w:lang w:eastAsia="en-GB"/>
        </w:rPr>
        <w:t>publication+year</w:t>
      </w:r>
      <w:proofErr w:type="spellEnd"/>
      <w:r w:rsidRPr="00D9058C">
        <w:rPr>
          <w:rFonts w:ascii="TimesNewRomanPSMT" w:eastAsia="Times New Roman" w:hAnsi="TimesNewRomanPSMT" w:cs="Times New Roman"/>
          <w:color w:val="0260BF"/>
          <w:sz w:val="24"/>
          <w:szCs w:val="24"/>
          <w:lang w:eastAsia="en-GB"/>
        </w:rPr>
        <w:t xml:space="preserve">=2008 </w:t>
      </w:r>
      <w:r w:rsidRPr="00D9058C">
        <w:rPr>
          <w:rFonts w:ascii="TimesNewRomanPSMT" w:eastAsia="Times New Roman" w:hAnsi="TimesNewRomanPSMT" w:cs="Times New Roman"/>
          <w:sz w:val="24"/>
          <w:szCs w:val="24"/>
          <w:lang w:eastAsia="en-GB"/>
        </w:rPr>
        <w:t xml:space="preserve">[Accessed 1 May 2021] </w:t>
      </w:r>
    </w:p>
    <w:p w14:paraId="30E0674A" w14:textId="0E893F1D" w:rsidR="00D9058C" w:rsidRPr="00D9058C" w:rsidRDefault="00D9058C" w:rsidP="00D9058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9058C">
        <w:rPr>
          <w:rFonts w:ascii="TimesNewRomanPSMT" w:eastAsia="Times New Roman" w:hAnsi="TimesNewRomanPSMT" w:cs="Times New Roman"/>
          <w:sz w:val="24"/>
          <w:szCs w:val="24"/>
          <w:lang w:eastAsia="en-GB"/>
        </w:rPr>
        <w:t>tutor2u. n.d.</w:t>
      </w:r>
      <w:r w:rsidR="004E074A">
        <w:rPr>
          <w:rFonts w:ascii="TimesNewRomanPSMT" w:eastAsia="Times New Roman" w:hAnsi="TimesNewRomanPSMT" w:cs="Times New Roman"/>
          <w:sz w:val="24"/>
          <w:szCs w:val="24"/>
          <w:lang w:eastAsia="en-GB"/>
        </w:rPr>
        <w:t xml:space="preserve"> (Anon)</w:t>
      </w:r>
      <w:r w:rsidRPr="00D9058C">
        <w:rPr>
          <w:rFonts w:ascii="TimesNewRomanPSMT" w:eastAsia="Times New Roman" w:hAnsi="TimesNewRomanPSMT" w:cs="Times New Roman"/>
          <w:sz w:val="24"/>
          <w:szCs w:val="24"/>
          <w:lang w:eastAsia="en-GB"/>
        </w:rPr>
        <w:t xml:space="preserve"> </w:t>
      </w:r>
      <w:r w:rsidRPr="00D9058C">
        <w:rPr>
          <w:rFonts w:ascii="TimesNewRomanPS" w:eastAsia="Times New Roman" w:hAnsi="TimesNewRomanPS" w:cs="Times New Roman"/>
          <w:i/>
          <w:iCs/>
          <w:sz w:val="24"/>
          <w:szCs w:val="24"/>
          <w:lang w:eastAsia="en-GB"/>
        </w:rPr>
        <w:t>Evaluating Behavioural Nudges (Behavioural Economics) | tutor2u</w:t>
      </w:r>
      <w:r w:rsidRPr="00D9058C">
        <w:rPr>
          <w:rFonts w:ascii="TimesNewRomanPSMT" w:eastAsia="Times New Roman" w:hAnsi="TimesNewRomanPSMT" w:cs="Times New Roman"/>
          <w:sz w:val="24"/>
          <w:szCs w:val="24"/>
          <w:lang w:eastAsia="en-GB"/>
        </w:rPr>
        <w:t xml:space="preserve">. [online] Available at: </w:t>
      </w:r>
      <w:r w:rsidRPr="00D9058C">
        <w:rPr>
          <w:rFonts w:ascii="TimesNewRomanPSMT" w:eastAsia="Times New Roman" w:hAnsi="TimesNewRomanPSMT" w:cs="Times New Roman"/>
          <w:color w:val="0260BF"/>
          <w:sz w:val="24"/>
          <w:szCs w:val="24"/>
          <w:lang w:eastAsia="en-GB"/>
        </w:rPr>
        <w:t xml:space="preserve">https://www.tutor2u.net/economics/reference/evaluating- </w:t>
      </w:r>
      <w:proofErr w:type="gramStart"/>
      <w:r w:rsidRPr="00D9058C">
        <w:rPr>
          <w:rFonts w:ascii="TimesNewRomanPSMT" w:eastAsia="Times New Roman" w:hAnsi="TimesNewRomanPSMT" w:cs="Times New Roman"/>
          <w:color w:val="0260BF"/>
          <w:sz w:val="24"/>
          <w:szCs w:val="24"/>
          <w:lang w:eastAsia="en-GB"/>
        </w:rPr>
        <w:t>behavioural-nudges</w:t>
      </w:r>
      <w:proofErr w:type="gramEnd"/>
      <w:r w:rsidRPr="00D9058C">
        <w:rPr>
          <w:rFonts w:ascii="TimesNewRomanPSMT" w:eastAsia="Times New Roman" w:hAnsi="TimesNewRomanPSMT" w:cs="Times New Roman"/>
          <w:color w:val="0260BF"/>
          <w:sz w:val="24"/>
          <w:szCs w:val="24"/>
          <w:lang w:eastAsia="en-GB"/>
        </w:rPr>
        <w:t xml:space="preserve"> </w:t>
      </w:r>
      <w:r w:rsidRPr="00D9058C">
        <w:rPr>
          <w:rFonts w:ascii="TimesNewRomanPSMT" w:eastAsia="Times New Roman" w:hAnsi="TimesNewRomanPSMT" w:cs="Times New Roman"/>
          <w:sz w:val="24"/>
          <w:szCs w:val="24"/>
          <w:lang w:eastAsia="en-GB"/>
        </w:rPr>
        <w:t xml:space="preserve">[Accessed 1 May 2021] </w:t>
      </w:r>
    </w:p>
    <w:p w14:paraId="641E6C3E" w14:textId="1F6BD55B" w:rsidR="00D9058C" w:rsidRPr="00D9058C" w:rsidRDefault="00D9058C" w:rsidP="00D9058C">
      <w:pPr>
        <w:spacing w:before="100" w:beforeAutospacing="1" w:after="100" w:afterAutospacing="1" w:line="240" w:lineRule="auto"/>
        <w:rPr>
          <w:rFonts w:ascii="Times New Roman" w:eastAsia="Times New Roman" w:hAnsi="Times New Roman" w:cs="Times New Roman"/>
          <w:sz w:val="24"/>
          <w:szCs w:val="24"/>
          <w:lang w:eastAsia="en-GB"/>
        </w:rPr>
      </w:pPr>
    </w:p>
    <w:p w14:paraId="0971D9F4" w14:textId="7C67020E" w:rsidR="00754FDD" w:rsidRPr="00C3555D" w:rsidRDefault="00754FDD" w:rsidP="00754FDD">
      <w:pPr>
        <w:spacing w:after="0" w:line="240" w:lineRule="auto"/>
        <w:rPr>
          <w:rFonts w:ascii="Sylfaen" w:hAnsi="Sylfaen" w:cs="Times New Roman"/>
          <w:lang w:eastAsia="en-GB"/>
        </w:rPr>
      </w:pPr>
      <w:r w:rsidRPr="00C3555D">
        <w:rPr>
          <w:rFonts w:ascii="Sylfaen" w:hAnsi="Sylfaen" w:cs="Times New Roman"/>
          <w:lang w:eastAsia="en-GB"/>
        </w:rPr>
        <w:t xml:space="preserve">© </w:t>
      </w:r>
      <w:proofErr w:type="spellStart"/>
      <w:r>
        <w:rPr>
          <w:rFonts w:ascii="Sylfaen" w:hAnsi="Sylfaen" w:cs="Times New Roman"/>
          <w:lang w:eastAsia="en-GB"/>
        </w:rPr>
        <w:t>Akshana</w:t>
      </w:r>
      <w:proofErr w:type="spellEnd"/>
      <w:r>
        <w:rPr>
          <w:rFonts w:ascii="Sylfaen" w:hAnsi="Sylfaen" w:cs="Times New Roman"/>
          <w:lang w:eastAsia="en-GB"/>
        </w:rPr>
        <w:t xml:space="preserve"> Ravikumar.</w:t>
      </w:r>
      <w:r w:rsidRPr="00E33EA8">
        <w:rPr>
          <w:rFonts w:ascii="Sylfaen" w:hAnsi="Sylfaen" w:cs="Times New Roman"/>
          <w:lang w:eastAsia="en-GB"/>
        </w:rPr>
        <w:t xml:space="preserve"> </w:t>
      </w:r>
      <w:r w:rsidRPr="00C3555D">
        <w:rPr>
          <w:rFonts w:ascii="Sylfaen" w:hAnsi="Sylfaen" w:cs="Times New Roman"/>
          <w:lang w:eastAsia="en-GB"/>
        </w:rPr>
        <w:t xml:space="preserve">This article is licensed under a Creative Commons Attribution 4.0 International Licence (CC BY). </w:t>
      </w:r>
    </w:p>
    <w:p w14:paraId="60FECB55" w14:textId="77777777" w:rsidR="00D9058C" w:rsidRPr="00D9058C" w:rsidRDefault="00D9058C" w:rsidP="00D9058C">
      <w:pPr>
        <w:jc w:val="both"/>
        <w:rPr>
          <w:rFonts w:ascii="Sylfaen" w:hAnsi="Sylfaen"/>
        </w:rPr>
      </w:pPr>
    </w:p>
    <w:sectPr w:rsidR="00D9058C" w:rsidRPr="00D9058C" w:rsidSect="00F51197">
      <w:headerReference w:type="default" r:id="rId8"/>
      <w:footerReference w:type="even" r:id="rId9"/>
      <w:footerReference w:type="default" r:id="rId10"/>
      <w:footerReference w:type="first" r:id="rId11"/>
      <w:pgSz w:w="11906" w:h="16838"/>
      <w:pgMar w:top="1440" w:right="1440" w:bottom="1440" w:left="1440"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0C3C9" w14:textId="77777777" w:rsidR="003645AF" w:rsidRDefault="003645AF" w:rsidP="00DE720D">
      <w:pPr>
        <w:spacing w:after="0" w:line="240" w:lineRule="auto"/>
      </w:pPr>
      <w:r>
        <w:separator/>
      </w:r>
    </w:p>
  </w:endnote>
  <w:endnote w:type="continuationSeparator" w:id="0">
    <w:p w14:paraId="51F632B2" w14:textId="77777777" w:rsidR="003645AF" w:rsidRDefault="003645AF" w:rsidP="00DE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MT">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0862569"/>
      <w:docPartObj>
        <w:docPartGallery w:val="Page Numbers (Bottom of Page)"/>
        <w:docPartUnique/>
      </w:docPartObj>
    </w:sdtPr>
    <w:sdtEndPr>
      <w:rPr>
        <w:rStyle w:val="PageNumber"/>
      </w:rPr>
    </w:sdtEndPr>
    <w:sdtContent>
      <w:p w14:paraId="48D4D8A2" w14:textId="766C5F49" w:rsidR="00DE720D" w:rsidRDefault="00DE720D" w:rsidP="00B93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51573" w14:textId="77777777" w:rsidR="00DE720D" w:rsidRDefault="00DE720D" w:rsidP="00DE72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sz w:val="20"/>
        <w:szCs w:val="20"/>
      </w:rPr>
      <w:id w:val="825786270"/>
      <w:docPartObj>
        <w:docPartGallery w:val="Page Numbers (Bottom of Page)"/>
        <w:docPartUnique/>
      </w:docPartObj>
    </w:sdtPr>
    <w:sdtEndPr>
      <w:rPr>
        <w:noProof/>
      </w:rPr>
    </w:sdtEndPr>
    <w:sdtContent>
      <w:p w14:paraId="5B68D15A" w14:textId="64826AC6" w:rsidR="002E2518" w:rsidRPr="006E11E6" w:rsidRDefault="002E2518" w:rsidP="002E2518">
        <w:pPr>
          <w:pStyle w:val="Footer"/>
          <w:pBdr>
            <w:bottom w:val="single" w:sz="4" w:space="1" w:color="auto"/>
          </w:pBdr>
          <w:rPr>
            <w:rFonts w:ascii="Sylfaen" w:hAnsi="Sylfaen"/>
            <w:sz w:val="20"/>
            <w:szCs w:val="20"/>
          </w:rPr>
        </w:pPr>
      </w:p>
      <w:p w14:paraId="5F34524B" w14:textId="77777777" w:rsidR="002E2518" w:rsidRPr="006E11E6" w:rsidRDefault="002E2518" w:rsidP="002E2518">
        <w:pPr>
          <w:pStyle w:val="Footer"/>
          <w:jc w:val="center"/>
          <w:rPr>
            <w:rFonts w:ascii="Sylfaen" w:hAnsi="Sylfaen"/>
            <w:noProof/>
            <w:sz w:val="20"/>
            <w:szCs w:val="20"/>
          </w:rPr>
        </w:pPr>
        <w:r w:rsidRPr="006E11E6">
          <w:rPr>
            <w:rFonts w:ascii="Sylfaen" w:hAnsi="Sylfaen"/>
            <w:sz w:val="20"/>
            <w:szCs w:val="20"/>
          </w:rPr>
          <w:fldChar w:fldCharType="begin"/>
        </w:r>
        <w:r w:rsidRPr="006E11E6">
          <w:rPr>
            <w:rFonts w:ascii="Sylfaen" w:hAnsi="Sylfaen"/>
            <w:sz w:val="20"/>
            <w:szCs w:val="20"/>
          </w:rPr>
          <w:instrText xml:space="preserve"> PAGE   \* MERGEFORMAT </w:instrText>
        </w:r>
        <w:r w:rsidRPr="006E11E6">
          <w:rPr>
            <w:rFonts w:ascii="Sylfaen" w:hAnsi="Sylfaen"/>
            <w:sz w:val="20"/>
            <w:szCs w:val="20"/>
          </w:rPr>
          <w:fldChar w:fldCharType="separate"/>
        </w:r>
        <w:r w:rsidRPr="006E11E6">
          <w:rPr>
            <w:rFonts w:ascii="Sylfaen" w:hAnsi="Sylfaen"/>
            <w:sz w:val="20"/>
            <w:szCs w:val="20"/>
          </w:rPr>
          <w:t>1</w:t>
        </w:r>
        <w:r w:rsidRPr="006E11E6">
          <w:rPr>
            <w:rFonts w:ascii="Sylfaen" w:hAnsi="Sylfaen"/>
            <w:noProof/>
            <w:sz w:val="20"/>
            <w:szCs w:val="20"/>
          </w:rPr>
          <w:fldChar w:fldCharType="end"/>
        </w:r>
      </w:p>
      <w:p w14:paraId="7545F6F6" w14:textId="168E4C23" w:rsidR="002E2518" w:rsidRPr="006E11E6" w:rsidRDefault="002E2518" w:rsidP="002E2518">
        <w:pPr>
          <w:pStyle w:val="Footer"/>
          <w:jc w:val="center"/>
          <w:rPr>
            <w:rFonts w:ascii="Sylfaen" w:hAnsi="Sylfaen"/>
            <w:noProof/>
            <w:sz w:val="20"/>
            <w:szCs w:val="20"/>
          </w:rPr>
        </w:pPr>
        <w:r w:rsidRPr="006E11E6">
          <w:rPr>
            <w:rFonts w:ascii="Sylfaen" w:hAnsi="Sylfaen"/>
            <w:noProof/>
            <w:sz w:val="20"/>
            <w:szCs w:val="20"/>
          </w:rPr>
          <w:t>This article is CC BY Akshana Ravikumar</w:t>
        </w:r>
        <w:r w:rsidRPr="006E11E6">
          <w:rPr>
            <w:rFonts w:ascii="Sylfaen" w:hAnsi="Sylfaen"/>
            <w:noProof/>
            <w:sz w:val="20"/>
            <w:szCs w:val="20"/>
          </w:rPr>
          <w:tab/>
        </w:r>
        <w:r w:rsidRPr="006E11E6">
          <w:rPr>
            <w:rFonts w:ascii="Sylfaen" w:hAnsi="Sylfaen"/>
            <w:noProof/>
            <w:sz w:val="20"/>
            <w:szCs w:val="20"/>
          </w:rPr>
          <w:tab/>
          <w:t>Essex Student Journal, 2021, Vol. 12</w:t>
        </w:r>
      </w:p>
      <w:p w14:paraId="0868D795" w14:textId="2A1D0C71" w:rsidR="00DE720D" w:rsidRPr="006E11E6" w:rsidRDefault="002E2518" w:rsidP="002E2518">
        <w:pPr>
          <w:pStyle w:val="Footer"/>
          <w:rPr>
            <w:rFonts w:ascii="Sylfaen" w:hAnsi="Sylfaen"/>
            <w:sz w:val="20"/>
            <w:szCs w:val="20"/>
          </w:rPr>
        </w:pPr>
        <w:r w:rsidRPr="006E11E6">
          <w:rPr>
            <w:rFonts w:ascii="Sylfaen" w:hAnsi="Sylfaen"/>
            <w:noProof/>
            <w:sz w:val="20"/>
            <w:szCs w:val="20"/>
          </w:rPr>
          <w:t xml:space="preserve">DOI: </w:t>
        </w:r>
        <w:hyperlink r:id="rId1" w:history="1">
          <w:r w:rsidRPr="006E11E6">
            <w:rPr>
              <w:rStyle w:val="Hyperlink"/>
              <w:rFonts w:ascii="Sylfaen" w:hAnsi="Sylfaen"/>
              <w:sz w:val="20"/>
              <w:szCs w:val="20"/>
            </w:rPr>
            <w:t>https://doi.org/10.5526/esj60</w:t>
          </w:r>
        </w:hyperlink>
        <w:r w:rsidRPr="006E11E6">
          <w:rPr>
            <w:sz w:val="20"/>
            <w:szCs w:val="20"/>
          </w:rPr>
          <w:t xml:space="preserve"> </w:t>
        </w:r>
        <w:r w:rsidRPr="006E11E6">
          <w:rPr>
            <w:rFonts w:ascii="Sylfaen" w:hAnsi="Sylfaen"/>
            <w:noProof/>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sz w:val="20"/>
        <w:szCs w:val="20"/>
      </w:rPr>
      <w:id w:val="633831851"/>
      <w:docPartObj>
        <w:docPartGallery w:val="Page Numbers (Bottom of Page)"/>
        <w:docPartUnique/>
      </w:docPartObj>
    </w:sdtPr>
    <w:sdtEndPr>
      <w:rPr>
        <w:noProof/>
      </w:rPr>
    </w:sdtEndPr>
    <w:sdtContent>
      <w:p w14:paraId="6EA9D633" w14:textId="77777777" w:rsidR="00F51197" w:rsidRPr="006E11E6" w:rsidRDefault="00F51197" w:rsidP="00F51197">
        <w:pPr>
          <w:pStyle w:val="Footer"/>
          <w:pBdr>
            <w:bottom w:val="single" w:sz="4" w:space="1" w:color="auto"/>
          </w:pBdr>
          <w:rPr>
            <w:rFonts w:ascii="Sylfaen" w:hAnsi="Sylfaen"/>
            <w:sz w:val="20"/>
            <w:szCs w:val="20"/>
          </w:rPr>
        </w:pPr>
      </w:p>
      <w:p w14:paraId="048B449D" w14:textId="77777777" w:rsidR="00F51197" w:rsidRPr="006E11E6" w:rsidRDefault="00F51197" w:rsidP="00F51197">
        <w:pPr>
          <w:pStyle w:val="Footer"/>
          <w:jc w:val="center"/>
          <w:rPr>
            <w:rFonts w:ascii="Sylfaen" w:hAnsi="Sylfaen"/>
            <w:noProof/>
            <w:sz w:val="20"/>
            <w:szCs w:val="20"/>
          </w:rPr>
        </w:pPr>
        <w:r w:rsidRPr="006E11E6">
          <w:rPr>
            <w:rFonts w:ascii="Sylfaen" w:hAnsi="Sylfaen"/>
            <w:sz w:val="20"/>
            <w:szCs w:val="20"/>
          </w:rPr>
          <w:fldChar w:fldCharType="begin"/>
        </w:r>
        <w:r w:rsidRPr="006E11E6">
          <w:rPr>
            <w:rFonts w:ascii="Sylfaen" w:hAnsi="Sylfaen"/>
            <w:sz w:val="20"/>
            <w:szCs w:val="20"/>
          </w:rPr>
          <w:instrText xml:space="preserve"> PAGE   \* MERGEFORMAT </w:instrText>
        </w:r>
        <w:r w:rsidRPr="006E11E6">
          <w:rPr>
            <w:rFonts w:ascii="Sylfaen" w:hAnsi="Sylfaen"/>
            <w:sz w:val="20"/>
            <w:szCs w:val="20"/>
          </w:rPr>
          <w:fldChar w:fldCharType="separate"/>
        </w:r>
        <w:r>
          <w:rPr>
            <w:rFonts w:ascii="Sylfaen" w:hAnsi="Sylfaen"/>
            <w:sz w:val="20"/>
            <w:szCs w:val="20"/>
          </w:rPr>
          <w:t>2</w:t>
        </w:r>
        <w:r w:rsidRPr="006E11E6">
          <w:rPr>
            <w:rFonts w:ascii="Sylfaen" w:hAnsi="Sylfaen"/>
            <w:noProof/>
            <w:sz w:val="20"/>
            <w:szCs w:val="20"/>
          </w:rPr>
          <w:fldChar w:fldCharType="end"/>
        </w:r>
      </w:p>
      <w:p w14:paraId="6DD3E5AB" w14:textId="77777777" w:rsidR="00F51197" w:rsidRPr="006E11E6" w:rsidRDefault="00F51197" w:rsidP="00F51197">
        <w:pPr>
          <w:pStyle w:val="Footer"/>
          <w:jc w:val="center"/>
          <w:rPr>
            <w:rFonts w:ascii="Sylfaen" w:hAnsi="Sylfaen"/>
            <w:noProof/>
            <w:sz w:val="20"/>
            <w:szCs w:val="20"/>
          </w:rPr>
        </w:pPr>
        <w:r w:rsidRPr="006E11E6">
          <w:rPr>
            <w:rFonts w:ascii="Sylfaen" w:hAnsi="Sylfaen"/>
            <w:noProof/>
            <w:sz w:val="20"/>
            <w:szCs w:val="20"/>
          </w:rPr>
          <w:t>This article is CC BY Akshana Ravikumar</w:t>
        </w:r>
        <w:r w:rsidRPr="006E11E6">
          <w:rPr>
            <w:rFonts w:ascii="Sylfaen" w:hAnsi="Sylfaen"/>
            <w:noProof/>
            <w:sz w:val="20"/>
            <w:szCs w:val="20"/>
          </w:rPr>
          <w:tab/>
        </w:r>
        <w:r w:rsidRPr="006E11E6">
          <w:rPr>
            <w:rFonts w:ascii="Sylfaen" w:hAnsi="Sylfaen"/>
            <w:noProof/>
            <w:sz w:val="20"/>
            <w:szCs w:val="20"/>
          </w:rPr>
          <w:tab/>
          <w:t>Essex Student Journal, 2021, Vol. 12</w:t>
        </w:r>
      </w:p>
      <w:p w14:paraId="751EB885" w14:textId="77777777" w:rsidR="00F51197" w:rsidRPr="006E11E6" w:rsidRDefault="00F51197" w:rsidP="00F51197">
        <w:pPr>
          <w:pStyle w:val="Footer"/>
          <w:rPr>
            <w:rFonts w:ascii="Sylfaen" w:hAnsi="Sylfaen"/>
            <w:sz w:val="20"/>
            <w:szCs w:val="20"/>
          </w:rPr>
        </w:pPr>
        <w:r w:rsidRPr="006E11E6">
          <w:rPr>
            <w:rFonts w:ascii="Sylfaen" w:hAnsi="Sylfaen"/>
            <w:noProof/>
            <w:sz w:val="20"/>
            <w:szCs w:val="20"/>
          </w:rPr>
          <w:t xml:space="preserve">DOI: </w:t>
        </w:r>
        <w:hyperlink r:id="rId1" w:history="1">
          <w:r w:rsidRPr="006E11E6">
            <w:rPr>
              <w:rStyle w:val="Hyperlink"/>
              <w:rFonts w:ascii="Sylfaen" w:hAnsi="Sylfaen"/>
              <w:sz w:val="20"/>
              <w:szCs w:val="20"/>
            </w:rPr>
            <w:t>https://doi.org/10.5526/esj60</w:t>
          </w:r>
        </w:hyperlink>
        <w:r w:rsidRPr="006E11E6">
          <w:rPr>
            <w:sz w:val="20"/>
            <w:szCs w:val="20"/>
          </w:rPr>
          <w:t xml:space="preserve"> </w:t>
        </w:r>
        <w:r w:rsidRPr="006E11E6">
          <w:rPr>
            <w:rFonts w:ascii="Sylfaen" w:hAnsi="Sylfaen"/>
            <w:noProof/>
            <w:sz w:val="20"/>
            <w:szCs w:val="20"/>
          </w:rPr>
          <w:tab/>
        </w:r>
      </w:p>
    </w:sdtContent>
  </w:sdt>
  <w:p w14:paraId="30E719C1" w14:textId="77777777" w:rsidR="00F51197" w:rsidRPr="006E11E6" w:rsidRDefault="00F51197" w:rsidP="002E2518">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FC6C1" w14:textId="77777777" w:rsidR="003645AF" w:rsidRDefault="003645AF" w:rsidP="00DE720D">
      <w:pPr>
        <w:spacing w:after="0" w:line="240" w:lineRule="auto"/>
      </w:pPr>
      <w:r>
        <w:separator/>
      </w:r>
    </w:p>
  </w:footnote>
  <w:footnote w:type="continuationSeparator" w:id="0">
    <w:p w14:paraId="0C457AE7" w14:textId="77777777" w:rsidR="003645AF" w:rsidRDefault="003645AF" w:rsidP="00DE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3F948" w14:textId="1FC65A93" w:rsidR="002E2518" w:rsidRPr="002E2518" w:rsidRDefault="002E2518" w:rsidP="002E2518">
    <w:pPr>
      <w:pStyle w:val="Header"/>
      <w:tabs>
        <w:tab w:val="clear" w:pos="4513"/>
        <w:tab w:val="clear" w:pos="9026"/>
        <w:tab w:val="left" w:pos="3123"/>
      </w:tabs>
      <w:rPr>
        <w:rFonts w:ascii="Sylfaen" w:hAnsi="Sylfaen"/>
      </w:rPr>
    </w:pPr>
    <w:r w:rsidRPr="002E2518">
      <w:rPr>
        <w:rFonts w:ascii="Sylfaen" w:hAnsi="Sylfaen"/>
      </w:rPr>
      <w:t>How can policy makers effectively use behavioural nudges to overcome market inefficiencies?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C4BFB"/>
    <w:multiLevelType w:val="multilevel"/>
    <w:tmpl w:val="61B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1A3DBE"/>
    <w:multiLevelType w:val="hybridMultilevel"/>
    <w:tmpl w:val="AF1A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B248B7"/>
    <w:multiLevelType w:val="multilevel"/>
    <w:tmpl w:val="16F87D52"/>
    <w:lvl w:ilvl="0">
      <w:start w:val="1"/>
      <w:numFmt w:val="bullet"/>
      <w:lvlText w:val=""/>
      <w:lvlJc w:val="left"/>
      <w:pPr>
        <w:tabs>
          <w:tab w:val="num" w:pos="720"/>
        </w:tabs>
        <w:ind w:left="720" w:hanging="360"/>
      </w:pPr>
      <w:rPr>
        <w:rFonts w:ascii="Symbol" w:hAnsi="Symbol" w:hint="default"/>
        <w:sz w:val="20"/>
      </w:rPr>
    </w:lvl>
    <w:lvl w:ilvl="1">
      <w:start w:val="25"/>
      <w:numFmt w:val="bullet"/>
      <w:lvlText w:val="•"/>
      <w:lvlJc w:val="left"/>
      <w:pPr>
        <w:ind w:left="1440" w:hanging="360"/>
      </w:pPr>
      <w:rPr>
        <w:rFonts w:ascii="SymbolMT" w:eastAsia="Times New Roman" w:hAnsi="SymbolM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8C"/>
    <w:rsid w:val="00043B6A"/>
    <w:rsid w:val="0007662B"/>
    <w:rsid w:val="000774E5"/>
    <w:rsid w:val="000B06F9"/>
    <w:rsid w:val="00110CC7"/>
    <w:rsid w:val="00160D7C"/>
    <w:rsid w:val="001767D0"/>
    <w:rsid w:val="00260455"/>
    <w:rsid w:val="00282AA3"/>
    <w:rsid w:val="002E2518"/>
    <w:rsid w:val="003645AF"/>
    <w:rsid w:val="004E074A"/>
    <w:rsid w:val="004E3F58"/>
    <w:rsid w:val="005E0A65"/>
    <w:rsid w:val="006019B8"/>
    <w:rsid w:val="006E11E6"/>
    <w:rsid w:val="006E3ECE"/>
    <w:rsid w:val="00754FDD"/>
    <w:rsid w:val="00765332"/>
    <w:rsid w:val="009367DB"/>
    <w:rsid w:val="00984843"/>
    <w:rsid w:val="00A34692"/>
    <w:rsid w:val="00A535B1"/>
    <w:rsid w:val="00A631E3"/>
    <w:rsid w:val="00D2590E"/>
    <w:rsid w:val="00D9058C"/>
    <w:rsid w:val="00DD40B1"/>
    <w:rsid w:val="00DE720D"/>
    <w:rsid w:val="00E4073C"/>
    <w:rsid w:val="00F51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59D07"/>
  <w15:chartTrackingRefBased/>
  <w15:docId w15:val="{D1BC4F0F-CDF1-6348-9A09-11967660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8C"/>
    <w:pPr>
      <w:spacing w:after="200" w:line="276" w:lineRule="auto"/>
    </w:pPr>
    <w:rPr>
      <w:sz w:val="22"/>
      <w:szCs w:val="22"/>
    </w:rPr>
  </w:style>
  <w:style w:type="paragraph" w:styleId="Heading1">
    <w:name w:val="heading 1"/>
    <w:basedOn w:val="Normal"/>
    <w:next w:val="Normal"/>
    <w:link w:val="Heading1Char"/>
    <w:uiPriority w:val="9"/>
    <w:qFormat/>
    <w:rsid w:val="00D90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774E5"/>
    <w:pPr>
      <w:spacing w:before="120" w:after="120"/>
      <w:jc w:val="both"/>
    </w:pPr>
    <w:rPr>
      <w:rFonts w:ascii="Times New Roman" w:hAnsi="Times New Roman"/>
      <w:b/>
      <w:bCs/>
      <w:caps/>
      <w:szCs w:val="20"/>
    </w:rPr>
  </w:style>
  <w:style w:type="character" w:customStyle="1" w:styleId="Heading1Char">
    <w:name w:val="Heading 1 Char"/>
    <w:basedOn w:val="DefaultParagraphFont"/>
    <w:link w:val="Heading1"/>
    <w:uiPriority w:val="9"/>
    <w:rsid w:val="00D9058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9058C"/>
    <w:rPr>
      <w:rFonts w:ascii="Times New Roman" w:hAnsi="Times New Roman" w:cs="Times New Roman"/>
      <w:sz w:val="24"/>
      <w:szCs w:val="24"/>
    </w:rPr>
  </w:style>
  <w:style w:type="paragraph" w:styleId="ListParagraph">
    <w:name w:val="List Paragraph"/>
    <w:basedOn w:val="Normal"/>
    <w:uiPriority w:val="34"/>
    <w:qFormat/>
    <w:rsid w:val="00D9058C"/>
    <w:pPr>
      <w:ind w:left="720"/>
      <w:contextualSpacing/>
    </w:pPr>
  </w:style>
  <w:style w:type="paragraph" w:styleId="Footer">
    <w:name w:val="footer"/>
    <w:basedOn w:val="Normal"/>
    <w:link w:val="FooterChar"/>
    <w:uiPriority w:val="99"/>
    <w:unhideWhenUsed/>
    <w:rsid w:val="00DE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20D"/>
    <w:rPr>
      <w:sz w:val="22"/>
      <w:szCs w:val="22"/>
    </w:rPr>
  </w:style>
  <w:style w:type="character" w:styleId="PageNumber">
    <w:name w:val="page number"/>
    <w:basedOn w:val="DefaultParagraphFont"/>
    <w:uiPriority w:val="99"/>
    <w:semiHidden/>
    <w:unhideWhenUsed/>
    <w:rsid w:val="00DE720D"/>
  </w:style>
  <w:style w:type="paragraph" w:styleId="Header">
    <w:name w:val="header"/>
    <w:basedOn w:val="Normal"/>
    <w:link w:val="HeaderChar"/>
    <w:uiPriority w:val="99"/>
    <w:unhideWhenUsed/>
    <w:rsid w:val="002E2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518"/>
    <w:rPr>
      <w:sz w:val="22"/>
      <w:szCs w:val="22"/>
    </w:rPr>
  </w:style>
  <w:style w:type="character" w:styleId="Hyperlink">
    <w:name w:val="Hyperlink"/>
    <w:basedOn w:val="DefaultParagraphFont"/>
    <w:uiPriority w:val="99"/>
    <w:unhideWhenUsed/>
    <w:rsid w:val="002E2518"/>
    <w:rPr>
      <w:color w:val="0563C1" w:themeColor="hyperlink"/>
      <w:u w:val="single"/>
    </w:rPr>
  </w:style>
  <w:style w:type="character" w:styleId="UnresolvedMention">
    <w:name w:val="Unresolved Mention"/>
    <w:basedOn w:val="DefaultParagraphFont"/>
    <w:uiPriority w:val="99"/>
    <w:semiHidden/>
    <w:unhideWhenUsed/>
    <w:rsid w:val="002E2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4647">
      <w:bodyDiv w:val="1"/>
      <w:marLeft w:val="0"/>
      <w:marRight w:val="0"/>
      <w:marTop w:val="0"/>
      <w:marBottom w:val="0"/>
      <w:divBdr>
        <w:top w:val="none" w:sz="0" w:space="0" w:color="auto"/>
        <w:left w:val="none" w:sz="0" w:space="0" w:color="auto"/>
        <w:bottom w:val="none" w:sz="0" w:space="0" w:color="auto"/>
        <w:right w:val="none" w:sz="0" w:space="0" w:color="auto"/>
      </w:divBdr>
      <w:divsChild>
        <w:div w:id="329260037">
          <w:marLeft w:val="0"/>
          <w:marRight w:val="0"/>
          <w:marTop w:val="0"/>
          <w:marBottom w:val="0"/>
          <w:divBdr>
            <w:top w:val="none" w:sz="0" w:space="0" w:color="auto"/>
            <w:left w:val="none" w:sz="0" w:space="0" w:color="auto"/>
            <w:bottom w:val="none" w:sz="0" w:space="0" w:color="auto"/>
            <w:right w:val="none" w:sz="0" w:space="0" w:color="auto"/>
          </w:divBdr>
          <w:divsChild>
            <w:div w:id="1613439392">
              <w:marLeft w:val="0"/>
              <w:marRight w:val="0"/>
              <w:marTop w:val="0"/>
              <w:marBottom w:val="0"/>
              <w:divBdr>
                <w:top w:val="none" w:sz="0" w:space="0" w:color="auto"/>
                <w:left w:val="none" w:sz="0" w:space="0" w:color="auto"/>
                <w:bottom w:val="none" w:sz="0" w:space="0" w:color="auto"/>
                <w:right w:val="none" w:sz="0" w:space="0" w:color="auto"/>
              </w:divBdr>
              <w:divsChild>
                <w:div w:id="11964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6653">
      <w:bodyDiv w:val="1"/>
      <w:marLeft w:val="0"/>
      <w:marRight w:val="0"/>
      <w:marTop w:val="0"/>
      <w:marBottom w:val="0"/>
      <w:divBdr>
        <w:top w:val="none" w:sz="0" w:space="0" w:color="auto"/>
        <w:left w:val="none" w:sz="0" w:space="0" w:color="auto"/>
        <w:bottom w:val="none" w:sz="0" w:space="0" w:color="auto"/>
        <w:right w:val="none" w:sz="0" w:space="0" w:color="auto"/>
      </w:divBdr>
      <w:divsChild>
        <w:div w:id="1897819594">
          <w:marLeft w:val="0"/>
          <w:marRight w:val="0"/>
          <w:marTop w:val="0"/>
          <w:marBottom w:val="0"/>
          <w:divBdr>
            <w:top w:val="none" w:sz="0" w:space="0" w:color="auto"/>
            <w:left w:val="none" w:sz="0" w:space="0" w:color="auto"/>
            <w:bottom w:val="none" w:sz="0" w:space="0" w:color="auto"/>
            <w:right w:val="none" w:sz="0" w:space="0" w:color="auto"/>
          </w:divBdr>
          <w:divsChild>
            <w:div w:id="784468565">
              <w:marLeft w:val="0"/>
              <w:marRight w:val="0"/>
              <w:marTop w:val="0"/>
              <w:marBottom w:val="0"/>
              <w:divBdr>
                <w:top w:val="none" w:sz="0" w:space="0" w:color="auto"/>
                <w:left w:val="none" w:sz="0" w:space="0" w:color="auto"/>
                <w:bottom w:val="none" w:sz="0" w:space="0" w:color="auto"/>
                <w:right w:val="none" w:sz="0" w:space="0" w:color="auto"/>
              </w:divBdr>
              <w:divsChild>
                <w:div w:id="19199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7409">
      <w:bodyDiv w:val="1"/>
      <w:marLeft w:val="0"/>
      <w:marRight w:val="0"/>
      <w:marTop w:val="0"/>
      <w:marBottom w:val="0"/>
      <w:divBdr>
        <w:top w:val="none" w:sz="0" w:space="0" w:color="auto"/>
        <w:left w:val="none" w:sz="0" w:space="0" w:color="auto"/>
        <w:bottom w:val="none" w:sz="0" w:space="0" w:color="auto"/>
        <w:right w:val="none" w:sz="0" w:space="0" w:color="auto"/>
      </w:divBdr>
      <w:divsChild>
        <w:div w:id="864487978">
          <w:marLeft w:val="0"/>
          <w:marRight w:val="0"/>
          <w:marTop w:val="0"/>
          <w:marBottom w:val="0"/>
          <w:divBdr>
            <w:top w:val="none" w:sz="0" w:space="0" w:color="auto"/>
            <w:left w:val="none" w:sz="0" w:space="0" w:color="auto"/>
            <w:bottom w:val="none" w:sz="0" w:space="0" w:color="auto"/>
            <w:right w:val="none" w:sz="0" w:space="0" w:color="auto"/>
          </w:divBdr>
          <w:divsChild>
            <w:div w:id="1913346685">
              <w:marLeft w:val="0"/>
              <w:marRight w:val="0"/>
              <w:marTop w:val="0"/>
              <w:marBottom w:val="0"/>
              <w:divBdr>
                <w:top w:val="none" w:sz="0" w:space="0" w:color="auto"/>
                <w:left w:val="none" w:sz="0" w:space="0" w:color="auto"/>
                <w:bottom w:val="none" w:sz="0" w:space="0" w:color="auto"/>
                <w:right w:val="none" w:sz="0" w:space="0" w:color="auto"/>
              </w:divBdr>
              <w:divsChild>
                <w:div w:id="1998219571">
                  <w:marLeft w:val="0"/>
                  <w:marRight w:val="0"/>
                  <w:marTop w:val="0"/>
                  <w:marBottom w:val="0"/>
                  <w:divBdr>
                    <w:top w:val="none" w:sz="0" w:space="0" w:color="auto"/>
                    <w:left w:val="none" w:sz="0" w:space="0" w:color="auto"/>
                    <w:bottom w:val="none" w:sz="0" w:space="0" w:color="auto"/>
                    <w:right w:val="none" w:sz="0" w:space="0" w:color="auto"/>
                  </w:divBdr>
                </w:div>
              </w:divsChild>
            </w:div>
            <w:div w:id="404958586">
              <w:marLeft w:val="0"/>
              <w:marRight w:val="0"/>
              <w:marTop w:val="0"/>
              <w:marBottom w:val="0"/>
              <w:divBdr>
                <w:top w:val="none" w:sz="0" w:space="0" w:color="auto"/>
                <w:left w:val="none" w:sz="0" w:space="0" w:color="auto"/>
                <w:bottom w:val="none" w:sz="0" w:space="0" w:color="auto"/>
                <w:right w:val="none" w:sz="0" w:space="0" w:color="auto"/>
              </w:divBdr>
              <w:divsChild>
                <w:div w:id="4460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48413">
          <w:marLeft w:val="0"/>
          <w:marRight w:val="0"/>
          <w:marTop w:val="0"/>
          <w:marBottom w:val="0"/>
          <w:divBdr>
            <w:top w:val="none" w:sz="0" w:space="0" w:color="auto"/>
            <w:left w:val="none" w:sz="0" w:space="0" w:color="auto"/>
            <w:bottom w:val="none" w:sz="0" w:space="0" w:color="auto"/>
            <w:right w:val="none" w:sz="0" w:space="0" w:color="auto"/>
          </w:divBdr>
          <w:divsChild>
            <w:div w:id="507519774">
              <w:marLeft w:val="0"/>
              <w:marRight w:val="0"/>
              <w:marTop w:val="0"/>
              <w:marBottom w:val="0"/>
              <w:divBdr>
                <w:top w:val="none" w:sz="0" w:space="0" w:color="auto"/>
                <w:left w:val="none" w:sz="0" w:space="0" w:color="auto"/>
                <w:bottom w:val="none" w:sz="0" w:space="0" w:color="auto"/>
                <w:right w:val="none" w:sz="0" w:space="0" w:color="auto"/>
              </w:divBdr>
              <w:divsChild>
                <w:div w:id="21185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1683">
      <w:bodyDiv w:val="1"/>
      <w:marLeft w:val="0"/>
      <w:marRight w:val="0"/>
      <w:marTop w:val="0"/>
      <w:marBottom w:val="0"/>
      <w:divBdr>
        <w:top w:val="none" w:sz="0" w:space="0" w:color="auto"/>
        <w:left w:val="none" w:sz="0" w:space="0" w:color="auto"/>
        <w:bottom w:val="none" w:sz="0" w:space="0" w:color="auto"/>
        <w:right w:val="none" w:sz="0" w:space="0" w:color="auto"/>
      </w:divBdr>
      <w:divsChild>
        <w:div w:id="31271434">
          <w:marLeft w:val="0"/>
          <w:marRight w:val="0"/>
          <w:marTop w:val="0"/>
          <w:marBottom w:val="0"/>
          <w:divBdr>
            <w:top w:val="none" w:sz="0" w:space="0" w:color="auto"/>
            <w:left w:val="none" w:sz="0" w:space="0" w:color="auto"/>
            <w:bottom w:val="none" w:sz="0" w:space="0" w:color="auto"/>
            <w:right w:val="none" w:sz="0" w:space="0" w:color="auto"/>
          </w:divBdr>
          <w:divsChild>
            <w:div w:id="2140680632">
              <w:marLeft w:val="0"/>
              <w:marRight w:val="0"/>
              <w:marTop w:val="0"/>
              <w:marBottom w:val="0"/>
              <w:divBdr>
                <w:top w:val="none" w:sz="0" w:space="0" w:color="auto"/>
                <w:left w:val="none" w:sz="0" w:space="0" w:color="auto"/>
                <w:bottom w:val="none" w:sz="0" w:space="0" w:color="auto"/>
                <w:right w:val="none" w:sz="0" w:space="0" w:color="auto"/>
              </w:divBdr>
              <w:divsChild>
                <w:div w:id="1910993561">
                  <w:marLeft w:val="0"/>
                  <w:marRight w:val="0"/>
                  <w:marTop w:val="0"/>
                  <w:marBottom w:val="0"/>
                  <w:divBdr>
                    <w:top w:val="none" w:sz="0" w:space="0" w:color="auto"/>
                    <w:left w:val="none" w:sz="0" w:space="0" w:color="auto"/>
                    <w:bottom w:val="none" w:sz="0" w:space="0" w:color="auto"/>
                    <w:right w:val="none" w:sz="0" w:space="0" w:color="auto"/>
                  </w:divBdr>
                </w:div>
              </w:divsChild>
            </w:div>
            <w:div w:id="1364285289">
              <w:marLeft w:val="0"/>
              <w:marRight w:val="0"/>
              <w:marTop w:val="0"/>
              <w:marBottom w:val="0"/>
              <w:divBdr>
                <w:top w:val="none" w:sz="0" w:space="0" w:color="auto"/>
                <w:left w:val="none" w:sz="0" w:space="0" w:color="auto"/>
                <w:bottom w:val="none" w:sz="0" w:space="0" w:color="auto"/>
                <w:right w:val="none" w:sz="0" w:space="0" w:color="auto"/>
              </w:divBdr>
              <w:divsChild>
                <w:div w:id="8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0362">
          <w:marLeft w:val="0"/>
          <w:marRight w:val="0"/>
          <w:marTop w:val="0"/>
          <w:marBottom w:val="0"/>
          <w:divBdr>
            <w:top w:val="none" w:sz="0" w:space="0" w:color="auto"/>
            <w:left w:val="none" w:sz="0" w:space="0" w:color="auto"/>
            <w:bottom w:val="none" w:sz="0" w:space="0" w:color="auto"/>
            <w:right w:val="none" w:sz="0" w:space="0" w:color="auto"/>
          </w:divBdr>
          <w:divsChild>
            <w:div w:id="1659722524">
              <w:marLeft w:val="0"/>
              <w:marRight w:val="0"/>
              <w:marTop w:val="0"/>
              <w:marBottom w:val="0"/>
              <w:divBdr>
                <w:top w:val="none" w:sz="0" w:space="0" w:color="auto"/>
                <w:left w:val="none" w:sz="0" w:space="0" w:color="auto"/>
                <w:bottom w:val="none" w:sz="0" w:space="0" w:color="auto"/>
                <w:right w:val="none" w:sz="0" w:space="0" w:color="auto"/>
              </w:divBdr>
              <w:divsChild>
                <w:div w:id="1400009622">
                  <w:marLeft w:val="0"/>
                  <w:marRight w:val="0"/>
                  <w:marTop w:val="0"/>
                  <w:marBottom w:val="0"/>
                  <w:divBdr>
                    <w:top w:val="none" w:sz="0" w:space="0" w:color="auto"/>
                    <w:left w:val="none" w:sz="0" w:space="0" w:color="auto"/>
                    <w:bottom w:val="none" w:sz="0" w:space="0" w:color="auto"/>
                    <w:right w:val="none" w:sz="0" w:space="0" w:color="auto"/>
                  </w:divBdr>
                </w:div>
              </w:divsChild>
            </w:div>
            <w:div w:id="1545749613">
              <w:marLeft w:val="0"/>
              <w:marRight w:val="0"/>
              <w:marTop w:val="0"/>
              <w:marBottom w:val="0"/>
              <w:divBdr>
                <w:top w:val="none" w:sz="0" w:space="0" w:color="auto"/>
                <w:left w:val="none" w:sz="0" w:space="0" w:color="auto"/>
                <w:bottom w:val="none" w:sz="0" w:space="0" w:color="auto"/>
                <w:right w:val="none" w:sz="0" w:space="0" w:color="auto"/>
              </w:divBdr>
              <w:divsChild>
                <w:div w:id="18265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39128">
          <w:marLeft w:val="0"/>
          <w:marRight w:val="0"/>
          <w:marTop w:val="0"/>
          <w:marBottom w:val="0"/>
          <w:divBdr>
            <w:top w:val="none" w:sz="0" w:space="0" w:color="auto"/>
            <w:left w:val="none" w:sz="0" w:space="0" w:color="auto"/>
            <w:bottom w:val="none" w:sz="0" w:space="0" w:color="auto"/>
            <w:right w:val="none" w:sz="0" w:space="0" w:color="auto"/>
          </w:divBdr>
          <w:divsChild>
            <w:div w:id="832069009">
              <w:marLeft w:val="0"/>
              <w:marRight w:val="0"/>
              <w:marTop w:val="0"/>
              <w:marBottom w:val="0"/>
              <w:divBdr>
                <w:top w:val="none" w:sz="0" w:space="0" w:color="auto"/>
                <w:left w:val="none" w:sz="0" w:space="0" w:color="auto"/>
                <w:bottom w:val="none" w:sz="0" w:space="0" w:color="auto"/>
                <w:right w:val="none" w:sz="0" w:space="0" w:color="auto"/>
              </w:divBdr>
              <w:divsChild>
                <w:div w:id="61296613">
                  <w:marLeft w:val="0"/>
                  <w:marRight w:val="0"/>
                  <w:marTop w:val="0"/>
                  <w:marBottom w:val="0"/>
                  <w:divBdr>
                    <w:top w:val="none" w:sz="0" w:space="0" w:color="auto"/>
                    <w:left w:val="none" w:sz="0" w:space="0" w:color="auto"/>
                    <w:bottom w:val="none" w:sz="0" w:space="0" w:color="auto"/>
                    <w:right w:val="none" w:sz="0" w:space="0" w:color="auto"/>
                  </w:divBdr>
                </w:div>
              </w:divsChild>
            </w:div>
            <w:div w:id="79447418">
              <w:marLeft w:val="0"/>
              <w:marRight w:val="0"/>
              <w:marTop w:val="0"/>
              <w:marBottom w:val="0"/>
              <w:divBdr>
                <w:top w:val="none" w:sz="0" w:space="0" w:color="auto"/>
                <w:left w:val="none" w:sz="0" w:space="0" w:color="auto"/>
                <w:bottom w:val="none" w:sz="0" w:space="0" w:color="auto"/>
                <w:right w:val="none" w:sz="0" w:space="0" w:color="auto"/>
              </w:divBdr>
              <w:divsChild>
                <w:div w:id="6306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7271">
          <w:marLeft w:val="0"/>
          <w:marRight w:val="0"/>
          <w:marTop w:val="0"/>
          <w:marBottom w:val="0"/>
          <w:divBdr>
            <w:top w:val="none" w:sz="0" w:space="0" w:color="auto"/>
            <w:left w:val="none" w:sz="0" w:space="0" w:color="auto"/>
            <w:bottom w:val="none" w:sz="0" w:space="0" w:color="auto"/>
            <w:right w:val="none" w:sz="0" w:space="0" w:color="auto"/>
          </w:divBdr>
          <w:divsChild>
            <w:div w:id="522285212">
              <w:marLeft w:val="0"/>
              <w:marRight w:val="0"/>
              <w:marTop w:val="0"/>
              <w:marBottom w:val="0"/>
              <w:divBdr>
                <w:top w:val="none" w:sz="0" w:space="0" w:color="auto"/>
                <w:left w:val="none" w:sz="0" w:space="0" w:color="auto"/>
                <w:bottom w:val="none" w:sz="0" w:space="0" w:color="auto"/>
                <w:right w:val="none" w:sz="0" w:space="0" w:color="auto"/>
              </w:divBdr>
              <w:divsChild>
                <w:div w:id="2011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8808">
      <w:bodyDiv w:val="1"/>
      <w:marLeft w:val="0"/>
      <w:marRight w:val="0"/>
      <w:marTop w:val="0"/>
      <w:marBottom w:val="0"/>
      <w:divBdr>
        <w:top w:val="none" w:sz="0" w:space="0" w:color="auto"/>
        <w:left w:val="none" w:sz="0" w:space="0" w:color="auto"/>
        <w:bottom w:val="none" w:sz="0" w:space="0" w:color="auto"/>
        <w:right w:val="none" w:sz="0" w:space="0" w:color="auto"/>
      </w:divBdr>
      <w:divsChild>
        <w:div w:id="859471416">
          <w:marLeft w:val="0"/>
          <w:marRight w:val="0"/>
          <w:marTop w:val="0"/>
          <w:marBottom w:val="0"/>
          <w:divBdr>
            <w:top w:val="none" w:sz="0" w:space="0" w:color="auto"/>
            <w:left w:val="none" w:sz="0" w:space="0" w:color="auto"/>
            <w:bottom w:val="none" w:sz="0" w:space="0" w:color="auto"/>
            <w:right w:val="none" w:sz="0" w:space="0" w:color="auto"/>
          </w:divBdr>
          <w:divsChild>
            <w:div w:id="2033872684">
              <w:marLeft w:val="0"/>
              <w:marRight w:val="0"/>
              <w:marTop w:val="0"/>
              <w:marBottom w:val="0"/>
              <w:divBdr>
                <w:top w:val="none" w:sz="0" w:space="0" w:color="auto"/>
                <w:left w:val="none" w:sz="0" w:space="0" w:color="auto"/>
                <w:bottom w:val="none" w:sz="0" w:space="0" w:color="auto"/>
                <w:right w:val="none" w:sz="0" w:space="0" w:color="auto"/>
              </w:divBdr>
              <w:divsChild>
                <w:div w:id="2071809276">
                  <w:marLeft w:val="0"/>
                  <w:marRight w:val="0"/>
                  <w:marTop w:val="0"/>
                  <w:marBottom w:val="0"/>
                  <w:divBdr>
                    <w:top w:val="none" w:sz="0" w:space="0" w:color="auto"/>
                    <w:left w:val="none" w:sz="0" w:space="0" w:color="auto"/>
                    <w:bottom w:val="none" w:sz="0" w:space="0" w:color="auto"/>
                    <w:right w:val="none" w:sz="0" w:space="0" w:color="auto"/>
                  </w:divBdr>
                </w:div>
              </w:divsChild>
            </w:div>
            <w:div w:id="1666088418">
              <w:marLeft w:val="0"/>
              <w:marRight w:val="0"/>
              <w:marTop w:val="0"/>
              <w:marBottom w:val="0"/>
              <w:divBdr>
                <w:top w:val="none" w:sz="0" w:space="0" w:color="auto"/>
                <w:left w:val="none" w:sz="0" w:space="0" w:color="auto"/>
                <w:bottom w:val="none" w:sz="0" w:space="0" w:color="auto"/>
                <w:right w:val="none" w:sz="0" w:space="0" w:color="auto"/>
              </w:divBdr>
              <w:divsChild>
                <w:div w:id="2129928317">
                  <w:marLeft w:val="0"/>
                  <w:marRight w:val="0"/>
                  <w:marTop w:val="0"/>
                  <w:marBottom w:val="0"/>
                  <w:divBdr>
                    <w:top w:val="none" w:sz="0" w:space="0" w:color="auto"/>
                    <w:left w:val="none" w:sz="0" w:space="0" w:color="auto"/>
                    <w:bottom w:val="none" w:sz="0" w:space="0" w:color="auto"/>
                    <w:right w:val="none" w:sz="0" w:space="0" w:color="auto"/>
                  </w:divBdr>
                </w:div>
              </w:divsChild>
            </w:div>
            <w:div w:id="878592015">
              <w:marLeft w:val="0"/>
              <w:marRight w:val="0"/>
              <w:marTop w:val="0"/>
              <w:marBottom w:val="0"/>
              <w:divBdr>
                <w:top w:val="none" w:sz="0" w:space="0" w:color="auto"/>
                <w:left w:val="none" w:sz="0" w:space="0" w:color="auto"/>
                <w:bottom w:val="none" w:sz="0" w:space="0" w:color="auto"/>
                <w:right w:val="none" w:sz="0" w:space="0" w:color="auto"/>
              </w:divBdr>
              <w:divsChild>
                <w:div w:id="321812742">
                  <w:marLeft w:val="0"/>
                  <w:marRight w:val="0"/>
                  <w:marTop w:val="0"/>
                  <w:marBottom w:val="0"/>
                  <w:divBdr>
                    <w:top w:val="none" w:sz="0" w:space="0" w:color="auto"/>
                    <w:left w:val="none" w:sz="0" w:space="0" w:color="auto"/>
                    <w:bottom w:val="none" w:sz="0" w:space="0" w:color="auto"/>
                    <w:right w:val="none" w:sz="0" w:space="0" w:color="auto"/>
                  </w:divBdr>
                  <w:divsChild>
                    <w:div w:id="1786385536">
                      <w:marLeft w:val="0"/>
                      <w:marRight w:val="0"/>
                      <w:marTop w:val="0"/>
                      <w:marBottom w:val="0"/>
                      <w:divBdr>
                        <w:top w:val="none" w:sz="0" w:space="0" w:color="auto"/>
                        <w:left w:val="none" w:sz="0" w:space="0" w:color="auto"/>
                        <w:bottom w:val="none" w:sz="0" w:space="0" w:color="auto"/>
                        <w:right w:val="none" w:sz="0" w:space="0" w:color="auto"/>
                      </w:divBdr>
                    </w:div>
                  </w:divsChild>
                </w:div>
                <w:div w:id="1432240037">
                  <w:marLeft w:val="0"/>
                  <w:marRight w:val="0"/>
                  <w:marTop w:val="0"/>
                  <w:marBottom w:val="0"/>
                  <w:divBdr>
                    <w:top w:val="none" w:sz="0" w:space="0" w:color="auto"/>
                    <w:left w:val="none" w:sz="0" w:space="0" w:color="auto"/>
                    <w:bottom w:val="none" w:sz="0" w:space="0" w:color="auto"/>
                    <w:right w:val="none" w:sz="0" w:space="0" w:color="auto"/>
                  </w:divBdr>
                  <w:divsChild>
                    <w:div w:id="162359329">
                      <w:marLeft w:val="0"/>
                      <w:marRight w:val="0"/>
                      <w:marTop w:val="0"/>
                      <w:marBottom w:val="0"/>
                      <w:divBdr>
                        <w:top w:val="none" w:sz="0" w:space="0" w:color="auto"/>
                        <w:left w:val="none" w:sz="0" w:space="0" w:color="auto"/>
                        <w:bottom w:val="none" w:sz="0" w:space="0" w:color="auto"/>
                        <w:right w:val="none" w:sz="0" w:space="0" w:color="auto"/>
                      </w:divBdr>
                    </w:div>
                  </w:divsChild>
                </w:div>
                <w:div w:id="367141143">
                  <w:marLeft w:val="0"/>
                  <w:marRight w:val="0"/>
                  <w:marTop w:val="0"/>
                  <w:marBottom w:val="0"/>
                  <w:divBdr>
                    <w:top w:val="none" w:sz="0" w:space="0" w:color="auto"/>
                    <w:left w:val="none" w:sz="0" w:space="0" w:color="auto"/>
                    <w:bottom w:val="none" w:sz="0" w:space="0" w:color="auto"/>
                    <w:right w:val="none" w:sz="0" w:space="0" w:color="auto"/>
                  </w:divBdr>
                  <w:divsChild>
                    <w:div w:id="752512452">
                      <w:marLeft w:val="0"/>
                      <w:marRight w:val="0"/>
                      <w:marTop w:val="0"/>
                      <w:marBottom w:val="0"/>
                      <w:divBdr>
                        <w:top w:val="none" w:sz="0" w:space="0" w:color="auto"/>
                        <w:left w:val="none" w:sz="0" w:space="0" w:color="auto"/>
                        <w:bottom w:val="none" w:sz="0" w:space="0" w:color="auto"/>
                        <w:right w:val="none" w:sz="0" w:space="0" w:color="auto"/>
                      </w:divBdr>
                    </w:div>
                  </w:divsChild>
                </w:div>
                <w:div w:id="852690547">
                  <w:marLeft w:val="0"/>
                  <w:marRight w:val="0"/>
                  <w:marTop w:val="0"/>
                  <w:marBottom w:val="0"/>
                  <w:divBdr>
                    <w:top w:val="none" w:sz="0" w:space="0" w:color="auto"/>
                    <w:left w:val="none" w:sz="0" w:space="0" w:color="auto"/>
                    <w:bottom w:val="none" w:sz="0" w:space="0" w:color="auto"/>
                    <w:right w:val="none" w:sz="0" w:space="0" w:color="auto"/>
                  </w:divBdr>
                  <w:divsChild>
                    <w:div w:id="1891837536">
                      <w:marLeft w:val="0"/>
                      <w:marRight w:val="0"/>
                      <w:marTop w:val="0"/>
                      <w:marBottom w:val="0"/>
                      <w:divBdr>
                        <w:top w:val="none" w:sz="0" w:space="0" w:color="auto"/>
                        <w:left w:val="none" w:sz="0" w:space="0" w:color="auto"/>
                        <w:bottom w:val="none" w:sz="0" w:space="0" w:color="auto"/>
                        <w:right w:val="none" w:sz="0" w:space="0" w:color="auto"/>
                      </w:divBdr>
                    </w:div>
                  </w:divsChild>
                </w:div>
                <w:div w:id="1669403497">
                  <w:marLeft w:val="0"/>
                  <w:marRight w:val="0"/>
                  <w:marTop w:val="0"/>
                  <w:marBottom w:val="0"/>
                  <w:divBdr>
                    <w:top w:val="none" w:sz="0" w:space="0" w:color="auto"/>
                    <w:left w:val="none" w:sz="0" w:space="0" w:color="auto"/>
                    <w:bottom w:val="none" w:sz="0" w:space="0" w:color="auto"/>
                    <w:right w:val="none" w:sz="0" w:space="0" w:color="auto"/>
                  </w:divBdr>
                  <w:divsChild>
                    <w:div w:id="1103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9437">
              <w:marLeft w:val="0"/>
              <w:marRight w:val="0"/>
              <w:marTop w:val="0"/>
              <w:marBottom w:val="0"/>
              <w:divBdr>
                <w:top w:val="none" w:sz="0" w:space="0" w:color="auto"/>
                <w:left w:val="none" w:sz="0" w:space="0" w:color="auto"/>
                <w:bottom w:val="none" w:sz="0" w:space="0" w:color="auto"/>
                <w:right w:val="none" w:sz="0" w:space="0" w:color="auto"/>
              </w:divBdr>
              <w:divsChild>
                <w:div w:id="6304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6754">
          <w:marLeft w:val="0"/>
          <w:marRight w:val="0"/>
          <w:marTop w:val="0"/>
          <w:marBottom w:val="0"/>
          <w:divBdr>
            <w:top w:val="none" w:sz="0" w:space="0" w:color="auto"/>
            <w:left w:val="none" w:sz="0" w:space="0" w:color="auto"/>
            <w:bottom w:val="none" w:sz="0" w:space="0" w:color="auto"/>
            <w:right w:val="none" w:sz="0" w:space="0" w:color="auto"/>
          </w:divBdr>
          <w:divsChild>
            <w:div w:id="2136563707">
              <w:marLeft w:val="0"/>
              <w:marRight w:val="0"/>
              <w:marTop w:val="0"/>
              <w:marBottom w:val="0"/>
              <w:divBdr>
                <w:top w:val="none" w:sz="0" w:space="0" w:color="auto"/>
                <w:left w:val="none" w:sz="0" w:space="0" w:color="auto"/>
                <w:bottom w:val="none" w:sz="0" w:space="0" w:color="auto"/>
                <w:right w:val="none" w:sz="0" w:space="0" w:color="auto"/>
              </w:divBdr>
              <w:divsChild>
                <w:div w:id="230892089">
                  <w:marLeft w:val="0"/>
                  <w:marRight w:val="0"/>
                  <w:marTop w:val="0"/>
                  <w:marBottom w:val="0"/>
                  <w:divBdr>
                    <w:top w:val="none" w:sz="0" w:space="0" w:color="auto"/>
                    <w:left w:val="none" w:sz="0" w:space="0" w:color="auto"/>
                    <w:bottom w:val="none" w:sz="0" w:space="0" w:color="auto"/>
                    <w:right w:val="none" w:sz="0" w:space="0" w:color="auto"/>
                  </w:divBdr>
                </w:div>
              </w:divsChild>
            </w:div>
            <w:div w:id="799148083">
              <w:marLeft w:val="0"/>
              <w:marRight w:val="0"/>
              <w:marTop w:val="0"/>
              <w:marBottom w:val="0"/>
              <w:divBdr>
                <w:top w:val="none" w:sz="0" w:space="0" w:color="auto"/>
                <w:left w:val="none" w:sz="0" w:space="0" w:color="auto"/>
                <w:bottom w:val="none" w:sz="0" w:space="0" w:color="auto"/>
                <w:right w:val="none" w:sz="0" w:space="0" w:color="auto"/>
              </w:divBdr>
              <w:divsChild>
                <w:div w:id="10363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10163">
      <w:bodyDiv w:val="1"/>
      <w:marLeft w:val="0"/>
      <w:marRight w:val="0"/>
      <w:marTop w:val="0"/>
      <w:marBottom w:val="0"/>
      <w:divBdr>
        <w:top w:val="none" w:sz="0" w:space="0" w:color="auto"/>
        <w:left w:val="none" w:sz="0" w:space="0" w:color="auto"/>
        <w:bottom w:val="none" w:sz="0" w:space="0" w:color="auto"/>
        <w:right w:val="none" w:sz="0" w:space="0" w:color="auto"/>
      </w:divBdr>
      <w:divsChild>
        <w:div w:id="125662444">
          <w:marLeft w:val="0"/>
          <w:marRight w:val="0"/>
          <w:marTop w:val="0"/>
          <w:marBottom w:val="0"/>
          <w:divBdr>
            <w:top w:val="none" w:sz="0" w:space="0" w:color="auto"/>
            <w:left w:val="none" w:sz="0" w:space="0" w:color="auto"/>
            <w:bottom w:val="none" w:sz="0" w:space="0" w:color="auto"/>
            <w:right w:val="none" w:sz="0" w:space="0" w:color="auto"/>
          </w:divBdr>
          <w:divsChild>
            <w:div w:id="544292932">
              <w:marLeft w:val="0"/>
              <w:marRight w:val="0"/>
              <w:marTop w:val="0"/>
              <w:marBottom w:val="0"/>
              <w:divBdr>
                <w:top w:val="none" w:sz="0" w:space="0" w:color="auto"/>
                <w:left w:val="none" w:sz="0" w:space="0" w:color="auto"/>
                <w:bottom w:val="none" w:sz="0" w:space="0" w:color="auto"/>
                <w:right w:val="none" w:sz="0" w:space="0" w:color="auto"/>
              </w:divBdr>
              <w:divsChild>
                <w:div w:id="19324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004">
      <w:bodyDiv w:val="1"/>
      <w:marLeft w:val="0"/>
      <w:marRight w:val="0"/>
      <w:marTop w:val="0"/>
      <w:marBottom w:val="0"/>
      <w:divBdr>
        <w:top w:val="none" w:sz="0" w:space="0" w:color="auto"/>
        <w:left w:val="none" w:sz="0" w:space="0" w:color="auto"/>
        <w:bottom w:val="none" w:sz="0" w:space="0" w:color="auto"/>
        <w:right w:val="none" w:sz="0" w:space="0" w:color="auto"/>
      </w:divBdr>
      <w:divsChild>
        <w:div w:id="3360757">
          <w:marLeft w:val="0"/>
          <w:marRight w:val="0"/>
          <w:marTop w:val="0"/>
          <w:marBottom w:val="0"/>
          <w:divBdr>
            <w:top w:val="none" w:sz="0" w:space="0" w:color="auto"/>
            <w:left w:val="none" w:sz="0" w:space="0" w:color="auto"/>
            <w:bottom w:val="none" w:sz="0" w:space="0" w:color="auto"/>
            <w:right w:val="none" w:sz="0" w:space="0" w:color="auto"/>
          </w:divBdr>
          <w:divsChild>
            <w:div w:id="1888759901">
              <w:marLeft w:val="0"/>
              <w:marRight w:val="0"/>
              <w:marTop w:val="0"/>
              <w:marBottom w:val="0"/>
              <w:divBdr>
                <w:top w:val="none" w:sz="0" w:space="0" w:color="auto"/>
                <w:left w:val="none" w:sz="0" w:space="0" w:color="auto"/>
                <w:bottom w:val="none" w:sz="0" w:space="0" w:color="auto"/>
                <w:right w:val="none" w:sz="0" w:space="0" w:color="auto"/>
              </w:divBdr>
              <w:divsChild>
                <w:div w:id="2052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144">
      <w:bodyDiv w:val="1"/>
      <w:marLeft w:val="0"/>
      <w:marRight w:val="0"/>
      <w:marTop w:val="0"/>
      <w:marBottom w:val="0"/>
      <w:divBdr>
        <w:top w:val="none" w:sz="0" w:space="0" w:color="auto"/>
        <w:left w:val="none" w:sz="0" w:space="0" w:color="auto"/>
        <w:bottom w:val="none" w:sz="0" w:space="0" w:color="auto"/>
        <w:right w:val="none" w:sz="0" w:space="0" w:color="auto"/>
      </w:divBdr>
      <w:divsChild>
        <w:div w:id="856385811">
          <w:marLeft w:val="0"/>
          <w:marRight w:val="0"/>
          <w:marTop w:val="0"/>
          <w:marBottom w:val="0"/>
          <w:divBdr>
            <w:top w:val="none" w:sz="0" w:space="0" w:color="auto"/>
            <w:left w:val="none" w:sz="0" w:space="0" w:color="auto"/>
            <w:bottom w:val="none" w:sz="0" w:space="0" w:color="auto"/>
            <w:right w:val="none" w:sz="0" w:space="0" w:color="auto"/>
          </w:divBdr>
          <w:divsChild>
            <w:div w:id="167521234">
              <w:marLeft w:val="0"/>
              <w:marRight w:val="0"/>
              <w:marTop w:val="0"/>
              <w:marBottom w:val="0"/>
              <w:divBdr>
                <w:top w:val="none" w:sz="0" w:space="0" w:color="auto"/>
                <w:left w:val="none" w:sz="0" w:space="0" w:color="auto"/>
                <w:bottom w:val="none" w:sz="0" w:space="0" w:color="auto"/>
                <w:right w:val="none" w:sz="0" w:space="0" w:color="auto"/>
              </w:divBdr>
              <w:divsChild>
                <w:div w:id="1105225499">
                  <w:marLeft w:val="0"/>
                  <w:marRight w:val="0"/>
                  <w:marTop w:val="0"/>
                  <w:marBottom w:val="0"/>
                  <w:divBdr>
                    <w:top w:val="none" w:sz="0" w:space="0" w:color="auto"/>
                    <w:left w:val="none" w:sz="0" w:space="0" w:color="auto"/>
                    <w:bottom w:val="none" w:sz="0" w:space="0" w:color="auto"/>
                    <w:right w:val="none" w:sz="0" w:space="0" w:color="auto"/>
                  </w:divBdr>
                  <w:divsChild>
                    <w:div w:id="1498039276">
                      <w:marLeft w:val="0"/>
                      <w:marRight w:val="0"/>
                      <w:marTop w:val="0"/>
                      <w:marBottom w:val="0"/>
                      <w:divBdr>
                        <w:top w:val="none" w:sz="0" w:space="0" w:color="auto"/>
                        <w:left w:val="none" w:sz="0" w:space="0" w:color="auto"/>
                        <w:bottom w:val="none" w:sz="0" w:space="0" w:color="auto"/>
                        <w:right w:val="none" w:sz="0" w:space="0" w:color="auto"/>
                      </w:divBdr>
                    </w:div>
                  </w:divsChild>
                </w:div>
                <w:div w:id="1117525134">
                  <w:marLeft w:val="0"/>
                  <w:marRight w:val="0"/>
                  <w:marTop w:val="0"/>
                  <w:marBottom w:val="0"/>
                  <w:divBdr>
                    <w:top w:val="none" w:sz="0" w:space="0" w:color="auto"/>
                    <w:left w:val="none" w:sz="0" w:space="0" w:color="auto"/>
                    <w:bottom w:val="none" w:sz="0" w:space="0" w:color="auto"/>
                    <w:right w:val="none" w:sz="0" w:space="0" w:color="auto"/>
                  </w:divBdr>
                  <w:divsChild>
                    <w:div w:id="732000566">
                      <w:marLeft w:val="0"/>
                      <w:marRight w:val="0"/>
                      <w:marTop w:val="0"/>
                      <w:marBottom w:val="0"/>
                      <w:divBdr>
                        <w:top w:val="none" w:sz="0" w:space="0" w:color="auto"/>
                        <w:left w:val="none" w:sz="0" w:space="0" w:color="auto"/>
                        <w:bottom w:val="none" w:sz="0" w:space="0" w:color="auto"/>
                        <w:right w:val="none" w:sz="0" w:space="0" w:color="auto"/>
                      </w:divBdr>
                    </w:div>
                  </w:divsChild>
                </w:div>
                <w:div w:id="613830089">
                  <w:marLeft w:val="0"/>
                  <w:marRight w:val="0"/>
                  <w:marTop w:val="0"/>
                  <w:marBottom w:val="0"/>
                  <w:divBdr>
                    <w:top w:val="none" w:sz="0" w:space="0" w:color="auto"/>
                    <w:left w:val="none" w:sz="0" w:space="0" w:color="auto"/>
                    <w:bottom w:val="none" w:sz="0" w:space="0" w:color="auto"/>
                    <w:right w:val="none" w:sz="0" w:space="0" w:color="auto"/>
                  </w:divBdr>
                  <w:divsChild>
                    <w:div w:id="118494604">
                      <w:marLeft w:val="0"/>
                      <w:marRight w:val="0"/>
                      <w:marTop w:val="0"/>
                      <w:marBottom w:val="0"/>
                      <w:divBdr>
                        <w:top w:val="none" w:sz="0" w:space="0" w:color="auto"/>
                        <w:left w:val="none" w:sz="0" w:space="0" w:color="auto"/>
                        <w:bottom w:val="none" w:sz="0" w:space="0" w:color="auto"/>
                        <w:right w:val="none" w:sz="0" w:space="0" w:color="auto"/>
                      </w:divBdr>
                    </w:div>
                  </w:divsChild>
                </w:div>
                <w:div w:id="828981812">
                  <w:marLeft w:val="0"/>
                  <w:marRight w:val="0"/>
                  <w:marTop w:val="0"/>
                  <w:marBottom w:val="0"/>
                  <w:divBdr>
                    <w:top w:val="none" w:sz="0" w:space="0" w:color="auto"/>
                    <w:left w:val="none" w:sz="0" w:space="0" w:color="auto"/>
                    <w:bottom w:val="none" w:sz="0" w:space="0" w:color="auto"/>
                    <w:right w:val="none" w:sz="0" w:space="0" w:color="auto"/>
                  </w:divBdr>
                  <w:divsChild>
                    <w:div w:id="1179390365">
                      <w:marLeft w:val="0"/>
                      <w:marRight w:val="0"/>
                      <w:marTop w:val="0"/>
                      <w:marBottom w:val="0"/>
                      <w:divBdr>
                        <w:top w:val="none" w:sz="0" w:space="0" w:color="auto"/>
                        <w:left w:val="none" w:sz="0" w:space="0" w:color="auto"/>
                        <w:bottom w:val="none" w:sz="0" w:space="0" w:color="auto"/>
                        <w:right w:val="none" w:sz="0" w:space="0" w:color="auto"/>
                      </w:divBdr>
                    </w:div>
                  </w:divsChild>
                </w:div>
                <w:div w:id="1470198529">
                  <w:marLeft w:val="0"/>
                  <w:marRight w:val="0"/>
                  <w:marTop w:val="0"/>
                  <w:marBottom w:val="0"/>
                  <w:divBdr>
                    <w:top w:val="none" w:sz="0" w:space="0" w:color="auto"/>
                    <w:left w:val="none" w:sz="0" w:space="0" w:color="auto"/>
                    <w:bottom w:val="none" w:sz="0" w:space="0" w:color="auto"/>
                    <w:right w:val="none" w:sz="0" w:space="0" w:color="auto"/>
                  </w:divBdr>
                  <w:divsChild>
                    <w:div w:id="16251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515612">
      <w:bodyDiv w:val="1"/>
      <w:marLeft w:val="0"/>
      <w:marRight w:val="0"/>
      <w:marTop w:val="0"/>
      <w:marBottom w:val="0"/>
      <w:divBdr>
        <w:top w:val="none" w:sz="0" w:space="0" w:color="auto"/>
        <w:left w:val="none" w:sz="0" w:space="0" w:color="auto"/>
        <w:bottom w:val="none" w:sz="0" w:space="0" w:color="auto"/>
        <w:right w:val="none" w:sz="0" w:space="0" w:color="auto"/>
      </w:divBdr>
      <w:divsChild>
        <w:div w:id="1943417767">
          <w:marLeft w:val="0"/>
          <w:marRight w:val="0"/>
          <w:marTop w:val="0"/>
          <w:marBottom w:val="0"/>
          <w:divBdr>
            <w:top w:val="none" w:sz="0" w:space="0" w:color="auto"/>
            <w:left w:val="none" w:sz="0" w:space="0" w:color="auto"/>
            <w:bottom w:val="none" w:sz="0" w:space="0" w:color="auto"/>
            <w:right w:val="none" w:sz="0" w:space="0" w:color="auto"/>
          </w:divBdr>
          <w:divsChild>
            <w:div w:id="1775781949">
              <w:marLeft w:val="0"/>
              <w:marRight w:val="0"/>
              <w:marTop w:val="0"/>
              <w:marBottom w:val="0"/>
              <w:divBdr>
                <w:top w:val="none" w:sz="0" w:space="0" w:color="auto"/>
                <w:left w:val="none" w:sz="0" w:space="0" w:color="auto"/>
                <w:bottom w:val="none" w:sz="0" w:space="0" w:color="auto"/>
                <w:right w:val="none" w:sz="0" w:space="0" w:color="auto"/>
              </w:divBdr>
              <w:divsChild>
                <w:div w:id="17041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1277">
      <w:bodyDiv w:val="1"/>
      <w:marLeft w:val="0"/>
      <w:marRight w:val="0"/>
      <w:marTop w:val="0"/>
      <w:marBottom w:val="0"/>
      <w:divBdr>
        <w:top w:val="none" w:sz="0" w:space="0" w:color="auto"/>
        <w:left w:val="none" w:sz="0" w:space="0" w:color="auto"/>
        <w:bottom w:val="none" w:sz="0" w:space="0" w:color="auto"/>
        <w:right w:val="none" w:sz="0" w:space="0" w:color="auto"/>
      </w:divBdr>
      <w:divsChild>
        <w:div w:id="618491860">
          <w:marLeft w:val="0"/>
          <w:marRight w:val="0"/>
          <w:marTop w:val="0"/>
          <w:marBottom w:val="0"/>
          <w:divBdr>
            <w:top w:val="none" w:sz="0" w:space="0" w:color="auto"/>
            <w:left w:val="none" w:sz="0" w:space="0" w:color="auto"/>
            <w:bottom w:val="none" w:sz="0" w:space="0" w:color="auto"/>
            <w:right w:val="none" w:sz="0" w:space="0" w:color="auto"/>
          </w:divBdr>
          <w:divsChild>
            <w:div w:id="1369062535">
              <w:marLeft w:val="0"/>
              <w:marRight w:val="0"/>
              <w:marTop w:val="0"/>
              <w:marBottom w:val="0"/>
              <w:divBdr>
                <w:top w:val="none" w:sz="0" w:space="0" w:color="auto"/>
                <w:left w:val="none" w:sz="0" w:space="0" w:color="auto"/>
                <w:bottom w:val="none" w:sz="0" w:space="0" w:color="auto"/>
                <w:right w:val="none" w:sz="0" w:space="0" w:color="auto"/>
              </w:divBdr>
              <w:divsChild>
                <w:div w:id="17050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55118">
      <w:bodyDiv w:val="1"/>
      <w:marLeft w:val="0"/>
      <w:marRight w:val="0"/>
      <w:marTop w:val="0"/>
      <w:marBottom w:val="0"/>
      <w:divBdr>
        <w:top w:val="none" w:sz="0" w:space="0" w:color="auto"/>
        <w:left w:val="none" w:sz="0" w:space="0" w:color="auto"/>
        <w:bottom w:val="none" w:sz="0" w:space="0" w:color="auto"/>
        <w:right w:val="none" w:sz="0" w:space="0" w:color="auto"/>
      </w:divBdr>
      <w:divsChild>
        <w:div w:id="56518965">
          <w:marLeft w:val="0"/>
          <w:marRight w:val="0"/>
          <w:marTop w:val="0"/>
          <w:marBottom w:val="0"/>
          <w:divBdr>
            <w:top w:val="none" w:sz="0" w:space="0" w:color="auto"/>
            <w:left w:val="none" w:sz="0" w:space="0" w:color="auto"/>
            <w:bottom w:val="none" w:sz="0" w:space="0" w:color="auto"/>
            <w:right w:val="none" w:sz="0" w:space="0" w:color="auto"/>
          </w:divBdr>
          <w:divsChild>
            <w:div w:id="449517363">
              <w:marLeft w:val="0"/>
              <w:marRight w:val="0"/>
              <w:marTop w:val="0"/>
              <w:marBottom w:val="0"/>
              <w:divBdr>
                <w:top w:val="none" w:sz="0" w:space="0" w:color="auto"/>
                <w:left w:val="none" w:sz="0" w:space="0" w:color="auto"/>
                <w:bottom w:val="none" w:sz="0" w:space="0" w:color="auto"/>
                <w:right w:val="none" w:sz="0" w:space="0" w:color="auto"/>
              </w:divBdr>
              <w:divsChild>
                <w:div w:id="20771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4305">
      <w:bodyDiv w:val="1"/>
      <w:marLeft w:val="0"/>
      <w:marRight w:val="0"/>
      <w:marTop w:val="0"/>
      <w:marBottom w:val="0"/>
      <w:divBdr>
        <w:top w:val="none" w:sz="0" w:space="0" w:color="auto"/>
        <w:left w:val="none" w:sz="0" w:space="0" w:color="auto"/>
        <w:bottom w:val="none" w:sz="0" w:space="0" w:color="auto"/>
        <w:right w:val="none" w:sz="0" w:space="0" w:color="auto"/>
      </w:divBdr>
      <w:divsChild>
        <w:div w:id="2119400562">
          <w:marLeft w:val="0"/>
          <w:marRight w:val="0"/>
          <w:marTop w:val="0"/>
          <w:marBottom w:val="0"/>
          <w:divBdr>
            <w:top w:val="none" w:sz="0" w:space="0" w:color="auto"/>
            <w:left w:val="none" w:sz="0" w:space="0" w:color="auto"/>
            <w:bottom w:val="none" w:sz="0" w:space="0" w:color="auto"/>
            <w:right w:val="none" w:sz="0" w:space="0" w:color="auto"/>
          </w:divBdr>
          <w:divsChild>
            <w:div w:id="1939170351">
              <w:marLeft w:val="0"/>
              <w:marRight w:val="0"/>
              <w:marTop w:val="0"/>
              <w:marBottom w:val="0"/>
              <w:divBdr>
                <w:top w:val="none" w:sz="0" w:space="0" w:color="auto"/>
                <w:left w:val="none" w:sz="0" w:space="0" w:color="auto"/>
                <w:bottom w:val="none" w:sz="0" w:space="0" w:color="auto"/>
                <w:right w:val="none" w:sz="0" w:space="0" w:color="auto"/>
              </w:divBdr>
              <w:divsChild>
                <w:div w:id="6075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2062">
      <w:bodyDiv w:val="1"/>
      <w:marLeft w:val="0"/>
      <w:marRight w:val="0"/>
      <w:marTop w:val="0"/>
      <w:marBottom w:val="0"/>
      <w:divBdr>
        <w:top w:val="none" w:sz="0" w:space="0" w:color="auto"/>
        <w:left w:val="none" w:sz="0" w:space="0" w:color="auto"/>
        <w:bottom w:val="none" w:sz="0" w:space="0" w:color="auto"/>
        <w:right w:val="none" w:sz="0" w:space="0" w:color="auto"/>
      </w:divBdr>
      <w:divsChild>
        <w:div w:id="1067219798">
          <w:marLeft w:val="0"/>
          <w:marRight w:val="0"/>
          <w:marTop w:val="0"/>
          <w:marBottom w:val="0"/>
          <w:divBdr>
            <w:top w:val="none" w:sz="0" w:space="0" w:color="auto"/>
            <w:left w:val="none" w:sz="0" w:space="0" w:color="auto"/>
            <w:bottom w:val="none" w:sz="0" w:space="0" w:color="auto"/>
            <w:right w:val="none" w:sz="0" w:space="0" w:color="auto"/>
          </w:divBdr>
          <w:divsChild>
            <w:div w:id="1028411426">
              <w:marLeft w:val="0"/>
              <w:marRight w:val="0"/>
              <w:marTop w:val="0"/>
              <w:marBottom w:val="0"/>
              <w:divBdr>
                <w:top w:val="none" w:sz="0" w:space="0" w:color="auto"/>
                <w:left w:val="none" w:sz="0" w:space="0" w:color="auto"/>
                <w:bottom w:val="none" w:sz="0" w:space="0" w:color="auto"/>
                <w:right w:val="none" w:sz="0" w:space="0" w:color="auto"/>
              </w:divBdr>
              <w:divsChild>
                <w:div w:id="588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94141">
      <w:bodyDiv w:val="1"/>
      <w:marLeft w:val="0"/>
      <w:marRight w:val="0"/>
      <w:marTop w:val="0"/>
      <w:marBottom w:val="0"/>
      <w:divBdr>
        <w:top w:val="none" w:sz="0" w:space="0" w:color="auto"/>
        <w:left w:val="none" w:sz="0" w:space="0" w:color="auto"/>
        <w:bottom w:val="none" w:sz="0" w:space="0" w:color="auto"/>
        <w:right w:val="none" w:sz="0" w:space="0" w:color="auto"/>
      </w:divBdr>
      <w:divsChild>
        <w:div w:id="1871717899">
          <w:marLeft w:val="0"/>
          <w:marRight w:val="0"/>
          <w:marTop w:val="0"/>
          <w:marBottom w:val="0"/>
          <w:divBdr>
            <w:top w:val="none" w:sz="0" w:space="0" w:color="auto"/>
            <w:left w:val="none" w:sz="0" w:space="0" w:color="auto"/>
            <w:bottom w:val="none" w:sz="0" w:space="0" w:color="auto"/>
            <w:right w:val="none" w:sz="0" w:space="0" w:color="auto"/>
          </w:divBdr>
          <w:divsChild>
            <w:div w:id="1962807450">
              <w:marLeft w:val="0"/>
              <w:marRight w:val="0"/>
              <w:marTop w:val="0"/>
              <w:marBottom w:val="0"/>
              <w:divBdr>
                <w:top w:val="none" w:sz="0" w:space="0" w:color="auto"/>
                <w:left w:val="none" w:sz="0" w:space="0" w:color="auto"/>
                <w:bottom w:val="none" w:sz="0" w:space="0" w:color="auto"/>
                <w:right w:val="none" w:sz="0" w:space="0" w:color="auto"/>
              </w:divBdr>
              <w:divsChild>
                <w:div w:id="1148206834">
                  <w:marLeft w:val="0"/>
                  <w:marRight w:val="0"/>
                  <w:marTop w:val="0"/>
                  <w:marBottom w:val="0"/>
                  <w:divBdr>
                    <w:top w:val="none" w:sz="0" w:space="0" w:color="auto"/>
                    <w:left w:val="none" w:sz="0" w:space="0" w:color="auto"/>
                    <w:bottom w:val="none" w:sz="0" w:space="0" w:color="auto"/>
                    <w:right w:val="none" w:sz="0" w:space="0" w:color="auto"/>
                  </w:divBdr>
                </w:div>
              </w:divsChild>
            </w:div>
            <w:div w:id="1725785865">
              <w:marLeft w:val="0"/>
              <w:marRight w:val="0"/>
              <w:marTop w:val="0"/>
              <w:marBottom w:val="0"/>
              <w:divBdr>
                <w:top w:val="none" w:sz="0" w:space="0" w:color="auto"/>
                <w:left w:val="none" w:sz="0" w:space="0" w:color="auto"/>
                <w:bottom w:val="none" w:sz="0" w:space="0" w:color="auto"/>
                <w:right w:val="none" w:sz="0" w:space="0" w:color="auto"/>
              </w:divBdr>
              <w:divsChild>
                <w:div w:id="19164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992">
          <w:marLeft w:val="0"/>
          <w:marRight w:val="0"/>
          <w:marTop w:val="0"/>
          <w:marBottom w:val="0"/>
          <w:divBdr>
            <w:top w:val="none" w:sz="0" w:space="0" w:color="auto"/>
            <w:left w:val="none" w:sz="0" w:space="0" w:color="auto"/>
            <w:bottom w:val="none" w:sz="0" w:space="0" w:color="auto"/>
            <w:right w:val="none" w:sz="0" w:space="0" w:color="auto"/>
          </w:divBdr>
          <w:divsChild>
            <w:div w:id="2070759172">
              <w:marLeft w:val="0"/>
              <w:marRight w:val="0"/>
              <w:marTop w:val="0"/>
              <w:marBottom w:val="0"/>
              <w:divBdr>
                <w:top w:val="none" w:sz="0" w:space="0" w:color="auto"/>
                <w:left w:val="none" w:sz="0" w:space="0" w:color="auto"/>
                <w:bottom w:val="none" w:sz="0" w:space="0" w:color="auto"/>
                <w:right w:val="none" w:sz="0" w:space="0" w:color="auto"/>
              </w:divBdr>
              <w:divsChild>
                <w:div w:id="20421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4152">
      <w:bodyDiv w:val="1"/>
      <w:marLeft w:val="0"/>
      <w:marRight w:val="0"/>
      <w:marTop w:val="0"/>
      <w:marBottom w:val="0"/>
      <w:divBdr>
        <w:top w:val="none" w:sz="0" w:space="0" w:color="auto"/>
        <w:left w:val="none" w:sz="0" w:space="0" w:color="auto"/>
        <w:bottom w:val="none" w:sz="0" w:space="0" w:color="auto"/>
        <w:right w:val="none" w:sz="0" w:space="0" w:color="auto"/>
      </w:divBdr>
      <w:divsChild>
        <w:div w:id="677738356">
          <w:marLeft w:val="0"/>
          <w:marRight w:val="0"/>
          <w:marTop w:val="0"/>
          <w:marBottom w:val="0"/>
          <w:divBdr>
            <w:top w:val="none" w:sz="0" w:space="0" w:color="auto"/>
            <w:left w:val="none" w:sz="0" w:space="0" w:color="auto"/>
            <w:bottom w:val="none" w:sz="0" w:space="0" w:color="auto"/>
            <w:right w:val="none" w:sz="0" w:space="0" w:color="auto"/>
          </w:divBdr>
          <w:divsChild>
            <w:div w:id="696933043">
              <w:marLeft w:val="0"/>
              <w:marRight w:val="0"/>
              <w:marTop w:val="0"/>
              <w:marBottom w:val="0"/>
              <w:divBdr>
                <w:top w:val="none" w:sz="0" w:space="0" w:color="auto"/>
                <w:left w:val="none" w:sz="0" w:space="0" w:color="auto"/>
                <w:bottom w:val="none" w:sz="0" w:space="0" w:color="auto"/>
                <w:right w:val="none" w:sz="0" w:space="0" w:color="auto"/>
              </w:divBdr>
              <w:divsChild>
                <w:div w:id="15509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6094">
      <w:bodyDiv w:val="1"/>
      <w:marLeft w:val="0"/>
      <w:marRight w:val="0"/>
      <w:marTop w:val="0"/>
      <w:marBottom w:val="0"/>
      <w:divBdr>
        <w:top w:val="none" w:sz="0" w:space="0" w:color="auto"/>
        <w:left w:val="none" w:sz="0" w:space="0" w:color="auto"/>
        <w:bottom w:val="none" w:sz="0" w:space="0" w:color="auto"/>
        <w:right w:val="none" w:sz="0" w:space="0" w:color="auto"/>
      </w:divBdr>
      <w:divsChild>
        <w:div w:id="1564826394">
          <w:marLeft w:val="0"/>
          <w:marRight w:val="0"/>
          <w:marTop w:val="0"/>
          <w:marBottom w:val="0"/>
          <w:divBdr>
            <w:top w:val="none" w:sz="0" w:space="0" w:color="auto"/>
            <w:left w:val="none" w:sz="0" w:space="0" w:color="auto"/>
            <w:bottom w:val="none" w:sz="0" w:space="0" w:color="auto"/>
            <w:right w:val="none" w:sz="0" w:space="0" w:color="auto"/>
          </w:divBdr>
          <w:divsChild>
            <w:div w:id="1938173513">
              <w:marLeft w:val="0"/>
              <w:marRight w:val="0"/>
              <w:marTop w:val="0"/>
              <w:marBottom w:val="0"/>
              <w:divBdr>
                <w:top w:val="none" w:sz="0" w:space="0" w:color="auto"/>
                <w:left w:val="none" w:sz="0" w:space="0" w:color="auto"/>
                <w:bottom w:val="none" w:sz="0" w:space="0" w:color="auto"/>
                <w:right w:val="none" w:sz="0" w:space="0" w:color="auto"/>
              </w:divBdr>
              <w:divsChild>
                <w:div w:id="1937707679">
                  <w:marLeft w:val="0"/>
                  <w:marRight w:val="0"/>
                  <w:marTop w:val="0"/>
                  <w:marBottom w:val="0"/>
                  <w:divBdr>
                    <w:top w:val="none" w:sz="0" w:space="0" w:color="auto"/>
                    <w:left w:val="none" w:sz="0" w:space="0" w:color="auto"/>
                    <w:bottom w:val="none" w:sz="0" w:space="0" w:color="auto"/>
                    <w:right w:val="none" w:sz="0" w:space="0" w:color="auto"/>
                  </w:divBdr>
                </w:div>
              </w:divsChild>
            </w:div>
            <w:div w:id="628897271">
              <w:marLeft w:val="0"/>
              <w:marRight w:val="0"/>
              <w:marTop w:val="0"/>
              <w:marBottom w:val="0"/>
              <w:divBdr>
                <w:top w:val="none" w:sz="0" w:space="0" w:color="auto"/>
                <w:left w:val="none" w:sz="0" w:space="0" w:color="auto"/>
                <w:bottom w:val="none" w:sz="0" w:space="0" w:color="auto"/>
                <w:right w:val="none" w:sz="0" w:space="0" w:color="auto"/>
              </w:divBdr>
              <w:divsChild>
                <w:div w:id="8497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4043">
          <w:marLeft w:val="0"/>
          <w:marRight w:val="0"/>
          <w:marTop w:val="0"/>
          <w:marBottom w:val="0"/>
          <w:divBdr>
            <w:top w:val="none" w:sz="0" w:space="0" w:color="auto"/>
            <w:left w:val="none" w:sz="0" w:space="0" w:color="auto"/>
            <w:bottom w:val="none" w:sz="0" w:space="0" w:color="auto"/>
            <w:right w:val="none" w:sz="0" w:space="0" w:color="auto"/>
          </w:divBdr>
          <w:divsChild>
            <w:div w:id="361126418">
              <w:marLeft w:val="0"/>
              <w:marRight w:val="0"/>
              <w:marTop w:val="0"/>
              <w:marBottom w:val="0"/>
              <w:divBdr>
                <w:top w:val="none" w:sz="0" w:space="0" w:color="auto"/>
                <w:left w:val="none" w:sz="0" w:space="0" w:color="auto"/>
                <w:bottom w:val="none" w:sz="0" w:space="0" w:color="auto"/>
                <w:right w:val="none" w:sz="0" w:space="0" w:color="auto"/>
              </w:divBdr>
              <w:divsChild>
                <w:div w:id="574584574">
                  <w:marLeft w:val="0"/>
                  <w:marRight w:val="0"/>
                  <w:marTop w:val="0"/>
                  <w:marBottom w:val="0"/>
                  <w:divBdr>
                    <w:top w:val="none" w:sz="0" w:space="0" w:color="auto"/>
                    <w:left w:val="none" w:sz="0" w:space="0" w:color="auto"/>
                    <w:bottom w:val="none" w:sz="0" w:space="0" w:color="auto"/>
                    <w:right w:val="none" w:sz="0" w:space="0" w:color="auto"/>
                  </w:divBdr>
                </w:div>
              </w:divsChild>
            </w:div>
            <w:div w:id="542522089">
              <w:marLeft w:val="0"/>
              <w:marRight w:val="0"/>
              <w:marTop w:val="0"/>
              <w:marBottom w:val="0"/>
              <w:divBdr>
                <w:top w:val="none" w:sz="0" w:space="0" w:color="auto"/>
                <w:left w:val="none" w:sz="0" w:space="0" w:color="auto"/>
                <w:bottom w:val="none" w:sz="0" w:space="0" w:color="auto"/>
                <w:right w:val="none" w:sz="0" w:space="0" w:color="auto"/>
              </w:divBdr>
              <w:divsChild>
                <w:div w:id="20823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8654">
          <w:marLeft w:val="0"/>
          <w:marRight w:val="0"/>
          <w:marTop w:val="0"/>
          <w:marBottom w:val="0"/>
          <w:divBdr>
            <w:top w:val="none" w:sz="0" w:space="0" w:color="auto"/>
            <w:left w:val="none" w:sz="0" w:space="0" w:color="auto"/>
            <w:bottom w:val="none" w:sz="0" w:space="0" w:color="auto"/>
            <w:right w:val="none" w:sz="0" w:space="0" w:color="auto"/>
          </w:divBdr>
          <w:divsChild>
            <w:div w:id="886794454">
              <w:marLeft w:val="0"/>
              <w:marRight w:val="0"/>
              <w:marTop w:val="0"/>
              <w:marBottom w:val="0"/>
              <w:divBdr>
                <w:top w:val="none" w:sz="0" w:space="0" w:color="auto"/>
                <w:left w:val="none" w:sz="0" w:space="0" w:color="auto"/>
                <w:bottom w:val="none" w:sz="0" w:space="0" w:color="auto"/>
                <w:right w:val="none" w:sz="0" w:space="0" w:color="auto"/>
              </w:divBdr>
              <w:divsChild>
                <w:div w:id="1217006828">
                  <w:marLeft w:val="0"/>
                  <w:marRight w:val="0"/>
                  <w:marTop w:val="0"/>
                  <w:marBottom w:val="0"/>
                  <w:divBdr>
                    <w:top w:val="none" w:sz="0" w:space="0" w:color="auto"/>
                    <w:left w:val="none" w:sz="0" w:space="0" w:color="auto"/>
                    <w:bottom w:val="none" w:sz="0" w:space="0" w:color="auto"/>
                    <w:right w:val="none" w:sz="0" w:space="0" w:color="auto"/>
                  </w:divBdr>
                </w:div>
              </w:divsChild>
            </w:div>
            <w:div w:id="1148673145">
              <w:marLeft w:val="0"/>
              <w:marRight w:val="0"/>
              <w:marTop w:val="0"/>
              <w:marBottom w:val="0"/>
              <w:divBdr>
                <w:top w:val="none" w:sz="0" w:space="0" w:color="auto"/>
                <w:left w:val="none" w:sz="0" w:space="0" w:color="auto"/>
                <w:bottom w:val="none" w:sz="0" w:space="0" w:color="auto"/>
                <w:right w:val="none" w:sz="0" w:space="0" w:color="auto"/>
              </w:divBdr>
              <w:divsChild>
                <w:div w:id="33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9032">
          <w:marLeft w:val="0"/>
          <w:marRight w:val="0"/>
          <w:marTop w:val="0"/>
          <w:marBottom w:val="0"/>
          <w:divBdr>
            <w:top w:val="none" w:sz="0" w:space="0" w:color="auto"/>
            <w:left w:val="none" w:sz="0" w:space="0" w:color="auto"/>
            <w:bottom w:val="none" w:sz="0" w:space="0" w:color="auto"/>
            <w:right w:val="none" w:sz="0" w:space="0" w:color="auto"/>
          </w:divBdr>
          <w:divsChild>
            <w:div w:id="1486580004">
              <w:marLeft w:val="0"/>
              <w:marRight w:val="0"/>
              <w:marTop w:val="0"/>
              <w:marBottom w:val="0"/>
              <w:divBdr>
                <w:top w:val="none" w:sz="0" w:space="0" w:color="auto"/>
                <w:left w:val="none" w:sz="0" w:space="0" w:color="auto"/>
                <w:bottom w:val="none" w:sz="0" w:space="0" w:color="auto"/>
                <w:right w:val="none" w:sz="0" w:space="0" w:color="auto"/>
              </w:divBdr>
              <w:divsChild>
                <w:div w:id="7588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7502">
      <w:bodyDiv w:val="1"/>
      <w:marLeft w:val="0"/>
      <w:marRight w:val="0"/>
      <w:marTop w:val="0"/>
      <w:marBottom w:val="0"/>
      <w:divBdr>
        <w:top w:val="none" w:sz="0" w:space="0" w:color="auto"/>
        <w:left w:val="none" w:sz="0" w:space="0" w:color="auto"/>
        <w:bottom w:val="none" w:sz="0" w:space="0" w:color="auto"/>
        <w:right w:val="none" w:sz="0" w:space="0" w:color="auto"/>
      </w:divBdr>
      <w:divsChild>
        <w:div w:id="506598731">
          <w:marLeft w:val="0"/>
          <w:marRight w:val="0"/>
          <w:marTop w:val="0"/>
          <w:marBottom w:val="0"/>
          <w:divBdr>
            <w:top w:val="none" w:sz="0" w:space="0" w:color="auto"/>
            <w:left w:val="none" w:sz="0" w:space="0" w:color="auto"/>
            <w:bottom w:val="none" w:sz="0" w:space="0" w:color="auto"/>
            <w:right w:val="none" w:sz="0" w:space="0" w:color="auto"/>
          </w:divBdr>
          <w:divsChild>
            <w:div w:id="53549238">
              <w:marLeft w:val="0"/>
              <w:marRight w:val="0"/>
              <w:marTop w:val="0"/>
              <w:marBottom w:val="0"/>
              <w:divBdr>
                <w:top w:val="none" w:sz="0" w:space="0" w:color="auto"/>
                <w:left w:val="none" w:sz="0" w:space="0" w:color="auto"/>
                <w:bottom w:val="none" w:sz="0" w:space="0" w:color="auto"/>
                <w:right w:val="none" w:sz="0" w:space="0" w:color="auto"/>
              </w:divBdr>
              <w:divsChild>
                <w:div w:id="1443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732117110">
          <w:marLeft w:val="0"/>
          <w:marRight w:val="0"/>
          <w:marTop w:val="0"/>
          <w:marBottom w:val="0"/>
          <w:divBdr>
            <w:top w:val="none" w:sz="0" w:space="0" w:color="auto"/>
            <w:left w:val="none" w:sz="0" w:space="0" w:color="auto"/>
            <w:bottom w:val="none" w:sz="0" w:space="0" w:color="auto"/>
            <w:right w:val="none" w:sz="0" w:space="0" w:color="auto"/>
          </w:divBdr>
          <w:divsChild>
            <w:div w:id="1501461355">
              <w:marLeft w:val="0"/>
              <w:marRight w:val="0"/>
              <w:marTop w:val="0"/>
              <w:marBottom w:val="0"/>
              <w:divBdr>
                <w:top w:val="none" w:sz="0" w:space="0" w:color="auto"/>
                <w:left w:val="none" w:sz="0" w:space="0" w:color="auto"/>
                <w:bottom w:val="none" w:sz="0" w:space="0" w:color="auto"/>
                <w:right w:val="none" w:sz="0" w:space="0" w:color="auto"/>
              </w:divBdr>
              <w:divsChild>
                <w:div w:id="4206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7727">
      <w:bodyDiv w:val="1"/>
      <w:marLeft w:val="0"/>
      <w:marRight w:val="0"/>
      <w:marTop w:val="0"/>
      <w:marBottom w:val="0"/>
      <w:divBdr>
        <w:top w:val="none" w:sz="0" w:space="0" w:color="auto"/>
        <w:left w:val="none" w:sz="0" w:space="0" w:color="auto"/>
        <w:bottom w:val="none" w:sz="0" w:space="0" w:color="auto"/>
        <w:right w:val="none" w:sz="0" w:space="0" w:color="auto"/>
      </w:divBdr>
      <w:divsChild>
        <w:div w:id="1683706034">
          <w:marLeft w:val="0"/>
          <w:marRight w:val="0"/>
          <w:marTop w:val="0"/>
          <w:marBottom w:val="0"/>
          <w:divBdr>
            <w:top w:val="none" w:sz="0" w:space="0" w:color="auto"/>
            <w:left w:val="none" w:sz="0" w:space="0" w:color="auto"/>
            <w:bottom w:val="none" w:sz="0" w:space="0" w:color="auto"/>
            <w:right w:val="none" w:sz="0" w:space="0" w:color="auto"/>
          </w:divBdr>
          <w:divsChild>
            <w:div w:id="2101872550">
              <w:marLeft w:val="0"/>
              <w:marRight w:val="0"/>
              <w:marTop w:val="0"/>
              <w:marBottom w:val="0"/>
              <w:divBdr>
                <w:top w:val="none" w:sz="0" w:space="0" w:color="auto"/>
                <w:left w:val="none" w:sz="0" w:space="0" w:color="auto"/>
                <w:bottom w:val="none" w:sz="0" w:space="0" w:color="auto"/>
                <w:right w:val="none" w:sz="0" w:space="0" w:color="auto"/>
              </w:divBdr>
              <w:divsChild>
                <w:div w:id="1070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58641">
      <w:bodyDiv w:val="1"/>
      <w:marLeft w:val="0"/>
      <w:marRight w:val="0"/>
      <w:marTop w:val="0"/>
      <w:marBottom w:val="0"/>
      <w:divBdr>
        <w:top w:val="none" w:sz="0" w:space="0" w:color="auto"/>
        <w:left w:val="none" w:sz="0" w:space="0" w:color="auto"/>
        <w:bottom w:val="none" w:sz="0" w:space="0" w:color="auto"/>
        <w:right w:val="none" w:sz="0" w:space="0" w:color="auto"/>
      </w:divBdr>
      <w:divsChild>
        <w:div w:id="848714564">
          <w:marLeft w:val="0"/>
          <w:marRight w:val="0"/>
          <w:marTop w:val="0"/>
          <w:marBottom w:val="0"/>
          <w:divBdr>
            <w:top w:val="none" w:sz="0" w:space="0" w:color="auto"/>
            <w:left w:val="none" w:sz="0" w:space="0" w:color="auto"/>
            <w:bottom w:val="none" w:sz="0" w:space="0" w:color="auto"/>
            <w:right w:val="none" w:sz="0" w:space="0" w:color="auto"/>
          </w:divBdr>
          <w:divsChild>
            <w:div w:id="545416033">
              <w:marLeft w:val="0"/>
              <w:marRight w:val="0"/>
              <w:marTop w:val="0"/>
              <w:marBottom w:val="0"/>
              <w:divBdr>
                <w:top w:val="none" w:sz="0" w:space="0" w:color="auto"/>
                <w:left w:val="none" w:sz="0" w:space="0" w:color="auto"/>
                <w:bottom w:val="none" w:sz="0" w:space="0" w:color="auto"/>
                <w:right w:val="none" w:sz="0" w:space="0" w:color="auto"/>
              </w:divBdr>
              <w:divsChild>
                <w:div w:id="2242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79234">
      <w:bodyDiv w:val="1"/>
      <w:marLeft w:val="0"/>
      <w:marRight w:val="0"/>
      <w:marTop w:val="0"/>
      <w:marBottom w:val="0"/>
      <w:divBdr>
        <w:top w:val="none" w:sz="0" w:space="0" w:color="auto"/>
        <w:left w:val="none" w:sz="0" w:space="0" w:color="auto"/>
        <w:bottom w:val="none" w:sz="0" w:space="0" w:color="auto"/>
        <w:right w:val="none" w:sz="0" w:space="0" w:color="auto"/>
      </w:divBdr>
      <w:divsChild>
        <w:div w:id="462621283">
          <w:marLeft w:val="0"/>
          <w:marRight w:val="0"/>
          <w:marTop w:val="0"/>
          <w:marBottom w:val="0"/>
          <w:divBdr>
            <w:top w:val="none" w:sz="0" w:space="0" w:color="auto"/>
            <w:left w:val="none" w:sz="0" w:space="0" w:color="auto"/>
            <w:bottom w:val="none" w:sz="0" w:space="0" w:color="auto"/>
            <w:right w:val="none" w:sz="0" w:space="0" w:color="auto"/>
          </w:divBdr>
          <w:divsChild>
            <w:div w:id="338705232">
              <w:marLeft w:val="0"/>
              <w:marRight w:val="0"/>
              <w:marTop w:val="0"/>
              <w:marBottom w:val="0"/>
              <w:divBdr>
                <w:top w:val="none" w:sz="0" w:space="0" w:color="auto"/>
                <w:left w:val="none" w:sz="0" w:space="0" w:color="auto"/>
                <w:bottom w:val="none" w:sz="0" w:space="0" w:color="auto"/>
                <w:right w:val="none" w:sz="0" w:space="0" w:color="auto"/>
              </w:divBdr>
              <w:divsChild>
                <w:div w:id="1536234965">
                  <w:marLeft w:val="0"/>
                  <w:marRight w:val="0"/>
                  <w:marTop w:val="0"/>
                  <w:marBottom w:val="0"/>
                  <w:divBdr>
                    <w:top w:val="none" w:sz="0" w:space="0" w:color="auto"/>
                    <w:left w:val="none" w:sz="0" w:space="0" w:color="auto"/>
                    <w:bottom w:val="none" w:sz="0" w:space="0" w:color="auto"/>
                    <w:right w:val="none" w:sz="0" w:space="0" w:color="auto"/>
                  </w:divBdr>
                </w:div>
              </w:divsChild>
            </w:div>
            <w:div w:id="998118876">
              <w:marLeft w:val="0"/>
              <w:marRight w:val="0"/>
              <w:marTop w:val="0"/>
              <w:marBottom w:val="0"/>
              <w:divBdr>
                <w:top w:val="none" w:sz="0" w:space="0" w:color="auto"/>
                <w:left w:val="none" w:sz="0" w:space="0" w:color="auto"/>
                <w:bottom w:val="none" w:sz="0" w:space="0" w:color="auto"/>
                <w:right w:val="none" w:sz="0" w:space="0" w:color="auto"/>
              </w:divBdr>
              <w:divsChild>
                <w:div w:id="2409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496">
          <w:marLeft w:val="0"/>
          <w:marRight w:val="0"/>
          <w:marTop w:val="0"/>
          <w:marBottom w:val="0"/>
          <w:divBdr>
            <w:top w:val="none" w:sz="0" w:space="0" w:color="auto"/>
            <w:left w:val="none" w:sz="0" w:space="0" w:color="auto"/>
            <w:bottom w:val="none" w:sz="0" w:space="0" w:color="auto"/>
            <w:right w:val="none" w:sz="0" w:space="0" w:color="auto"/>
          </w:divBdr>
          <w:divsChild>
            <w:div w:id="615647110">
              <w:marLeft w:val="0"/>
              <w:marRight w:val="0"/>
              <w:marTop w:val="0"/>
              <w:marBottom w:val="0"/>
              <w:divBdr>
                <w:top w:val="none" w:sz="0" w:space="0" w:color="auto"/>
                <w:left w:val="none" w:sz="0" w:space="0" w:color="auto"/>
                <w:bottom w:val="none" w:sz="0" w:space="0" w:color="auto"/>
                <w:right w:val="none" w:sz="0" w:space="0" w:color="auto"/>
              </w:divBdr>
              <w:divsChild>
                <w:div w:id="34472007">
                  <w:marLeft w:val="0"/>
                  <w:marRight w:val="0"/>
                  <w:marTop w:val="0"/>
                  <w:marBottom w:val="0"/>
                  <w:divBdr>
                    <w:top w:val="none" w:sz="0" w:space="0" w:color="auto"/>
                    <w:left w:val="none" w:sz="0" w:space="0" w:color="auto"/>
                    <w:bottom w:val="none" w:sz="0" w:space="0" w:color="auto"/>
                    <w:right w:val="none" w:sz="0" w:space="0" w:color="auto"/>
                  </w:divBdr>
                </w:div>
              </w:divsChild>
            </w:div>
            <w:div w:id="1437747253">
              <w:marLeft w:val="0"/>
              <w:marRight w:val="0"/>
              <w:marTop w:val="0"/>
              <w:marBottom w:val="0"/>
              <w:divBdr>
                <w:top w:val="none" w:sz="0" w:space="0" w:color="auto"/>
                <w:left w:val="none" w:sz="0" w:space="0" w:color="auto"/>
                <w:bottom w:val="none" w:sz="0" w:space="0" w:color="auto"/>
                <w:right w:val="none" w:sz="0" w:space="0" w:color="auto"/>
              </w:divBdr>
              <w:divsChild>
                <w:div w:id="6921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7062">
          <w:marLeft w:val="0"/>
          <w:marRight w:val="0"/>
          <w:marTop w:val="0"/>
          <w:marBottom w:val="0"/>
          <w:divBdr>
            <w:top w:val="none" w:sz="0" w:space="0" w:color="auto"/>
            <w:left w:val="none" w:sz="0" w:space="0" w:color="auto"/>
            <w:bottom w:val="none" w:sz="0" w:space="0" w:color="auto"/>
            <w:right w:val="none" w:sz="0" w:space="0" w:color="auto"/>
          </w:divBdr>
          <w:divsChild>
            <w:div w:id="574167555">
              <w:marLeft w:val="0"/>
              <w:marRight w:val="0"/>
              <w:marTop w:val="0"/>
              <w:marBottom w:val="0"/>
              <w:divBdr>
                <w:top w:val="none" w:sz="0" w:space="0" w:color="auto"/>
                <w:left w:val="none" w:sz="0" w:space="0" w:color="auto"/>
                <w:bottom w:val="none" w:sz="0" w:space="0" w:color="auto"/>
                <w:right w:val="none" w:sz="0" w:space="0" w:color="auto"/>
              </w:divBdr>
              <w:divsChild>
                <w:div w:id="2112162764">
                  <w:marLeft w:val="0"/>
                  <w:marRight w:val="0"/>
                  <w:marTop w:val="0"/>
                  <w:marBottom w:val="0"/>
                  <w:divBdr>
                    <w:top w:val="none" w:sz="0" w:space="0" w:color="auto"/>
                    <w:left w:val="none" w:sz="0" w:space="0" w:color="auto"/>
                    <w:bottom w:val="none" w:sz="0" w:space="0" w:color="auto"/>
                    <w:right w:val="none" w:sz="0" w:space="0" w:color="auto"/>
                  </w:divBdr>
                </w:div>
              </w:divsChild>
            </w:div>
            <w:div w:id="2052685451">
              <w:marLeft w:val="0"/>
              <w:marRight w:val="0"/>
              <w:marTop w:val="0"/>
              <w:marBottom w:val="0"/>
              <w:divBdr>
                <w:top w:val="none" w:sz="0" w:space="0" w:color="auto"/>
                <w:left w:val="none" w:sz="0" w:space="0" w:color="auto"/>
                <w:bottom w:val="none" w:sz="0" w:space="0" w:color="auto"/>
                <w:right w:val="none" w:sz="0" w:space="0" w:color="auto"/>
              </w:divBdr>
              <w:divsChild>
                <w:div w:id="17403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3062">
          <w:marLeft w:val="0"/>
          <w:marRight w:val="0"/>
          <w:marTop w:val="0"/>
          <w:marBottom w:val="0"/>
          <w:divBdr>
            <w:top w:val="none" w:sz="0" w:space="0" w:color="auto"/>
            <w:left w:val="none" w:sz="0" w:space="0" w:color="auto"/>
            <w:bottom w:val="none" w:sz="0" w:space="0" w:color="auto"/>
            <w:right w:val="none" w:sz="0" w:space="0" w:color="auto"/>
          </w:divBdr>
          <w:divsChild>
            <w:div w:id="404571452">
              <w:marLeft w:val="0"/>
              <w:marRight w:val="0"/>
              <w:marTop w:val="0"/>
              <w:marBottom w:val="0"/>
              <w:divBdr>
                <w:top w:val="none" w:sz="0" w:space="0" w:color="auto"/>
                <w:left w:val="none" w:sz="0" w:space="0" w:color="auto"/>
                <w:bottom w:val="none" w:sz="0" w:space="0" w:color="auto"/>
                <w:right w:val="none" w:sz="0" w:space="0" w:color="auto"/>
              </w:divBdr>
              <w:divsChild>
                <w:div w:id="1574461554">
                  <w:marLeft w:val="0"/>
                  <w:marRight w:val="0"/>
                  <w:marTop w:val="0"/>
                  <w:marBottom w:val="0"/>
                  <w:divBdr>
                    <w:top w:val="none" w:sz="0" w:space="0" w:color="auto"/>
                    <w:left w:val="none" w:sz="0" w:space="0" w:color="auto"/>
                    <w:bottom w:val="none" w:sz="0" w:space="0" w:color="auto"/>
                    <w:right w:val="none" w:sz="0" w:space="0" w:color="auto"/>
                  </w:divBdr>
                </w:div>
              </w:divsChild>
            </w:div>
            <w:div w:id="458961080">
              <w:marLeft w:val="0"/>
              <w:marRight w:val="0"/>
              <w:marTop w:val="0"/>
              <w:marBottom w:val="0"/>
              <w:divBdr>
                <w:top w:val="none" w:sz="0" w:space="0" w:color="auto"/>
                <w:left w:val="none" w:sz="0" w:space="0" w:color="auto"/>
                <w:bottom w:val="none" w:sz="0" w:space="0" w:color="auto"/>
                <w:right w:val="none" w:sz="0" w:space="0" w:color="auto"/>
              </w:divBdr>
              <w:divsChild>
                <w:div w:id="5959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4630">
          <w:marLeft w:val="0"/>
          <w:marRight w:val="0"/>
          <w:marTop w:val="0"/>
          <w:marBottom w:val="0"/>
          <w:divBdr>
            <w:top w:val="none" w:sz="0" w:space="0" w:color="auto"/>
            <w:left w:val="none" w:sz="0" w:space="0" w:color="auto"/>
            <w:bottom w:val="none" w:sz="0" w:space="0" w:color="auto"/>
            <w:right w:val="none" w:sz="0" w:space="0" w:color="auto"/>
          </w:divBdr>
          <w:divsChild>
            <w:div w:id="636837271">
              <w:marLeft w:val="0"/>
              <w:marRight w:val="0"/>
              <w:marTop w:val="0"/>
              <w:marBottom w:val="0"/>
              <w:divBdr>
                <w:top w:val="none" w:sz="0" w:space="0" w:color="auto"/>
                <w:left w:val="none" w:sz="0" w:space="0" w:color="auto"/>
                <w:bottom w:val="none" w:sz="0" w:space="0" w:color="auto"/>
                <w:right w:val="none" w:sz="0" w:space="0" w:color="auto"/>
              </w:divBdr>
              <w:divsChild>
                <w:div w:id="339963886">
                  <w:marLeft w:val="0"/>
                  <w:marRight w:val="0"/>
                  <w:marTop w:val="0"/>
                  <w:marBottom w:val="0"/>
                  <w:divBdr>
                    <w:top w:val="none" w:sz="0" w:space="0" w:color="auto"/>
                    <w:left w:val="none" w:sz="0" w:space="0" w:color="auto"/>
                    <w:bottom w:val="none" w:sz="0" w:space="0" w:color="auto"/>
                    <w:right w:val="none" w:sz="0" w:space="0" w:color="auto"/>
                  </w:divBdr>
                </w:div>
              </w:divsChild>
            </w:div>
            <w:div w:id="1282110632">
              <w:marLeft w:val="0"/>
              <w:marRight w:val="0"/>
              <w:marTop w:val="0"/>
              <w:marBottom w:val="0"/>
              <w:divBdr>
                <w:top w:val="none" w:sz="0" w:space="0" w:color="auto"/>
                <w:left w:val="none" w:sz="0" w:space="0" w:color="auto"/>
                <w:bottom w:val="none" w:sz="0" w:space="0" w:color="auto"/>
                <w:right w:val="none" w:sz="0" w:space="0" w:color="auto"/>
              </w:divBdr>
              <w:divsChild>
                <w:div w:id="1909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5548">
          <w:marLeft w:val="0"/>
          <w:marRight w:val="0"/>
          <w:marTop w:val="0"/>
          <w:marBottom w:val="0"/>
          <w:divBdr>
            <w:top w:val="none" w:sz="0" w:space="0" w:color="auto"/>
            <w:left w:val="none" w:sz="0" w:space="0" w:color="auto"/>
            <w:bottom w:val="none" w:sz="0" w:space="0" w:color="auto"/>
            <w:right w:val="none" w:sz="0" w:space="0" w:color="auto"/>
          </w:divBdr>
          <w:divsChild>
            <w:div w:id="1429544973">
              <w:marLeft w:val="0"/>
              <w:marRight w:val="0"/>
              <w:marTop w:val="0"/>
              <w:marBottom w:val="0"/>
              <w:divBdr>
                <w:top w:val="none" w:sz="0" w:space="0" w:color="auto"/>
                <w:left w:val="none" w:sz="0" w:space="0" w:color="auto"/>
                <w:bottom w:val="none" w:sz="0" w:space="0" w:color="auto"/>
                <w:right w:val="none" w:sz="0" w:space="0" w:color="auto"/>
              </w:divBdr>
              <w:divsChild>
                <w:div w:id="2093427680">
                  <w:marLeft w:val="0"/>
                  <w:marRight w:val="0"/>
                  <w:marTop w:val="0"/>
                  <w:marBottom w:val="0"/>
                  <w:divBdr>
                    <w:top w:val="none" w:sz="0" w:space="0" w:color="auto"/>
                    <w:left w:val="none" w:sz="0" w:space="0" w:color="auto"/>
                    <w:bottom w:val="none" w:sz="0" w:space="0" w:color="auto"/>
                    <w:right w:val="none" w:sz="0" w:space="0" w:color="auto"/>
                  </w:divBdr>
                </w:div>
              </w:divsChild>
            </w:div>
            <w:div w:id="869538441">
              <w:marLeft w:val="0"/>
              <w:marRight w:val="0"/>
              <w:marTop w:val="0"/>
              <w:marBottom w:val="0"/>
              <w:divBdr>
                <w:top w:val="none" w:sz="0" w:space="0" w:color="auto"/>
                <w:left w:val="none" w:sz="0" w:space="0" w:color="auto"/>
                <w:bottom w:val="none" w:sz="0" w:space="0" w:color="auto"/>
                <w:right w:val="none" w:sz="0" w:space="0" w:color="auto"/>
              </w:divBdr>
              <w:divsChild>
                <w:div w:id="7277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2907">
          <w:marLeft w:val="0"/>
          <w:marRight w:val="0"/>
          <w:marTop w:val="0"/>
          <w:marBottom w:val="0"/>
          <w:divBdr>
            <w:top w:val="none" w:sz="0" w:space="0" w:color="auto"/>
            <w:left w:val="none" w:sz="0" w:space="0" w:color="auto"/>
            <w:bottom w:val="none" w:sz="0" w:space="0" w:color="auto"/>
            <w:right w:val="none" w:sz="0" w:space="0" w:color="auto"/>
          </w:divBdr>
          <w:divsChild>
            <w:div w:id="1964311569">
              <w:marLeft w:val="0"/>
              <w:marRight w:val="0"/>
              <w:marTop w:val="0"/>
              <w:marBottom w:val="0"/>
              <w:divBdr>
                <w:top w:val="none" w:sz="0" w:space="0" w:color="auto"/>
                <w:left w:val="none" w:sz="0" w:space="0" w:color="auto"/>
                <w:bottom w:val="none" w:sz="0" w:space="0" w:color="auto"/>
                <w:right w:val="none" w:sz="0" w:space="0" w:color="auto"/>
              </w:divBdr>
              <w:divsChild>
                <w:div w:id="2051294332">
                  <w:marLeft w:val="0"/>
                  <w:marRight w:val="0"/>
                  <w:marTop w:val="0"/>
                  <w:marBottom w:val="0"/>
                  <w:divBdr>
                    <w:top w:val="none" w:sz="0" w:space="0" w:color="auto"/>
                    <w:left w:val="none" w:sz="0" w:space="0" w:color="auto"/>
                    <w:bottom w:val="none" w:sz="0" w:space="0" w:color="auto"/>
                    <w:right w:val="none" w:sz="0" w:space="0" w:color="auto"/>
                  </w:divBdr>
                </w:div>
              </w:divsChild>
            </w:div>
            <w:div w:id="62335281">
              <w:marLeft w:val="0"/>
              <w:marRight w:val="0"/>
              <w:marTop w:val="0"/>
              <w:marBottom w:val="0"/>
              <w:divBdr>
                <w:top w:val="none" w:sz="0" w:space="0" w:color="auto"/>
                <w:left w:val="none" w:sz="0" w:space="0" w:color="auto"/>
                <w:bottom w:val="none" w:sz="0" w:space="0" w:color="auto"/>
                <w:right w:val="none" w:sz="0" w:space="0" w:color="auto"/>
              </w:divBdr>
              <w:divsChild>
                <w:div w:id="1455908197">
                  <w:marLeft w:val="0"/>
                  <w:marRight w:val="0"/>
                  <w:marTop w:val="0"/>
                  <w:marBottom w:val="0"/>
                  <w:divBdr>
                    <w:top w:val="none" w:sz="0" w:space="0" w:color="auto"/>
                    <w:left w:val="none" w:sz="0" w:space="0" w:color="auto"/>
                    <w:bottom w:val="none" w:sz="0" w:space="0" w:color="auto"/>
                    <w:right w:val="none" w:sz="0" w:space="0" w:color="auto"/>
                  </w:divBdr>
                </w:div>
              </w:divsChild>
            </w:div>
            <w:div w:id="1300845634">
              <w:marLeft w:val="0"/>
              <w:marRight w:val="0"/>
              <w:marTop w:val="0"/>
              <w:marBottom w:val="0"/>
              <w:divBdr>
                <w:top w:val="none" w:sz="0" w:space="0" w:color="auto"/>
                <w:left w:val="none" w:sz="0" w:space="0" w:color="auto"/>
                <w:bottom w:val="none" w:sz="0" w:space="0" w:color="auto"/>
                <w:right w:val="none" w:sz="0" w:space="0" w:color="auto"/>
              </w:divBdr>
              <w:divsChild>
                <w:div w:id="315887893">
                  <w:marLeft w:val="0"/>
                  <w:marRight w:val="0"/>
                  <w:marTop w:val="0"/>
                  <w:marBottom w:val="0"/>
                  <w:divBdr>
                    <w:top w:val="none" w:sz="0" w:space="0" w:color="auto"/>
                    <w:left w:val="none" w:sz="0" w:space="0" w:color="auto"/>
                    <w:bottom w:val="none" w:sz="0" w:space="0" w:color="auto"/>
                    <w:right w:val="none" w:sz="0" w:space="0" w:color="auto"/>
                  </w:divBdr>
                  <w:divsChild>
                    <w:div w:id="1483152937">
                      <w:marLeft w:val="0"/>
                      <w:marRight w:val="0"/>
                      <w:marTop w:val="0"/>
                      <w:marBottom w:val="0"/>
                      <w:divBdr>
                        <w:top w:val="none" w:sz="0" w:space="0" w:color="auto"/>
                        <w:left w:val="none" w:sz="0" w:space="0" w:color="auto"/>
                        <w:bottom w:val="none" w:sz="0" w:space="0" w:color="auto"/>
                        <w:right w:val="none" w:sz="0" w:space="0" w:color="auto"/>
                      </w:divBdr>
                    </w:div>
                  </w:divsChild>
                </w:div>
                <w:div w:id="527448027">
                  <w:marLeft w:val="0"/>
                  <w:marRight w:val="0"/>
                  <w:marTop w:val="0"/>
                  <w:marBottom w:val="0"/>
                  <w:divBdr>
                    <w:top w:val="none" w:sz="0" w:space="0" w:color="auto"/>
                    <w:left w:val="none" w:sz="0" w:space="0" w:color="auto"/>
                    <w:bottom w:val="none" w:sz="0" w:space="0" w:color="auto"/>
                    <w:right w:val="none" w:sz="0" w:space="0" w:color="auto"/>
                  </w:divBdr>
                  <w:divsChild>
                    <w:div w:id="1922829577">
                      <w:marLeft w:val="0"/>
                      <w:marRight w:val="0"/>
                      <w:marTop w:val="0"/>
                      <w:marBottom w:val="0"/>
                      <w:divBdr>
                        <w:top w:val="none" w:sz="0" w:space="0" w:color="auto"/>
                        <w:left w:val="none" w:sz="0" w:space="0" w:color="auto"/>
                        <w:bottom w:val="none" w:sz="0" w:space="0" w:color="auto"/>
                        <w:right w:val="none" w:sz="0" w:space="0" w:color="auto"/>
                      </w:divBdr>
                    </w:div>
                  </w:divsChild>
                </w:div>
                <w:div w:id="2139030231">
                  <w:marLeft w:val="0"/>
                  <w:marRight w:val="0"/>
                  <w:marTop w:val="0"/>
                  <w:marBottom w:val="0"/>
                  <w:divBdr>
                    <w:top w:val="none" w:sz="0" w:space="0" w:color="auto"/>
                    <w:left w:val="none" w:sz="0" w:space="0" w:color="auto"/>
                    <w:bottom w:val="none" w:sz="0" w:space="0" w:color="auto"/>
                    <w:right w:val="none" w:sz="0" w:space="0" w:color="auto"/>
                  </w:divBdr>
                  <w:divsChild>
                    <w:div w:id="1435860901">
                      <w:marLeft w:val="0"/>
                      <w:marRight w:val="0"/>
                      <w:marTop w:val="0"/>
                      <w:marBottom w:val="0"/>
                      <w:divBdr>
                        <w:top w:val="none" w:sz="0" w:space="0" w:color="auto"/>
                        <w:left w:val="none" w:sz="0" w:space="0" w:color="auto"/>
                        <w:bottom w:val="none" w:sz="0" w:space="0" w:color="auto"/>
                        <w:right w:val="none" w:sz="0" w:space="0" w:color="auto"/>
                      </w:divBdr>
                    </w:div>
                  </w:divsChild>
                </w:div>
                <w:div w:id="55905807">
                  <w:marLeft w:val="0"/>
                  <w:marRight w:val="0"/>
                  <w:marTop w:val="0"/>
                  <w:marBottom w:val="0"/>
                  <w:divBdr>
                    <w:top w:val="none" w:sz="0" w:space="0" w:color="auto"/>
                    <w:left w:val="none" w:sz="0" w:space="0" w:color="auto"/>
                    <w:bottom w:val="none" w:sz="0" w:space="0" w:color="auto"/>
                    <w:right w:val="none" w:sz="0" w:space="0" w:color="auto"/>
                  </w:divBdr>
                  <w:divsChild>
                    <w:div w:id="1883856239">
                      <w:marLeft w:val="0"/>
                      <w:marRight w:val="0"/>
                      <w:marTop w:val="0"/>
                      <w:marBottom w:val="0"/>
                      <w:divBdr>
                        <w:top w:val="none" w:sz="0" w:space="0" w:color="auto"/>
                        <w:left w:val="none" w:sz="0" w:space="0" w:color="auto"/>
                        <w:bottom w:val="none" w:sz="0" w:space="0" w:color="auto"/>
                        <w:right w:val="none" w:sz="0" w:space="0" w:color="auto"/>
                      </w:divBdr>
                    </w:div>
                  </w:divsChild>
                </w:div>
                <w:div w:id="2040470248">
                  <w:marLeft w:val="0"/>
                  <w:marRight w:val="0"/>
                  <w:marTop w:val="0"/>
                  <w:marBottom w:val="0"/>
                  <w:divBdr>
                    <w:top w:val="none" w:sz="0" w:space="0" w:color="auto"/>
                    <w:left w:val="none" w:sz="0" w:space="0" w:color="auto"/>
                    <w:bottom w:val="none" w:sz="0" w:space="0" w:color="auto"/>
                    <w:right w:val="none" w:sz="0" w:space="0" w:color="auto"/>
                  </w:divBdr>
                  <w:divsChild>
                    <w:div w:id="1895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8219">
              <w:marLeft w:val="0"/>
              <w:marRight w:val="0"/>
              <w:marTop w:val="0"/>
              <w:marBottom w:val="0"/>
              <w:divBdr>
                <w:top w:val="none" w:sz="0" w:space="0" w:color="auto"/>
                <w:left w:val="none" w:sz="0" w:space="0" w:color="auto"/>
                <w:bottom w:val="none" w:sz="0" w:space="0" w:color="auto"/>
                <w:right w:val="none" w:sz="0" w:space="0" w:color="auto"/>
              </w:divBdr>
              <w:divsChild>
                <w:div w:id="20316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9697">
          <w:marLeft w:val="0"/>
          <w:marRight w:val="0"/>
          <w:marTop w:val="0"/>
          <w:marBottom w:val="0"/>
          <w:divBdr>
            <w:top w:val="none" w:sz="0" w:space="0" w:color="auto"/>
            <w:left w:val="none" w:sz="0" w:space="0" w:color="auto"/>
            <w:bottom w:val="none" w:sz="0" w:space="0" w:color="auto"/>
            <w:right w:val="none" w:sz="0" w:space="0" w:color="auto"/>
          </w:divBdr>
          <w:divsChild>
            <w:div w:id="2040426007">
              <w:marLeft w:val="0"/>
              <w:marRight w:val="0"/>
              <w:marTop w:val="0"/>
              <w:marBottom w:val="0"/>
              <w:divBdr>
                <w:top w:val="none" w:sz="0" w:space="0" w:color="auto"/>
                <w:left w:val="none" w:sz="0" w:space="0" w:color="auto"/>
                <w:bottom w:val="none" w:sz="0" w:space="0" w:color="auto"/>
                <w:right w:val="none" w:sz="0" w:space="0" w:color="auto"/>
              </w:divBdr>
              <w:divsChild>
                <w:div w:id="1871188893">
                  <w:marLeft w:val="0"/>
                  <w:marRight w:val="0"/>
                  <w:marTop w:val="0"/>
                  <w:marBottom w:val="0"/>
                  <w:divBdr>
                    <w:top w:val="none" w:sz="0" w:space="0" w:color="auto"/>
                    <w:left w:val="none" w:sz="0" w:space="0" w:color="auto"/>
                    <w:bottom w:val="none" w:sz="0" w:space="0" w:color="auto"/>
                    <w:right w:val="none" w:sz="0" w:space="0" w:color="auto"/>
                  </w:divBdr>
                </w:div>
              </w:divsChild>
            </w:div>
            <w:div w:id="1581868313">
              <w:marLeft w:val="0"/>
              <w:marRight w:val="0"/>
              <w:marTop w:val="0"/>
              <w:marBottom w:val="0"/>
              <w:divBdr>
                <w:top w:val="none" w:sz="0" w:space="0" w:color="auto"/>
                <w:left w:val="none" w:sz="0" w:space="0" w:color="auto"/>
                <w:bottom w:val="none" w:sz="0" w:space="0" w:color="auto"/>
                <w:right w:val="none" w:sz="0" w:space="0" w:color="auto"/>
              </w:divBdr>
              <w:divsChild>
                <w:div w:id="2926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6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B14E882-0D5A-B748-8387-03BA1DC6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Ravikumar, Akshana</dc:creator>
  <cp:keywords/>
  <dc:description/>
  <cp:lastModifiedBy>Sheriff, Sara</cp:lastModifiedBy>
  <cp:revision>6</cp:revision>
  <dcterms:created xsi:type="dcterms:W3CDTF">2021-07-13T09:59:00Z</dcterms:created>
  <dcterms:modified xsi:type="dcterms:W3CDTF">2021-07-13T10:07:00Z</dcterms:modified>
</cp:coreProperties>
</file>