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0933077" w14:textId="3D21FECA" w:rsidR="002D338F" w:rsidRPr="00014B03" w:rsidRDefault="00D173E1" w:rsidP="005D4A43">
      <w:pPr>
        <w:pBdr>
          <w:bottom w:val="single" w:sz="4" w:space="1" w:color="auto"/>
        </w:pBdr>
        <w:spacing w:after="100"/>
        <w:rPr>
          <w:rFonts w:ascii="Sylfaen" w:hAnsi="Sylfaen"/>
        </w:rPr>
      </w:pPr>
      <w:r w:rsidRPr="00014B03">
        <w:rPr>
          <w:rFonts w:ascii="Sylfaen" w:hAnsi="Sylfaen"/>
          <w:i/>
        </w:rPr>
        <w:t>Research paper</w:t>
      </w:r>
    </w:p>
    <w:p w14:paraId="69B711E1" w14:textId="77777777" w:rsidR="002D338F" w:rsidRPr="00C830A5" w:rsidRDefault="00D77C7F" w:rsidP="00C830A5">
      <w:pPr>
        <w:pStyle w:val="Title"/>
        <w:rPr>
          <w:rFonts w:ascii="Sylfaen" w:hAnsi="Sylfaen"/>
          <w:sz w:val="48"/>
          <w:szCs w:val="48"/>
        </w:rPr>
      </w:pPr>
      <w:r w:rsidRPr="00C830A5">
        <w:rPr>
          <w:rFonts w:ascii="Sylfaen" w:hAnsi="Sylfaen"/>
          <w:sz w:val="48"/>
          <w:szCs w:val="48"/>
        </w:rPr>
        <w:t>From Legal Mimicry to Algorithmic Integrity: Smart Sukuk and the Case for Embedding Sharia Compliance in Code</w:t>
      </w:r>
    </w:p>
    <w:p w14:paraId="2F35DDF9" w14:textId="77777777" w:rsidR="002D338F" w:rsidRDefault="002D338F">
      <w:pPr>
        <w:spacing w:after="40"/>
      </w:pPr>
    </w:p>
    <w:p w14:paraId="524883C7" w14:textId="77777777" w:rsidR="0031581D" w:rsidRPr="00F805A3" w:rsidRDefault="0031581D" w:rsidP="005D4A43">
      <w:pPr>
        <w:pBdr>
          <w:bottom w:val="single" w:sz="4" w:space="1" w:color="auto"/>
        </w:pBdr>
        <w:spacing w:after="280"/>
        <w:rPr>
          <w:rFonts w:ascii="Sylfaen" w:hAnsi="Sylfaen" w:cs="Open Sans"/>
          <w:color w:val="0A0A0A"/>
          <w:shd w:val="clear" w:color="auto" w:fill="FEFEFE"/>
        </w:rPr>
      </w:pPr>
      <w:r w:rsidRPr="00F805A3">
        <w:rPr>
          <w:rFonts w:ascii="Sylfaen" w:hAnsi="Sylfaen" w:cs="Open Sans"/>
          <w:color w:val="0A0A0A"/>
          <w:shd w:val="clear" w:color="auto" w:fill="FEFEFE"/>
        </w:rPr>
        <w:t>Hssan Alkhamees</w:t>
      </w:r>
    </w:p>
    <w:p w14:paraId="40916F40" w14:textId="391AC01A" w:rsidR="002D338F" w:rsidRDefault="00D77C7F" w:rsidP="005D4A43">
      <w:pPr>
        <w:pBdr>
          <w:bottom w:val="single" w:sz="4" w:space="1" w:color="auto"/>
        </w:pBdr>
        <w:spacing w:after="280"/>
      </w:pPr>
      <w:r>
        <w:rPr>
          <w:rFonts w:ascii="Sylfaen" w:eastAsia="Sylfaen" w:hAnsi="Sylfaen" w:cs="Sylfaen"/>
        </w:rPr>
        <w:t>University of Esse</w:t>
      </w:r>
      <w:r w:rsidR="004325D1">
        <w:rPr>
          <w:rFonts w:ascii="Sylfaen" w:eastAsia="Sylfaen" w:hAnsi="Sylfaen" w:cs="Sylfaen"/>
        </w:rPr>
        <w:t>x</w:t>
      </w:r>
    </w:p>
    <w:p w14:paraId="2665C344" w14:textId="77777777" w:rsidR="002D338F" w:rsidRDefault="00D77C7F" w:rsidP="006001CE">
      <w:pPr>
        <w:pStyle w:val="Heading2"/>
        <w:keepNext/>
        <w:keepLines/>
        <w:spacing w:before="240" w:after="160" w:line="276" w:lineRule="auto"/>
      </w:pPr>
      <w:r w:rsidRPr="006001CE">
        <w:rPr>
          <w:rFonts w:ascii="Sylfaen" w:eastAsiaTheme="majorEastAsia" w:hAnsi="Sylfaen" w:cstheme="majorBidi"/>
          <w:b/>
          <w:color w:val="000000" w:themeColor="text1"/>
          <w:sz w:val="24"/>
          <w:lang w:val="en-GB"/>
        </w:rPr>
        <w:t>Abstract</w:t>
      </w:r>
    </w:p>
    <w:p w14:paraId="2900D974" w14:textId="77777777" w:rsidR="002D338F" w:rsidRDefault="00D77C7F" w:rsidP="005D4A43">
      <w:pPr>
        <w:spacing w:after="120" w:line="276" w:lineRule="auto"/>
        <w:ind w:left="720"/>
        <w:jc w:val="both"/>
      </w:pPr>
      <w:r>
        <w:rPr>
          <w:rFonts w:ascii="Sylfaen" w:eastAsia="Sylfaen" w:hAnsi="Sylfaen" w:cs="Sylfaen"/>
        </w:rPr>
        <w:t xml:space="preserve">A persistent critique of modern Islamic finance is that many Sukuk merely replicate conventional bonds, achieving Sharia compliance through legal artifice rather than genuine risk-sharing. Smart Sukuk, that is blockchain-based instruments encoding contractual obligations into self-executing code, promise to replace this ‘creative Shariah compliance’ (Alkhamees, 2017) with algorithmic integrity. This article argues that while smart Sukuk genuinely improve certain dimensions of compliance, including payment automation, asset tracking, and the </w:t>
      </w:r>
      <w:proofErr w:type="spellStart"/>
      <w:r>
        <w:rPr>
          <w:rFonts w:ascii="Sylfaen" w:eastAsia="Sylfaen" w:hAnsi="Sylfaen" w:cs="Sylfaen"/>
        </w:rPr>
        <w:t>standardisation</w:t>
      </w:r>
      <w:proofErr w:type="spellEnd"/>
      <w:r>
        <w:rPr>
          <w:rFonts w:ascii="Sylfaen" w:eastAsia="Sylfaen" w:hAnsi="Sylfaen" w:cs="Sylfaen"/>
        </w:rPr>
        <w:t xml:space="preserve"> of Sharia interpretations across jurisdictions, they also create what it terms ‘architectural mimicry’: the partial relocation of trust problems into a new technological form. Drawing on case studies from Indonesia, Abu Dhabi, Malaysia, and Saudi Arabia’s emerging sovereign-scale </w:t>
      </w:r>
      <w:proofErr w:type="spellStart"/>
      <w:r>
        <w:rPr>
          <w:rFonts w:ascii="Sylfaen" w:eastAsia="Sylfaen" w:hAnsi="Sylfaen" w:cs="Sylfaen"/>
        </w:rPr>
        <w:t>tokenisation</w:t>
      </w:r>
      <w:proofErr w:type="spellEnd"/>
      <w:r>
        <w:rPr>
          <w:rFonts w:ascii="Sylfaen" w:eastAsia="Sylfaen" w:hAnsi="Sylfaen" w:cs="Sylfaen"/>
        </w:rPr>
        <w:t xml:space="preserve"> infrastructure, the article examines how early platforms such as Blossom Finance and </w:t>
      </w:r>
      <w:proofErr w:type="spellStart"/>
      <w:r>
        <w:rPr>
          <w:rFonts w:ascii="Sylfaen" w:eastAsia="Sylfaen" w:hAnsi="Sylfaen" w:cs="Sylfaen"/>
        </w:rPr>
        <w:t>Wethaq</w:t>
      </w:r>
      <w:proofErr w:type="spellEnd"/>
      <w:r>
        <w:rPr>
          <w:rFonts w:ascii="Sylfaen" w:eastAsia="Sylfaen" w:hAnsi="Sylfaen" w:cs="Sylfaen"/>
        </w:rPr>
        <w:t xml:space="preserve"> demonstrated the technology’s potential at micro-scale, while more recent state-supervised developments suggest a shift toward institutional infrastructure. It identifies the ‘oracle problem,’ the gap between on-chain representation and off-chain reality, as a central challenge, and examines unresolved jurisprudential questions surrounding smart contract immutability and Islamic contractual flexibility. The article concludes that smart Sukuk require not less human engagement but a different, more technically informed form of scholarly and regulatory oversight.</w:t>
      </w:r>
    </w:p>
    <w:p w14:paraId="20A2F123" w14:textId="77777777" w:rsidR="002D338F" w:rsidRDefault="00D77C7F">
      <w:pPr>
        <w:spacing w:after="40" w:line="276" w:lineRule="auto"/>
      </w:pPr>
      <w:r>
        <w:rPr>
          <w:rFonts w:ascii="Sylfaen" w:eastAsia="Sylfaen" w:hAnsi="Sylfaen" w:cs="Sylfaen"/>
          <w:b/>
          <w:bCs/>
        </w:rPr>
        <w:t xml:space="preserve">Keywords: </w:t>
      </w:r>
      <w:r>
        <w:rPr>
          <w:rFonts w:ascii="Sylfaen" w:eastAsia="Sylfaen" w:hAnsi="Sylfaen" w:cs="Sylfaen"/>
        </w:rPr>
        <w:t>Smart Sukuk; Blockchain; Sharia Compliance; Islamic Finance; FinTech; Smart Contracts; Oracle Problem</w:t>
      </w:r>
    </w:p>
    <w:p w14:paraId="260995D2" w14:textId="575601D2" w:rsidR="002D338F" w:rsidRDefault="00D77C7F">
      <w:pPr>
        <w:spacing w:after="280" w:line="276" w:lineRule="auto"/>
      </w:pPr>
      <w:r>
        <w:rPr>
          <w:rFonts w:ascii="Sylfaen" w:eastAsia="Sylfaen" w:hAnsi="Sylfaen" w:cs="Sylfaen"/>
          <w:b/>
          <w:bCs/>
        </w:rPr>
        <w:t xml:space="preserve">Date of Submission: </w:t>
      </w:r>
      <w:r w:rsidR="002F3E20">
        <w:rPr>
          <w:rFonts w:ascii="Sylfaen" w:eastAsia="Sylfaen" w:hAnsi="Sylfaen" w:cs="Sylfaen"/>
        </w:rPr>
        <w:t>27</w:t>
      </w:r>
      <w:r>
        <w:rPr>
          <w:rFonts w:ascii="Sylfaen" w:eastAsia="Sylfaen" w:hAnsi="Sylfaen" w:cs="Sylfaen"/>
        </w:rPr>
        <w:t>.</w:t>
      </w:r>
      <w:r w:rsidR="002F3E20">
        <w:rPr>
          <w:rFonts w:ascii="Sylfaen" w:eastAsia="Sylfaen" w:hAnsi="Sylfaen" w:cs="Sylfaen"/>
        </w:rPr>
        <w:t>03</w:t>
      </w:r>
      <w:r>
        <w:rPr>
          <w:rFonts w:ascii="Sylfaen" w:eastAsia="Sylfaen" w:hAnsi="Sylfaen" w:cs="Sylfaen"/>
        </w:rPr>
        <w:t>.</w:t>
      </w:r>
      <w:r w:rsidR="002F3E20">
        <w:rPr>
          <w:rFonts w:ascii="Sylfaen" w:eastAsia="Sylfaen" w:hAnsi="Sylfaen" w:cs="Sylfaen"/>
        </w:rPr>
        <w:t>2026</w:t>
      </w:r>
      <w:r>
        <w:rPr>
          <w:rFonts w:ascii="Sylfaen" w:eastAsia="Sylfaen" w:hAnsi="Sylfaen" w:cs="Sylfaen"/>
        </w:rPr>
        <w:t xml:space="preserve">    </w:t>
      </w:r>
      <w:r>
        <w:rPr>
          <w:rFonts w:ascii="Sylfaen" w:eastAsia="Sylfaen" w:hAnsi="Sylfaen" w:cs="Sylfaen"/>
          <w:b/>
          <w:bCs/>
        </w:rPr>
        <w:t xml:space="preserve">Date of Acceptance: </w:t>
      </w:r>
      <w:r w:rsidR="00AA785F">
        <w:rPr>
          <w:rFonts w:ascii="Sylfaen" w:eastAsia="Sylfaen" w:hAnsi="Sylfaen" w:cs="Sylfaen"/>
        </w:rPr>
        <w:t>28</w:t>
      </w:r>
      <w:r>
        <w:rPr>
          <w:rFonts w:ascii="Sylfaen" w:eastAsia="Sylfaen" w:hAnsi="Sylfaen" w:cs="Sylfaen"/>
        </w:rPr>
        <w:t>.</w:t>
      </w:r>
      <w:r w:rsidR="00467E3A">
        <w:rPr>
          <w:rFonts w:ascii="Sylfaen" w:eastAsia="Sylfaen" w:hAnsi="Sylfaen" w:cs="Sylfaen"/>
        </w:rPr>
        <w:t>07</w:t>
      </w:r>
      <w:r>
        <w:rPr>
          <w:rFonts w:ascii="Sylfaen" w:eastAsia="Sylfaen" w:hAnsi="Sylfaen" w:cs="Sylfaen"/>
        </w:rPr>
        <w:t>.</w:t>
      </w:r>
      <w:r w:rsidR="0001539D">
        <w:rPr>
          <w:rFonts w:ascii="Sylfaen" w:eastAsia="Sylfaen" w:hAnsi="Sylfaen" w:cs="Sylfaen"/>
        </w:rPr>
        <w:t>2026</w:t>
      </w:r>
    </w:p>
    <w:p w14:paraId="285D2E31" w14:textId="0775572B" w:rsidR="00713D84" w:rsidRPr="00713D84" w:rsidRDefault="00D77C7F" w:rsidP="00C776C9">
      <w:pPr>
        <w:pStyle w:val="Heading2"/>
        <w:spacing w:before="240" w:after="240" w:line="276" w:lineRule="auto"/>
        <w:rPr>
          <w:rFonts w:ascii="Sylfaen" w:eastAsiaTheme="majorEastAsia" w:hAnsi="Sylfaen" w:cstheme="majorBidi"/>
          <w:b/>
          <w:color w:val="000000" w:themeColor="text1"/>
          <w:sz w:val="24"/>
          <w:lang w:val="en-GB"/>
        </w:rPr>
      </w:pPr>
      <w:r w:rsidRPr="00692FF7">
        <w:rPr>
          <w:rFonts w:ascii="Sylfaen" w:eastAsiaTheme="majorEastAsia" w:hAnsi="Sylfaen" w:cstheme="majorBidi"/>
          <w:b/>
          <w:color w:val="000000" w:themeColor="text1"/>
          <w:sz w:val="24"/>
          <w:lang w:val="en-GB"/>
        </w:rPr>
        <w:t>1. Introduction</w:t>
      </w:r>
    </w:p>
    <w:p w14:paraId="27D08254" w14:textId="77777777" w:rsidR="002D338F" w:rsidRDefault="00D77C7F">
      <w:pPr>
        <w:spacing w:after="120" w:line="276" w:lineRule="auto"/>
        <w:jc w:val="both"/>
      </w:pPr>
      <w:r>
        <w:rPr>
          <w:rFonts w:ascii="Sylfaen" w:eastAsia="Sylfaen" w:hAnsi="Sylfaen" w:cs="Sylfaen"/>
        </w:rPr>
        <w:t xml:space="preserve">Islamic finance offers Sharia-compliant alternatives to conventional banking and investment, and within this framework Sukuk provide a key mechanism for raising capital while adhering to principles of asset-backing and risk-sharing. The market has grown substantially: Fitch Ratings (2025) projects global outstanding Sukuk will cross $1 trillion in 2025, reflecting continued mainstreaming in international capital markets (Alvi </w:t>
      </w:r>
      <w:r>
        <w:rPr>
          <w:rFonts w:ascii="Sylfaen" w:eastAsia="Sylfaen" w:hAnsi="Sylfaen" w:cs="Sylfaen"/>
          <w:i/>
          <w:iCs/>
        </w:rPr>
        <w:t>et al.</w:t>
      </w:r>
      <w:r>
        <w:rPr>
          <w:rFonts w:ascii="Sylfaen" w:eastAsia="Sylfaen" w:hAnsi="Sylfaen" w:cs="Sylfaen"/>
        </w:rPr>
        <w:t xml:space="preserve">, 2019). Yet a growing body of scholarship </w:t>
      </w:r>
      <w:r>
        <w:rPr>
          <w:rFonts w:ascii="Sylfaen" w:eastAsia="Sylfaen" w:hAnsi="Sylfaen" w:cs="Sylfaen"/>
        </w:rPr>
        <w:lastRenderedPageBreak/>
        <w:t xml:space="preserve">(Alkhamees, 2017; Hamza, 2020; Iftikhar and Saba, 2020; Delle </w:t>
      </w:r>
      <w:proofErr w:type="spellStart"/>
      <w:r>
        <w:rPr>
          <w:rFonts w:ascii="Sylfaen" w:eastAsia="Sylfaen" w:hAnsi="Sylfaen" w:cs="Sylfaen"/>
        </w:rPr>
        <w:t>Foglie</w:t>
      </w:r>
      <w:proofErr w:type="spellEnd"/>
      <w:r>
        <w:rPr>
          <w:rFonts w:ascii="Sylfaen" w:eastAsia="Sylfaen" w:hAnsi="Sylfaen" w:cs="Sylfaen"/>
        </w:rPr>
        <w:t xml:space="preserve"> et al., 2021) questions whether this growth reflects genuine Sharia-compliant innovation or merely the repackaging of conventional debt under an Islamic label. Alkhamees (2017) </w:t>
      </w:r>
      <w:proofErr w:type="spellStart"/>
      <w:r>
        <w:rPr>
          <w:rFonts w:ascii="Sylfaen" w:eastAsia="Sylfaen" w:hAnsi="Sylfaen" w:cs="Sylfaen"/>
        </w:rPr>
        <w:t>characterises</w:t>
      </w:r>
      <w:proofErr w:type="spellEnd"/>
      <w:r>
        <w:rPr>
          <w:rFonts w:ascii="Sylfaen" w:eastAsia="Sylfaen" w:hAnsi="Sylfaen" w:cs="Sylfaen"/>
        </w:rPr>
        <w:t xml:space="preserve"> this as ‘creative Shariah compliance’: a practice in which financial instruments are restructured to satisfy Sharia requirements in form but not in substance, often </w:t>
      </w:r>
      <w:proofErr w:type="gramStart"/>
      <w:r>
        <w:rPr>
          <w:rFonts w:ascii="Sylfaen" w:eastAsia="Sylfaen" w:hAnsi="Sylfaen" w:cs="Sylfaen"/>
        </w:rPr>
        <w:t>through the use of</w:t>
      </w:r>
      <w:proofErr w:type="gramEnd"/>
      <w:r>
        <w:rPr>
          <w:rFonts w:ascii="Sylfaen" w:eastAsia="Sylfaen" w:hAnsi="Sylfaen" w:cs="Sylfaen"/>
        </w:rPr>
        <w:t xml:space="preserve"> </w:t>
      </w:r>
      <w:proofErr w:type="spellStart"/>
      <w:r>
        <w:rPr>
          <w:rFonts w:ascii="Sylfaen" w:eastAsia="Sylfaen" w:hAnsi="Sylfaen" w:cs="Sylfaen"/>
        </w:rPr>
        <w:t>hilah</w:t>
      </w:r>
      <w:proofErr w:type="spellEnd"/>
      <w:r>
        <w:rPr>
          <w:rFonts w:ascii="Sylfaen" w:eastAsia="Sylfaen" w:hAnsi="Sylfaen" w:cs="Sylfaen"/>
        </w:rPr>
        <w:t xml:space="preserve"> (legal ruses) that circumvent the spirit of Islamic law. When an issuer of </w:t>
      </w:r>
      <w:proofErr w:type="spellStart"/>
      <w:r>
        <w:rPr>
          <w:rFonts w:ascii="Sylfaen" w:eastAsia="Sylfaen" w:hAnsi="Sylfaen" w:cs="Sylfaen"/>
          <w:i/>
          <w:iCs/>
        </w:rPr>
        <w:t>Mudaraba</w:t>
      </w:r>
      <w:proofErr w:type="spellEnd"/>
      <w:r>
        <w:rPr>
          <w:rFonts w:ascii="Sylfaen" w:eastAsia="Sylfaen" w:hAnsi="Sylfaen" w:cs="Sylfaen"/>
        </w:rPr>
        <w:t xml:space="preserve"> Sukuk stands ready with a liquidity facility to cover any shortfall in anticipated returns, the profit-and-loss sharing principle that is supposed to distinguish Islamic finance becomes, at best, nominal (Hamza, 2020). Smart Sukuk, which embed contractual obligations in self-executing code on a blockchain, promise to resolve this tension by making Sharia compliance continuous, transparent, and algorithmically enforced.</w:t>
      </w:r>
    </w:p>
    <w:p w14:paraId="05249CCC" w14:textId="77777777" w:rsidR="002D338F" w:rsidRDefault="00D77C7F">
      <w:pPr>
        <w:spacing w:after="120" w:line="276" w:lineRule="auto"/>
        <w:ind w:firstLine="360"/>
        <w:jc w:val="both"/>
      </w:pPr>
      <w:r>
        <w:rPr>
          <w:rFonts w:ascii="Sylfaen" w:eastAsia="Sylfaen" w:hAnsi="Sylfaen" w:cs="Sylfaen"/>
        </w:rPr>
        <w:t xml:space="preserve">This article argues that the promise is more complicated than it appears. Smart Sukuk are a meaningful innovation: by encoding agreed Sharia parameters into code, they can </w:t>
      </w:r>
      <w:proofErr w:type="spellStart"/>
      <w:r>
        <w:rPr>
          <w:rFonts w:ascii="Sylfaen" w:eastAsia="Sylfaen" w:hAnsi="Sylfaen" w:cs="Sylfaen"/>
        </w:rPr>
        <w:t>standardise</w:t>
      </w:r>
      <w:proofErr w:type="spellEnd"/>
      <w:r>
        <w:rPr>
          <w:rFonts w:ascii="Sylfaen" w:eastAsia="Sylfaen" w:hAnsi="Sylfaen" w:cs="Sylfaen"/>
        </w:rPr>
        <w:t xml:space="preserve"> interpretations and automate payment scheduling, asset tracking, and usage-of-proceeds checks. Nevertheless, not all compliance can be automated. The broader interpretive judgements of Sharia governance must still be made by human actors before any code is written. The question of </w:t>
      </w:r>
      <w:r>
        <w:rPr>
          <w:rFonts w:ascii="Sylfaen" w:eastAsia="Sylfaen" w:hAnsi="Sylfaen" w:cs="Sylfaen"/>
          <w:i/>
          <w:iCs/>
        </w:rPr>
        <w:t>who</w:t>
      </w:r>
      <w:r>
        <w:rPr>
          <w:rFonts w:ascii="Sylfaen" w:eastAsia="Sylfaen" w:hAnsi="Sylfaen" w:cs="Sylfaen"/>
        </w:rPr>
        <w:t xml:space="preserve"> ensures Sharia compliance shifts from auditors reviewing documentation to programmers writing algorithms and Sharia scholars approving code specifications, but it does not disappear. This article calls this phenomenon ‘architectural mimicry’: the structural replication of the same trust problems in a new technological form. The term is chosen deliberately. Just as legal mimicry describes the adoption of Islamic labels for economically conventional instruments, architectural mimicry describes the adoption of algorithmic transparency for a process that remains, at its foundation, dependent on human interpretation of religious law.</w:t>
      </w:r>
    </w:p>
    <w:p w14:paraId="689FEE23" w14:textId="77777777" w:rsidR="002D338F" w:rsidRDefault="00D77C7F">
      <w:pPr>
        <w:spacing w:before="200" w:after="60"/>
        <w:jc w:val="center"/>
      </w:pPr>
      <w:r>
        <w:rPr>
          <w:noProof/>
        </w:rPr>
        <w:drawing>
          <wp:inline distT="0" distB="0" distL="0" distR="0" wp14:anchorId="56D07738" wp14:editId="223C18AC">
            <wp:extent cx="5495925" cy="2098040"/>
            <wp:effectExtent l="0" t="0" r="9525" b="0"/>
            <wp:docPr id="1" name="Picture 1" descr="Bar chart of global Sukuk issuance in US dollars, billions, for the years 2014 to 2018. Issuance was 116.4 billion in 2014, fell to 98.7 billion in 2015 and 87.9 billion in 2016, then recovered to 116.7 billion in 2017 and reached 123.2 billion in 2018, the highest of the five years sh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7435470" cy="2838451"/>
                    </a:xfrm>
                    <a:prstGeom prst="rect">
                      <a:avLst/>
                    </a:prstGeom>
                  </pic:spPr>
                </pic:pic>
              </a:graphicData>
            </a:graphic>
          </wp:inline>
        </w:drawing>
      </w:r>
    </w:p>
    <w:p w14:paraId="5A7F9F1D" w14:textId="77777777" w:rsidR="002D338F" w:rsidRDefault="00D77C7F">
      <w:pPr>
        <w:pStyle w:val="Caption"/>
      </w:pPr>
      <w:r>
        <w:t xml:space="preserve">Figure </w:t>
      </w:r>
      <w:r>
        <w:fldChar w:fldCharType="begin"/>
      </w:r>
      <w:r>
        <w:instrText xml:space="preserve"> SEQ Figure \* ARABIC </w:instrText>
      </w:r>
      <w:r>
        <w:fldChar w:fldCharType="separate"/>
      </w:r>
      <w:r>
        <w:rPr>
          <w:noProof/>
        </w:rPr>
        <w:t>1</w:t>
      </w:r>
      <w:r>
        <w:rPr>
          <w:noProof/>
        </w:rPr>
        <w:fldChar w:fldCharType="end"/>
      </w:r>
      <w:r>
        <w:t>. Global Sukuk Issuance, 2014–2018 (USD Billions). Source: Alvi et al. (2019).</w:t>
      </w:r>
    </w:p>
    <w:p w14:paraId="6D07F2AD" w14:textId="77777777" w:rsidR="002D338F" w:rsidRPr="00703329" w:rsidRDefault="00D77C7F" w:rsidP="00703329">
      <w:pPr>
        <w:pStyle w:val="Heading2"/>
        <w:spacing w:before="240" w:after="240" w:line="276" w:lineRule="auto"/>
        <w:rPr>
          <w:rFonts w:ascii="Sylfaen" w:eastAsiaTheme="majorEastAsia" w:hAnsi="Sylfaen" w:cstheme="majorBidi"/>
          <w:b/>
          <w:color w:val="000000" w:themeColor="text1"/>
          <w:sz w:val="24"/>
          <w:lang w:val="en-GB"/>
        </w:rPr>
      </w:pPr>
      <w:r w:rsidRPr="00703329">
        <w:rPr>
          <w:rFonts w:ascii="Sylfaen" w:eastAsiaTheme="majorEastAsia" w:hAnsi="Sylfaen" w:cstheme="majorBidi"/>
          <w:b/>
          <w:color w:val="000000" w:themeColor="text1"/>
          <w:sz w:val="24"/>
          <w:lang w:val="en-GB"/>
        </w:rPr>
        <w:t>2. The Compliance Deficit in Traditional Sukuk</w:t>
      </w:r>
    </w:p>
    <w:p w14:paraId="64F5BA33" w14:textId="77777777" w:rsidR="002D338F" w:rsidRDefault="00D77C7F">
      <w:pPr>
        <w:spacing w:after="120" w:line="276" w:lineRule="auto"/>
        <w:jc w:val="both"/>
      </w:pPr>
      <w:r>
        <w:rPr>
          <w:rFonts w:ascii="Sylfaen" w:eastAsia="Sylfaen" w:hAnsi="Sylfaen" w:cs="Sylfaen"/>
        </w:rPr>
        <w:t xml:space="preserve">Sukuk are certificates of equal value representing undivided shares in ownership of tangible assets, usufruct, and services, or in the assets of </w:t>
      </w:r>
      <w:proofErr w:type="gramStart"/>
      <w:r>
        <w:rPr>
          <w:rFonts w:ascii="Sylfaen" w:eastAsia="Sylfaen" w:hAnsi="Sylfaen" w:cs="Sylfaen"/>
        </w:rPr>
        <w:t>particular projects</w:t>
      </w:r>
      <w:proofErr w:type="gramEnd"/>
      <w:r>
        <w:rPr>
          <w:rFonts w:ascii="Sylfaen" w:eastAsia="Sylfaen" w:hAnsi="Sylfaen" w:cs="Sylfaen"/>
        </w:rPr>
        <w:t xml:space="preserve"> (AAOIFI, 2017, p. 468). Unlike conventional bonds, which represent a debt obligation bearing interest (</w:t>
      </w:r>
      <w:proofErr w:type="spellStart"/>
      <w:r>
        <w:rPr>
          <w:rFonts w:ascii="Sylfaen" w:eastAsia="Sylfaen" w:hAnsi="Sylfaen" w:cs="Sylfaen"/>
          <w:i/>
          <w:iCs/>
        </w:rPr>
        <w:t>riba</w:t>
      </w:r>
      <w:proofErr w:type="spellEnd"/>
      <w:r>
        <w:rPr>
          <w:rFonts w:ascii="Sylfaen" w:eastAsia="Sylfaen" w:hAnsi="Sylfaen" w:cs="Sylfaen"/>
        </w:rPr>
        <w:t>), Sukuk returns should derive from underlying economic activity such as leasing (</w:t>
      </w:r>
      <w:proofErr w:type="spellStart"/>
      <w:r>
        <w:rPr>
          <w:rFonts w:ascii="Sylfaen" w:eastAsia="Sylfaen" w:hAnsi="Sylfaen" w:cs="Sylfaen"/>
          <w:i/>
          <w:iCs/>
        </w:rPr>
        <w:t>Ijara</w:t>
      </w:r>
      <w:proofErr w:type="spellEnd"/>
      <w:r>
        <w:rPr>
          <w:rFonts w:ascii="Sylfaen" w:eastAsia="Sylfaen" w:hAnsi="Sylfaen" w:cs="Sylfaen"/>
        </w:rPr>
        <w:t>), cost-plus sale (</w:t>
      </w:r>
      <w:r>
        <w:rPr>
          <w:rFonts w:ascii="Sylfaen" w:eastAsia="Sylfaen" w:hAnsi="Sylfaen" w:cs="Sylfaen"/>
          <w:i/>
          <w:iCs/>
        </w:rPr>
        <w:t>Murabaha</w:t>
      </w:r>
      <w:r>
        <w:rPr>
          <w:rFonts w:ascii="Sylfaen" w:eastAsia="Sylfaen" w:hAnsi="Sylfaen" w:cs="Sylfaen"/>
        </w:rPr>
        <w:t xml:space="preserve">), or </w:t>
      </w:r>
      <w:r>
        <w:rPr>
          <w:rFonts w:ascii="Sylfaen" w:eastAsia="Sylfaen" w:hAnsi="Sylfaen" w:cs="Sylfaen"/>
        </w:rPr>
        <w:lastRenderedPageBreak/>
        <w:t>profit-and-loss partnership (</w:t>
      </w:r>
      <w:proofErr w:type="spellStart"/>
      <w:r>
        <w:rPr>
          <w:rFonts w:ascii="Sylfaen" w:eastAsia="Sylfaen" w:hAnsi="Sylfaen" w:cs="Sylfaen"/>
          <w:i/>
          <w:iCs/>
        </w:rPr>
        <w:t>Mudaraba</w:t>
      </w:r>
      <w:proofErr w:type="spellEnd"/>
      <w:r>
        <w:rPr>
          <w:rFonts w:ascii="Sylfaen" w:eastAsia="Sylfaen" w:hAnsi="Sylfaen" w:cs="Sylfaen"/>
        </w:rPr>
        <w:t xml:space="preserve">) (Alkhamees, 2017; Iftikhar and Saba, 2020). Islamic financing thus operates through equity structures such as </w:t>
      </w:r>
      <w:proofErr w:type="spellStart"/>
      <w:r>
        <w:rPr>
          <w:rFonts w:ascii="Sylfaen" w:eastAsia="Sylfaen" w:hAnsi="Sylfaen" w:cs="Sylfaen"/>
          <w:i/>
          <w:iCs/>
        </w:rPr>
        <w:t>Musharaka</w:t>
      </w:r>
      <w:proofErr w:type="spellEnd"/>
      <w:r>
        <w:rPr>
          <w:rFonts w:ascii="Sylfaen" w:eastAsia="Sylfaen" w:hAnsi="Sylfaen" w:cs="Sylfaen"/>
        </w:rPr>
        <w:t xml:space="preserve"> (joint venture) or sale-based alternatives (Biancone and Radwan, 2018).</w:t>
      </w:r>
    </w:p>
    <w:p w14:paraId="41F53156" w14:textId="77777777" w:rsidR="002D338F" w:rsidRDefault="00D77C7F">
      <w:pPr>
        <w:spacing w:after="120" w:line="276" w:lineRule="auto"/>
        <w:ind w:firstLine="360"/>
        <w:jc w:val="both"/>
      </w:pPr>
      <w:r>
        <w:rPr>
          <w:rFonts w:ascii="Sylfaen" w:eastAsia="Sylfaen" w:hAnsi="Sylfaen" w:cs="Sylfaen"/>
        </w:rPr>
        <w:t xml:space="preserve">This concern does not apply uniformly: many Sukuk, particularly equity-based structures in emerging markets, do involve genuine asset ownership and risk-sharing, and AAOIFI has responded to compliance concerns through successive revisions to its Sharia standards (Asian Development Bank, n.d.; Biancone and Radwan, 2018; AAOIFI, 2017). Nevertheless, significant structural weaknesses persist: many issuances involve a Special Purpose Vehicle that nominally purchases and leases back an asset, with rental payments functionally equivalent to bond coupons and a purchase undertaking guaranteeing principal. In </w:t>
      </w:r>
      <w:proofErr w:type="spellStart"/>
      <w:r>
        <w:rPr>
          <w:rFonts w:ascii="Sylfaen" w:eastAsia="Sylfaen" w:hAnsi="Sylfaen" w:cs="Sylfaen"/>
          <w:i/>
          <w:iCs/>
        </w:rPr>
        <w:t>Mudaraba</w:t>
      </w:r>
      <w:proofErr w:type="spellEnd"/>
      <w:r>
        <w:rPr>
          <w:rFonts w:ascii="Sylfaen" w:eastAsia="Sylfaen" w:hAnsi="Sylfaen" w:cs="Sylfaen"/>
        </w:rPr>
        <w:t xml:space="preserve"> and </w:t>
      </w:r>
      <w:proofErr w:type="spellStart"/>
      <w:r>
        <w:rPr>
          <w:rFonts w:ascii="Sylfaen" w:eastAsia="Sylfaen" w:hAnsi="Sylfaen" w:cs="Sylfaen"/>
          <w:i/>
          <w:iCs/>
        </w:rPr>
        <w:t>Wakala</w:t>
      </w:r>
      <w:proofErr w:type="spellEnd"/>
      <w:r>
        <w:rPr>
          <w:rFonts w:ascii="Sylfaen" w:eastAsia="Sylfaen" w:hAnsi="Sylfaen" w:cs="Sylfaen"/>
        </w:rPr>
        <w:t xml:space="preserve"> Sukuk, if profits fall short of the anticipated return, the issuer’s liquidity facility covers the shortfall (Hamza, 2020). The economic substance of such instruments is often indistinguishable from conventional debt.</w:t>
      </w:r>
    </w:p>
    <w:p w14:paraId="76727EEA" w14:textId="77777777" w:rsidR="002D338F" w:rsidRDefault="00D77C7F">
      <w:pPr>
        <w:spacing w:after="120" w:line="276" w:lineRule="auto"/>
        <w:jc w:val="both"/>
      </w:pPr>
      <w:r>
        <w:rPr>
          <w:rFonts w:ascii="Sylfaen" w:hAnsi="Sylfaen"/>
        </w:rPr>
        <w:t>Economic similarity to conventional bonds does not</w:t>
      </w:r>
      <w:proofErr w:type="gramStart"/>
      <w:r>
        <w:rPr>
          <w:rFonts w:ascii="Sylfaen" w:hAnsi="Sylfaen"/>
        </w:rPr>
        <w:t>, in itself, constitute</w:t>
      </w:r>
      <w:proofErr w:type="gramEnd"/>
      <w:r>
        <w:rPr>
          <w:rFonts w:ascii="Sylfaen" w:hAnsi="Sylfaen"/>
        </w:rPr>
        <w:t xml:space="preserve"> a Sharia violation. Islamic law prohibits specific mechanisms such as </w:t>
      </w:r>
      <w:proofErr w:type="spellStart"/>
      <w:r>
        <w:rPr>
          <w:rFonts w:ascii="Sylfaen" w:hAnsi="Sylfaen"/>
        </w:rPr>
        <w:t>riba</w:t>
      </w:r>
      <w:proofErr w:type="spellEnd"/>
      <w:r>
        <w:rPr>
          <w:rFonts w:ascii="Sylfaen" w:hAnsi="Sylfaen"/>
        </w:rPr>
        <w:t xml:space="preserve"> and </w:t>
      </w:r>
      <w:proofErr w:type="spellStart"/>
      <w:r>
        <w:rPr>
          <w:rFonts w:ascii="Sylfaen" w:hAnsi="Sylfaen"/>
        </w:rPr>
        <w:t>gharar</w:t>
      </w:r>
      <w:proofErr w:type="spellEnd"/>
      <w:r>
        <w:rPr>
          <w:rFonts w:ascii="Sylfaen" w:hAnsi="Sylfaen"/>
        </w:rPr>
        <w:t xml:space="preserve">, not the achievement of stable returns (Alkhamees, 2017; AAOIFI, 2017). Many scholars accept that Sukuk may deliver bond-like returns provided the underlying contracts are genuinely compliant: mimicry of outcomes is not the same as mimicry of prohibited mechanisms (Alkhamees, 2017; Hamza, 2020). The critique of legal mimicry should therefore be understood not as an objection to economic equivalence, but as a concern about whether the underlying structures involve genuine asset-backing and risk-sharing or are purely formal arrangements. The distinction matters because Islamic commercial law grounds its legitimacy in substance rather than form: a contract that replicates the economic effect of prohibited </w:t>
      </w:r>
      <w:proofErr w:type="spellStart"/>
      <w:r>
        <w:rPr>
          <w:rFonts w:ascii="Sylfaen" w:hAnsi="Sylfaen"/>
        </w:rPr>
        <w:t>riba</w:t>
      </w:r>
      <w:proofErr w:type="spellEnd"/>
      <w:r>
        <w:rPr>
          <w:rFonts w:ascii="Sylfaen" w:hAnsi="Sylfaen"/>
        </w:rPr>
        <w:t xml:space="preserve"> while adopting an Islamic label does not merely fail on technical </w:t>
      </w:r>
      <w:proofErr w:type="gramStart"/>
      <w:r>
        <w:rPr>
          <w:rFonts w:ascii="Sylfaen" w:hAnsi="Sylfaen"/>
        </w:rPr>
        <w:t>grounds, but</w:t>
      </w:r>
      <w:proofErr w:type="gramEnd"/>
      <w:r>
        <w:rPr>
          <w:rFonts w:ascii="Sylfaen" w:hAnsi="Sylfaen"/>
        </w:rPr>
        <w:t xml:space="preserve"> undermines the normative coherence of the entire Sharia compliance framework (Alkhamees, 2017).</w:t>
      </w:r>
    </w:p>
    <w:p w14:paraId="217BCC93" w14:textId="77777777" w:rsidR="002D338F" w:rsidRDefault="00D77C7F">
      <w:pPr>
        <w:spacing w:after="120" w:line="276" w:lineRule="auto"/>
        <w:ind w:firstLine="360"/>
        <w:jc w:val="both"/>
      </w:pPr>
      <w:r>
        <w:rPr>
          <w:rFonts w:ascii="Sylfaen" w:eastAsia="Sylfaen" w:hAnsi="Sylfaen" w:cs="Sylfaen"/>
        </w:rPr>
        <w:t xml:space="preserve">Three further problems compound this compliance gap between formal Sharia labelling and substantive Sharia observance: multiparty contracts requiring separate partnership, agency, and profit-sharing agreements drive up costs and restrict issuance to governments and large corporations (Iftikhar and Saba, 2020; Alvi </w:t>
      </w:r>
      <w:r>
        <w:rPr>
          <w:rFonts w:ascii="Sylfaen" w:eastAsia="Sylfaen" w:hAnsi="Sylfaen" w:cs="Sylfaen"/>
          <w:i/>
          <w:iCs/>
        </w:rPr>
        <w:t>et al.</w:t>
      </w:r>
      <w:r>
        <w:rPr>
          <w:rFonts w:ascii="Sylfaen" w:eastAsia="Sylfaen" w:hAnsi="Sylfaen" w:cs="Sylfaen"/>
        </w:rPr>
        <w:t>, 2019); divergent jurisdictional interpretation of Sharia law creates investor uncertainty and inhibits secondary market development; and weak post-issuance monitoring leaves investors unable to reliably verify whether underlying assets remain Sharia-compliant or have been substituted without disclosure (Iftikhar and Saba, 2020). It is these weaknesses, namely opacity, cost, and contractual rigidity, that proponents of blockchain technology argue smart contracts can remedy.</w:t>
      </w:r>
    </w:p>
    <w:p w14:paraId="2563D6BB" w14:textId="77777777" w:rsidR="002D338F" w:rsidRPr="00703329" w:rsidRDefault="00D77C7F" w:rsidP="00703329">
      <w:pPr>
        <w:pStyle w:val="Heading2"/>
        <w:spacing w:before="240" w:after="240" w:line="276" w:lineRule="auto"/>
        <w:rPr>
          <w:rFonts w:ascii="Sylfaen" w:eastAsiaTheme="majorEastAsia" w:hAnsi="Sylfaen" w:cstheme="majorBidi"/>
          <w:b/>
          <w:color w:val="000000" w:themeColor="text1"/>
          <w:sz w:val="24"/>
          <w:lang w:val="en-GB"/>
        </w:rPr>
      </w:pPr>
      <w:r w:rsidRPr="00703329">
        <w:rPr>
          <w:rFonts w:ascii="Sylfaen" w:eastAsiaTheme="majorEastAsia" w:hAnsi="Sylfaen" w:cstheme="majorBidi"/>
          <w:b/>
          <w:color w:val="000000" w:themeColor="text1"/>
          <w:sz w:val="24"/>
          <w:lang w:val="en-GB"/>
        </w:rPr>
        <w:t>3. From Manual Auditing to Algorithmic Enforcement</w:t>
      </w:r>
    </w:p>
    <w:p w14:paraId="023187AC" w14:textId="77777777" w:rsidR="002D338F" w:rsidRDefault="00D77C7F">
      <w:pPr>
        <w:spacing w:after="120" w:line="276" w:lineRule="auto"/>
        <w:jc w:val="both"/>
        <w:rPr>
          <w:rFonts w:ascii="Sylfaen" w:eastAsia="Sylfaen" w:hAnsi="Sylfaen" w:cs="Sylfaen"/>
          <w:rtl/>
        </w:rPr>
      </w:pPr>
      <w:r>
        <w:rPr>
          <w:rFonts w:ascii="Sylfaen" w:eastAsia="Sylfaen" w:hAnsi="Sylfaen" w:cs="Sylfaen"/>
        </w:rPr>
        <w:t xml:space="preserve">Blockchain is a </w:t>
      </w:r>
      <w:proofErr w:type="spellStart"/>
      <w:r>
        <w:rPr>
          <w:rFonts w:ascii="Sylfaen" w:eastAsia="Sylfaen" w:hAnsi="Sylfaen" w:cs="Sylfaen"/>
        </w:rPr>
        <w:t>decentralised</w:t>
      </w:r>
      <w:proofErr w:type="spellEnd"/>
      <w:r>
        <w:rPr>
          <w:rFonts w:ascii="Sylfaen" w:eastAsia="Sylfaen" w:hAnsi="Sylfaen" w:cs="Sylfaen"/>
        </w:rPr>
        <w:t xml:space="preserve">, cryptographically linked record-keeping system in which recorded data cannot be retroactively altered (Bashir, 2018); smart contracts, first </w:t>
      </w:r>
      <w:proofErr w:type="spellStart"/>
      <w:r>
        <w:rPr>
          <w:rFonts w:ascii="Sylfaen" w:eastAsia="Sylfaen" w:hAnsi="Sylfaen" w:cs="Sylfaen"/>
        </w:rPr>
        <w:t>conceptualised</w:t>
      </w:r>
      <w:proofErr w:type="spellEnd"/>
      <w:r>
        <w:rPr>
          <w:rFonts w:ascii="Sylfaen" w:eastAsia="Sylfaen" w:hAnsi="Sylfaen" w:cs="Sylfaen"/>
        </w:rPr>
        <w:t xml:space="preserve"> by Szabo (1996), are self-executing protocols that automatically enforce terms written directly into code.</w:t>
      </w:r>
    </w:p>
    <w:p w14:paraId="58A39C8F" w14:textId="77777777" w:rsidR="00AE6452" w:rsidRDefault="00AE6452">
      <w:pPr>
        <w:spacing w:after="120" w:line="276" w:lineRule="auto"/>
        <w:jc w:val="both"/>
        <w:rPr>
          <w:rFonts w:ascii="Sylfaen" w:eastAsia="Sylfaen" w:hAnsi="Sylfaen" w:cs="Sylfaen"/>
          <w:rtl/>
        </w:rPr>
      </w:pPr>
    </w:p>
    <w:p w14:paraId="17B9F570" w14:textId="77777777" w:rsidR="00AE6452" w:rsidRDefault="00AE6452">
      <w:pPr>
        <w:spacing w:after="120" w:line="276" w:lineRule="auto"/>
        <w:jc w:val="both"/>
      </w:pPr>
    </w:p>
    <w:p w14:paraId="30CEB97E" w14:textId="77777777" w:rsidR="00AE6452" w:rsidRDefault="00AE6452">
      <w:pPr>
        <w:spacing w:after="120" w:line="276" w:lineRule="auto"/>
        <w:jc w:val="both"/>
      </w:pPr>
    </w:p>
    <w:p w14:paraId="412E8CC1" w14:textId="77777777" w:rsidR="002D338F" w:rsidRDefault="00D77C7F">
      <w:pPr>
        <w:spacing w:after="120" w:line="276" w:lineRule="auto"/>
        <w:ind w:firstLine="360"/>
        <w:jc w:val="both"/>
      </w:pPr>
      <w:r>
        <w:rPr>
          <w:rFonts w:ascii="Sylfaen" w:eastAsia="Sylfaen" w:hAnsi="Sylfaen" w:cs="Sylfaen"/>
        </w:rPr>
        <w:t xml:space="preserve">Applied to Sukuk, smart contracts address the weaknesses above in three ways: real-time asset tracking ensures exclusive Sharia-compliant use, contractual execution (payments and profit distributions) is automated, and information access is </w:t>
      </w:r>
      <w:proofErr w:type="spellStart"/>
      <w:r>
        <w:rPr>
          <w:rFonts w:ascii="Sylfaen" w:eastAsia="Sylfaen" w:hAnsi="Sylfaen" w:cs="Sylfaen"/>
        </w:rPr>
        <w:t>democratised</w:t>
      </w:r>
      <w:proofErr w:type="spellEnd"/>
      <w:r>
        <w:rPr>
          <w:rFonts w:ascii="Sylfaen" w:eastAsia="Sylfaen" w:hAnsi="Sylfaen" w:cs="Sylfaen"/>
        </w:rPr>
        <w:t>, reducing information asymmetry (Iftikhar and Saba, 2020). Sharia compliance thus becomes a continuously observable property of the instrument, rather than something verified only at issuance or audit.</w:t>
      </w:r>
    </w:p>
    <w:p w14:paraId="31DA9598" w14:textId="77777777" w:rsidR="002D338F" w:rsidRDefault="00D77C7F">
      <w:pPr>
        <w:spacing w:before="200" w:after="60"/>
        <w:jc w:val="center"/>
      </w:pPr>
      <w:r>
        <w:rPr>
          <w:noProof/>
        </w:rPr>
        <w:drawing>
          <wp:inline distT="0" distB="0" distL="0" distR="0" wp14:anchorId="768FEED3" wp14:editId="21042ECC">
            <wp:extent cx="5781675" cy="2621915"/>
            <wp:effectExtent l="0" t="0" r="9525" b="6985"/>
            <wp:docPr id="1708379468" name="Picture 1708379468" descr="Two side-by-side flow diagrams comparing a traditional Sukuk structure with a smart Sukuk structure. In the traditional structure the originator sells an asset to a Special Purpose Vehicle, which issues certificates to investors, and a Sharia board reviews compliance after issuance; compliance is verified intermittently and asset use is opaque to investors. In the smart Sukuk structure the originator transfers a tokenised asset to a smart contract on a blockchain, which issues ERC-20 tokens to investors, and a real-time compliance log records activity continuously and automatically; compliance is enforced algorithmically and transactions are visible to all par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7813453" cy="3543300"/>
                    </a:xfrm>
                    <a:prstGeom prst="rect">
                      <a:avLst/>
                    </a:prstGeom>
                  </pic:spPr>
                </pic:pic>
              </a:graphicData>
            </a:graphic>
          </wp:inline>
        </w:drawing>
      </w:r>
    </w:p>
    <w:p w14:paraId="29A9ABA8" w14:textId="77777777" w:rsidR="002D338F" w:rsidRDefault="00D77C7F">
      <w:pPr>
        <w:pStyle w:val="Caption"/>
      </w:pPr>
      <w:r>
        <w:t xml:space="preserve">Figure </w:t>
      </w:r>
      <w:r>
        <w:fldChar w:fldCharType="begin"/>
      </w:r>
      <w:r>
        <w:instrText xml:space="preserve"> SEQ Figure \* ARABIC </w:instrText>
      </w:r>
      <w:r>
        <w:fldChar w:fldCharType="separate"/>
      </w:r>
      <w:r>
        <w:rPr>
          <w:noProof/>
        </w:rPr>
        <w:t>2</w:t>
      </w:r>
      <w:r>
        <w:rPr>
          <w:noProof/>
        </w:rPr>
        <w:fldChar w:fldCharType="end"/>
      </w:r>
      <w:r>
        <w:t>. Structural Comparison: Traditional Sukuk vs. Smart Sukuk. Source: Author’s illustration.</w:t>
      </w:r>
    </w:p>
    <w:p w14:paraId="7832705D" w14:textId="7A9DB678" w:rsidR="005A48C7" w:rsidRPr="00AE6452" w:rsidRDefault="00D77C7F" w:rsidP="00AE6452">
      <w:pPr>
        <w:spacing w:after="120" w:line="276" w:lineRule="auto"/>
        <w:ind w:firstLine="360"/>
        <w:jc w:val="both"/>
        <w:rPr>
          <w:rFonts w:ascii="Sylfaen" w:eastAsia="Sylfaen" w:hAnsi="Sylfaen" w:cstheme="minorBidi"/>
        </w:rPr>
      </w:pPr>
      <w:r>
        <w:rPr>
          <w:rFonts w:ascii="Sylfaen" w:eastAsia="Sylfaen" w:hAnsi="Sylfaen" w:cs="Sylfaen"/>
        </w:rPr>
        <w:t xml:space="preserve">The implications for specific structures are significant. </w:t>
      </w:r>
      <w:r>
        <w:rPr>
          <w:rFonts w:ascii="Sylfaen" w:eastAsia="Sylfaen" w:hAnsi="Sylfaen" w:cs="Sylfaen"/>
          <w:i/>
          <w:iCs/>
        </w:rPr>
        <w:t>Murabaha</w:t>
      </w:r>
      <w:r>
        <w:rPr>
          <w:rFonts w:ascii="Sylfaen" w:eastAsia="Sylfaen" w:hAnsi="Sylfaen" w:cs="Sylfaen"/>
        </w:rPr>
        <w:t xml:space="preserve"> Sukuk, which constituted 31% of the global market in 2018 (Alvi </w:t>
      </w:r>
      <w:r>
        <w:rPr>
          <w:rFonts w:ascii="Sylfaen" w:eastAsia="Sylfaen" w:hAnsi="Sylfaen" w:cs="Sylfaen"/>
          <w:i/>
          <w:iCs/>
        </w:rPr>
        <w:t>et al.</w:t>
      </w:r>
      <w:r>
        <w:rPr>
          <w:rFonts w:ascii="Sylfaen" w:eastAsia="Sylfaen" w:hAnsi="Sylfaen" w:cs="Sylfaen"/>
        </w:rPr>
        <w:t xml:space="preserve">, 2019), raise compliance concerns because investors indirectly acquire ownership benefits rather than tangible assets. With </w:t>
      </w:r>
      <w:proofErr w:type="spellStart"/>
      <w:r>
        <w:rPr>
          <w:rFonts w:ascii="Sylfaen" w:eastAsia="Sylfaen" w:hAnsi="Sylfaen" w:cs="Sylfaen"/>
        </w:rPr>
        <w:t>tokenised</w:t>
      </w:r>
      <w:proofErr w:type="spellEnd"/>
      <w:r>
        <w:rPr>
          <w:rFonts w:ascii="Sylfaen" w:eastAsia="Sylfaen" w:hAnsi="Sylfaen" w:cs="Sylfaen"/>
        </w:rPr>
        <w:t xml:space="preserve"> </w:t>
      </w:r>
      <w:r>
        <w:rPr>
          <w:rFonts w:ascii="Sylfaen" w:eastAsia="Sylfaen" w:hAnsi="Sylfaen" w:cs="Sylfaen"/>
          <w:i/>
          <w:iCs/>
        </w:rPr>
        <w:t>Murabaha</w:t>
      </w:r>
      <w:r>
        <w:rPr>
          <w:rFonts w:ascii="Sylfaen" w:eastAsia="Sylfaen" w:hAnsi="Sylfaen" w:cs="Sylfaen"/>
        </w:rPr>
        <w:t xml:space="preserve"> smart Sukuk, however, </w:t>
      </w:r>
      <w:proofErr w:type="spellStart"/>
      <w:r>
        <w:rPr>
          <w:rFonts w:ascii="Sylfaen" w:eastAsia="Sylfaen" w:hAnsi="Sylfaen" w:cs="Sylfaen"/>
        </w:rPr>
        <w:t>tokenisation</w:t>
      </w:r>
      <w:proofErr w:type="spellEnd"/>
      <w:r>
        <w:rPr>
          <w:rFonts w:ascii="Sylfaen" w:eastAsia="Sylfaen" w:hAnsi="Sylfaen" w:cs="Sylfaen"/>
        </w:rPr>
        <w:t xml:space="preserve"> of base assets assigns partial ownership to token holders directly through the blockchain (Delle </w:t>
      </w:r>
      <w:proofErr w:type="spellStart"/>
      <w:r>
        <w:rPr>
          <w:rFonts w:ascii="Sylfaen" w:eastAsia="Sylfaen" w:hAnsi="Sylfaen" w:cs="Sylfaen"/>
        </w:rPr>
        <w:t>Foglie</w:t>
      </w:r>
      <w:proofErr w:type="spellEnd"/>
      <w:r>
        <w:rPr>
          <w:rFonts w:ascii="Sylfaen" w:eastAsia="Sylfaen" w:hAnsi="Sylfaen" w:cs="Sylfaen"/>
        </w:rPr>
        <w:t xml:space="preserve"> </w:t>
      </w:r>
      <w:r>
        <w:rPr>
          <w:rFonts w:ascii="Sylfaen" w:eastAsia="Sylfaen" w:hAnsi="Sylfaen" w:cs="Sylfaen"/>
          <w:i/>
          <w:iCs/>
        </w:rPr>
        <w:t>et al.</w:t>
      </w:r>
      <w:r>
        <w:rPr>
          <w:rFonts w:ascii="Sylfaen" w:eastAsia="Sylfaen" w:hAnsi="Sylfaen" w:cs="Sylfaen"/>
        </w:rPr>
        <w:t xml:space="preserve">, 2021; Mousavi, </w:t>
      </w:r>
      <w:proofErr w:type="spellStart"/>
      <w:r>
        <w:rPr>
          <w:rFonts w:ascii="Sylfaen" w:eastAsia="Sylfaen" w:hAnsi="Sylfaen" w:cs="Sylfaen"/>
        </w:rPr>
        <w:t>Tohidinia</w:t>
      </w:r>
      <w:proofErr w:type="spellEnd"/>
      <w:r>
        <w:rPr>
          <w:rFonts w:ascii="Sylfaen" w:eastAsia="Sylfaen" w:hAnsi="Sylfaen" w:cs="Sylfaen"/>
        </w:rPr>
        <w:t xml:space="preserve"> and Mousavi, 2025). Smart Sukuk also offer cost advantages, with conventional issuance estimated at roughly twice the cost of equivalent Ethereum </w:t>
      </w:r>
      <w:proofErr w:type="spellStart"/>
      <w:r>
        <w:rPr>
          <w:rFonts w:ascii="Sylfaen" w:eastAsia="Sylfaen" w:hAnsi="Sylfaen" w:cs="Sylfaen"/>
        </w:rPr>
        <w:t>tokenisation</w:t>
      </w:r>
      <w:proofErr w:type="spellEnd"/>
      <w:r>
        <w:rPr>
          <w:rFonts w:ascii="Sylfaen" w:eastAsia="Sylfaen" w:hAnsi="Sylfaen" w:cs="Sylfaen"/>
        </w:rPr>
        <w:t xml:space="preserve">, and </w:t>
      </w:r>
      <w:proofErr w:type="spellStart"/>
      <w:r>
        <w:rPr>
          <w:rFonts w:ascii="Sylfaen" w:eastAsia="Sylfaen" w:hAnsi="Sylfaen" w:cs="Sylfaen"/>
        </w:rPr>
        <w:t>standardised</w:t>
      </w:r>
      <w:proofErr w:type="spellEnd"/>
      <w:r>
        <w:rPr>
          <w:rFonts w:ascii="Sylfaen" w:eastAsia="Sylfaen" w:hAnsi="Sylfaen" w:cs="Sylfaen"/>
        </w:rPr>
        <w:t xml:space="preserve"> documentation could further reduce evaluation, negotiation, and secondary-market transparency costs, though these figures derive from modelling rather than observed market data (Mousavi, </w:t>
      </w:r>
      <w:proofErr w:type="spellStart"/>
      <w:r>
        <w:rPr>
          <w:rFonts w:ascii="Sylfaen" w:eastAsia="Sylfaen" w:hAnsi="Sylfaen" w:cs="Sylfaen"/>
        </w:rPr>
        <w:t>Tohidinia</w:t>
      </w:r>
      <w:proofErr w:type="spellEnd"/>
      <w:r>
        <w:rPr>
          <w:rFonts w:ascii="Sylfaen" w:eastAsia="Sylfaen" w:hAnsi="Sylfaen" w:cs="Sylfaen"/>
        </w:rPr>
        <w:t xml:space="preserve"> and Mousavi, 2025; Alvi </w:t>
      </w:r>
      <w:r>
        <w:rPr>
          <w:rFonts w:ascii="Sylfaen" w:eastAsia="Sylfaen" w:hAnsi="Sylfaen" w:cs="Sylfaen"/>
          <w:i/>
          <w:iCs/>
        </w:rPr>
        <w:t>et al.</w:t>
      </w:r>
      <w:r>
        <w:rPr>
          <w:rFonts w:ascii="Sylfaen" w:eastAsia="Sylfaen" w:hAnsi="Sylfaen" w:cs="Sylfaen"/>
        </w:rPr>
        <w:t>, 2019; Ulusoy and Ela, 2018).</w:t>
      </w:r>
      <w:r>
        <w:t xml:space="preserve"> </w:t>
      </w:r>
      <w:r>
        <w:rPr>
          <w:rFonts w:ascii="Sylfaen" w:eastAsia="Sylfaen" w:hAnsi="Sylfaen" w:cs="Sylfaen"/>
        </w:rPr>
        <w:t>Yet whether the data fed into the blockchain accurately reflects real-world conditions proves to be the technology’s most significant limitation, as the following case studies illustrate.</w:t>
      </w:r>
    </w:p>
    <w:p w14:paraId="420D981F" w14:textId="77777777" w:rsidR="002D338F" w:rsidRPr="0021398C" w:rsidRDefault="00D77C7F" w:rsidP="0021398C">
      <w:pPr>
        <w:pStyle w:val="Heading2"/>
        <w:spacing w:before="240" w:after="240" w:line="276" w:lineRule="auto"/>
        <w:rPr>
          <w:rFonts w:ascii="Sylfaen" w:eastAsiaTheme="majorEastAsia" w:hAnsi="Sylfaen" w:cstheme="majorBidi"/>
          <w:b/>
          <w:color w:val="000000" w:themeColor="text1"/>
          <w:sz w:val="24"/>
          <w:lang w:val="en-GB"/>
        </w:rPr>
      </w:pPr>
      <w:r w:rsidRPr="0021398C">
        <w:rPr>
          <w:rFonts w:ascii="Sylfaen" w:eastAsiaTheme="majorEastAsia" w:hAnsi="Sylfaen" w:cstheme="majorBidi"/>
          <w:b/>
          <w:color w:val="000000" w:themeColor="text1"/>
          <w:sz w:val="24"/>
          <w:lang w:val="en-GB"/>
        </w:rPr>
        <w:t>4. Emerging Implementations: Potential and Limitations</w:t>
      </w:r>
    </w:p>
    <w:p w14:paraId="1E91AC50" w14:textId="77777777" w:rsidR="002D338F" w:rsidRDefault="00D77C7F">
      <w:pPr>
        <w:spacing w:after="120" w:line="276" w:lineRule="auto"/>
        <w:jc w:val="both"/>
        <w:rPr>
          <w:rFonts w:ascii="Sylfaen" w:eastAsia="Sylfaen" w:hAnsi="Sylfaen" w:cs="Sylfaen"/>
          <w:rtl/>
        </w:rPr>
      </w:pPr>
      <w:r>
        <w:rPr>
          <w:rFonts w:ascii="Sylfaen" w:eastAsia="Sylfaen" w:hAnsi="Sylfaen" w:cs="Sylfaen"/>
        </w:rPr>
        <w:t>Several pioneering initiatives illustrate how smart Sukuk function in practice, though all remain small-scale pilots.</w:t>
      </w:r>
    </w:p>
    <w:p w14:paraId="22D2EC96" w14:textId="77777777" w:rsidR="00AE6452" w:rsidRDefault="00AE6452">
      <w:pPr>
        <w:spacing w:after="120" w:line="276" w:lineRule="auto"/>
        <w:jc w:val="both"/>
        <w:rPr>
          <w:rFonts w:ascii="Sylfaen" w:eastAsia="Sylfaen" w:hAnsi="Sylfaen" w:cs="Sylfaen"/>
          <w:rtl/>
        </w:rPr>
      </w:pPr>
    </w:p>
    <w:p w14:paraId="5519AE45" w14:textId="77777777" w:rsidR="00AE6452" w:rsidRDefault="00AE6452">
      <w:pPr>
        <w:spacing w:after="120" w:line="276" w:lineRule="auto"/>
        <w:jc w:val="both"/>
        <w:rPr>
          <w:rFonts w:ascii="Sylfaen" w:eastAsia="Sylfaen" w:hAnsi="Sylfaen" w:cs="Sylfaen"/>
          <w:rtl/>
        </w:rPr>
      </w:pPr>
    </w:p>
    <w:p w14:paraId="7FF65A70" w14:textId="77777777" w:rsidR="00AE6452" w:rsidRDefault="00AE6452">
      <w:pPr>
        <w:spacing w:after="120" w:line="276" w:lineRule="auto"/>
        <w:jc w:val="both"/>
        <w:rPr>
          <w:rFonts w:ascii="Sylfaen" w:eastAsia="Sylfaen" w:hAnsi="Sylfaen" w:cs="Sylfaen"/>
          <w:rtl/>
        </w:rPr>
      </w:pPr>
    </w:p>
    <w:p w14:paraId="5CB80F5E" w14:textId="77777777" w:rsidR="00AE6452" w:rsidRDefault="00AE6452">
      <w:pPr>
        <w:spacing w:after="120" w:line="276" w:lineRule="auto"/>
        <w:jc w:val="both"/>
        <w:rPr>
          <w:rFonts w:ascii="Sylfaen" w:eastAsia="Sylfaen" w:hAnsi="Sylfaen" w:cs="Sylfaen"/>
          <w:rtl/>
        </w:rPr>
      </w:pPr>
    </w:p>
    <w:p w14:paraId="57175289" w14:textId="77777777" w:rsidR="00AE6452" w:rsidRDefault="00AE6452">
      <w:pPr>
        <w:spacing w:after="120" w:line="276" w:lineRule="auto"/>
        <w:jc w:val="both"/>
      </w:pPr>
    </w:p>
    <w:p w14:paraId="558C44BD" w14:textId="77777777" w:rsidR="002D338F" w:rsidRDefault="00D77C7F">
      <w:pPr>
        <w:pStyle w:val="Caption"/>
        <w:keepNext/>
        <w:spacing w:before="240" w:after="100"/>
      </w:pPr>
      <w:r>
        <w:rPr>
          <w:b/>
          <w:bCs/>
        </w:rPr>
        <w:t xml:space="preserve">Table </w:t>
      </w:r>
      <w:r>
        <w:fldChar w:fldCharType="begin"/>
      </w:r>
      <w:r>
        <w:instrText xml:space="preserve"> SEQ Table \* ARABIC </w:instrText>
      </w:r>
      <w:r>
        <w:fldChar w:fldCharType="separate"/>
      </w:r>
      <w:r>
        <w:rPr>
          <w:b/>
          <w:bCs/>
          <w:noProof/>
        </w:rPr>
        <w:t>1</w:t>
      </w:r>
      <w:r>
        <w:rPr>
          <w:b/>
          <w:bCs/>
          <w:noProof/>
        </w:rPr>
        <w:fldChar w:fldCharType="end"/>
      </w:r>
      <w:r>
        <w:rPr>
          <w:b/>
          <w:bCs/>
        </w:rPr>
        <w:t>. Comparison of Emerging Smart Sukuk Implementations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Table 1. Comparison of Emerging Smart Sukuk Implementations"/>
        <w:tblDescription w:val="Table with five columns comparing five emerging smart Sukuk implementations by platform, year and location, structure, scale and key limitation. Blossom Finance (2017, Indonesia) issued Mudaraba and Istisna Sukuk on Ethereum using ERC-20 tokens at 50,000 and 1 million US dollars, but is micro-scale with unproven scalability. Wethaq (2018, Abu Dhabi) built smart lease Sukuk on R3 Corda under a sandbox licence without full regulatory approval. Al Hilal Bank (2018, Abu Dhabi) issued blockchain Sukuk via the Jibrel Network, 1 million US dollars of a 500 million dollar issuance, with the on-chain proportion unclear. Finterra (2018, Malaysia) runs Waqf Chain for Islamic social finance at an undisclosed scale and cannot legally use the term Sukuk. The REGA Sandbox (2026, Saudi Arabia) covers sovereign property tokenisation through REGA and the Real Estate Registry with nine licensed platforms, but remains in the sandbox phase with full launch pending."/>
      </w:tblPr>
      <w:tblGrid>
        <w:gridCol w:w="1600"/>
        <w:gridCol w:w="1500"/>
        <w:gridCol w:w="2326"/>
        <w:gridCol w:w="1600"/>
        <w:gridCol w:w="2000"/>
      </w:tblGrid>
      <w:tr w:rsidR="002D338F" w14:paraId="70CB01E4" w14:textId="77777777">
        <w:tc>
          <w:tcPr>
            <w:tcW w:w="1600" w:type="dxa"/>
            <w:tcBorders>
              <w:top w:val="single" w:sz="1" w:space="0" w:color="AAAAAA"/>
              <w:left w:val="single" w:sz="1" w:space="0" w:color="AAAAAA"/>
              <w:bottom w:val="single" w:sz="1" w:space="0" w:color="AAAAAA"/>
              <w:right w:val="single" w:sz="1" w:space="0" w:color="AAAAAA"/>
            </w:tcBorders>
            <w:shd w:val="clear" w:color="auto" w:fill="2E5090"/>
            <w:tcMar>
              <w:top w:w="60" w:type="dxa"/>
              <w:left w:w="100" w:type="dxa"/>
              <w:bottom w:w="60" w:type="dxa"/>
              <w:right w:w="100" w:type="dxa"/>
            </w:tcMar>
            <w:vAlign w:val="center"/>
          </w:tcPr>
          <w:p w14:paraId="0135F209" w14:textId="77777777" w:rsidR="002D338F" w:rsidRDefault="00D77C7F">
            <w:r>
              <w:rPr>
                <w:rFonts w:ascii="Sylfaen" w:eastAsia="Sylfaen" w:hAnsi="Sylfaen" w:cs="Sylfaen"/>
                <w:b/>
                <w:bCs/>
                <w:color w:val="FFFFFF"/>
                <w:sz w:val="18"/>
                <w:szCs w:val="18"/>
              </w:rPr>
              <w:t>Platform</w:t>
            </w:r>
          </w:p>
        </w:tc>
        <w:tc>
          <w:tcPr>
            <w:tcW w:w="1500" w:type="dxa"/>
            <w:tcBorders>
              <w:top w:val="single" w:sz="1" w:space="0" w:color="AAAAAA"/>
              <w:left w:val="single" w:sz="1" w:space="0" w:color="AAAAAA"/>
              <w:bottom w:val="single" w:sz="1" w:space="0" w:color="AAAAAA"/>
              <w:right w:val="single" w:sz="1" w:space="0" w:color="AAAAAA"/>
            </w:tcBorders>
            <w:shd w:val="clear" w:color="auto" w:fill="2E5090"/>
            <w:tcMar>
              <w:top w:w="60" w:type="dxa"/>
              <w:left w:w="100" w:type="dxa"/>
              <w:bottom w:w="60" w:type="dxa"/>
              <w:right w:w="100" w:type="dxa"/>
            </w:tcMar>
            <w:vAlign w:val="center"/>
          </w:tcPr>
          <w:p w14:paraId="0D9301EA" w14:textId="77777777" w:rsidR="002D338F" w:rsidRDefault="00D77C7F">
            <w:r>
              <w:rPr>
                <w:rFonts w:ascii="Sylfaen" w:eastAsia="Sylfaen" w:hAnsi="Sylfaen" w:cs="Sylfaen"/>
                <w:b/>
                <w:bCs/>
                <w:color w:val="FFFFFF"/>
                <w:sz w:val="18"/>
                <w:szCs w:val="18"/>
              </w:rPr>
              <w:t>Year / Location</w:t>
            </w:r>
          </w:p>
        </w:tc>
        <w:tc>
          <w:tcPr>
            <w:tcW w:w="2326" w:type="dxa"/>
            <w:tcBorders>
              <w:top w:val="single" w:sz="1" w:space="0" w:color="AAAAAA"/>
              <w:left w:val="single" w:sz="1" w:space="0" w:color="AAAAAA"/>
              <w:bottom w:val="single" w:sz="1" w:space="0" w:color="AAAAAA"/>
              <w:right w:val="single" w:sz="1" w:space="0" w:color="AAAAAA"/>
            </w:tcBorders>
            <w:shd w:val="clear" w:color="auto" w:fill="2E5090"/>
            <w:tcMar>
              <w:top w:w="60" w:type="dxa"/>
              <w:left w:w="100" w:type="dxa"/>
              <w:bottom w:w="60" w:type="dxa"/>
              <w:right w:w="100" w:type="dxa"/>
            </w:tcMar>
            <w:vAlign w:val="center"/>
          </w:tcPr>
          <w:p w14:paraId="5BBD1BCA" w14:textId="77777777" w:rsidR="002D338F" w:rsidRDefault="00D77C7F">
            <w:r>
              <w:rPr>
                <w:rFonts w:ascii="Sylfaen" w:eastAsia="Sylfaen" w:hAnsi="Sylfaen" w:cs="Sylfaen"/>
                <w:b/>
                <w:bCs/>
                <w:color w:val="FFFFFF"/>
                <w:sz w:val="18"/>
                <w:szCs w:val="18"/>
              </w:rPr>
              <w:t>Structure</w:t>
            </w:r>
          </w:p>
        </w:tc>
        <w:tc>
          <w:tcPr>
            <w:tcW w:w="1600" w:type="dxa"/>
            <w:tcBorders>
              <w:top w:val="single" w:sz="1" w:space="0" w:color="AAAAAA"/>
              <w:left w:val="single" w:sz="1" w:space="0" w:color="AAAAAA"/>
              <w:bottom w:val="single" w:sz="1" w:space="0" w:color="AAAAAA"/>
              <w:right w:val="single" w:sz="1" w:space="0" w:color="AAAAAA"/>
            </w:tcBorders>
            <w:shd w:val="clear" w:color="auto" w:fill="2E5090"/>
            <w:tcMar>
              <w:top w:w="60" w:type="dxa"/>
              <w:left w:w="100" w:type="dxa"/>
              <w:bottom w:w="60" w:type="dxa"/>
              <w:right w:w="100" w:type="dxa"/>
            </w:tcMar>
            <w:vAlign w:val="center"/>
          </w:tcPr>
          <w:p w14:paraId="00DFF90E" w14:textId="77777777" w:rsidR="002D338F" w:rsidRDefault="00D77C7F">
            <w:r>
              <w:rPr>
                <w:rFonts w:ascii="Sylfaen" w:eastAsia="Sylfaen" w:hAnsi="Sylfaen" w:cs="Sylfaen"/>
                <w:b/>
                <w:bCs/>
                <w:color w:val="FFFFFF"/>
                <w:sz w:val="18"/>
                <w:szCs w:val="18"/>
              </w:rPr>
              <w:t>Scale</w:t>
            </w:r>
          </w:p>
        </w:tc>
        <w:tc>
          <w:tcPr>
            <w:tcW w:w="2000" w:type="dxa"/>
            <w:tcBorders>
              <w:top w:val="single" w:sz="1" w:space="0" w:color="AAAAAA"/>
              <w:left w:val="single" w:sz="1" w:space="0" w:color="AAAAAA"/>
              <w:bottom w:val="single" w:sz="1" w:space="0" w:color="AAAAAA"/>
              <w:right w:val="single" w:sz="1" w:space="0" w:color="AAAAAA"/>
            </w:tcBorders>
            <w:shd w:val="clear" w:color="auto" w:fill="2E5090"/>
            <w:tcMar>
              <w:top w:w="60" w:type="dxa"/>
              <w:left w:w="100" w:type="dxa"/>
              <w:bottom w:w="60" w:type="dxa"/>
              <w:right w:w="100" w:type="dxa"/>
            </w:tcMar>
            <w:vAlign w:val="center"/>
          </w:tcPr>
          <w:p w14:paraId="2B622FA8" w14:textId="77777777" w:rsidR="002D338F" w:rsidRDefault="00D77C7F">
            <w:r>
              <w:rPr>
                <w:rFonts w:ascii="Sylfaen" w:eastAsia="Sylfaen" w:hAnsi="Sylfaen" w:cs="Sylfaen"/>
                <w:b/>
                <w:bCs/>
                <w:color w:val="FFFFFF"/>
                <w:sz w:val="18"/>
                <w:szCs w:val="18"/>
              </w:rPr>
              <w:t>Key Limitation</w:t>
            </w:r>
          </w:p>
        </w:tc>
      </w:tr>
      <w:tr w:rsidR="002D338F" w14:paraId="6C3CF74A" w14:textId="77777777">
        <w:tc>
          <w:tcPr>
            <w:tcW w:w="16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37148692" w14:textId="77777777" w:rsidR="002D338F" w:rsidRDefault="00D77C7F">
            <w:r>
              <w:rPr>
                <w:rFonts w:ascii="Sylfaen" w:eastAsia="Sylfaen" w:hAnsi="Sylfaen" w:cs="Sylfaen"/>
                <w:b/>
                <w:bCs/>
                <w:sz w:val="18"/>
                <w:szCs w:val="18"/>
              </w:rPr>
              <w:t>Blossom Finance</w:t>
            </w:r>
          </w:p>
        </w:tc>
        <w:tc>
          <w:tcPr>
            <w:tcW w:w="15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297B5F24" w14:textId="77777777" w:rsidR="002D338F" w:rsidRDefault="00D77C7F">
            <w:r>
              <w:rPr>
                <w:rFonts w:ascii="Sylfaen" w:eastAsia="Sylfaen" w:hAnsi="Sylfaen" w:cs="Sylfaen"/>
                <w:sz w:val="18"/>
                <w:szCs w:val="18"/>
              </w:rPr>
              <w:t>2017, Indonesia</w:t>
            </w:r>
          </w:p>
        </w:tc>
        <w:tc>
          <w:tcPr>
            <w:tcW w:w="2326"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7CFDA238" w14:textId="77777777" w:rsidR="002D338F" w:rsidRDefault="00D77C7F">
            <w:proofErr w:type="spellStart"/>
            <w:r>
              <w:rPr>
                <w:rFonts w:ascii="Sylfaen" w:eastAsia="Sylfaen" w:hAnsi="Sylfaen" w:cs="Sylfaen"/>
                <w:sz w:val="18"/>
                <w:szCs w:val="18"/>
              </w:rPr>
              <w:t>Mudaraba</w:t>
            </w:r>
            <w:proofErr w:type="spellEnd"/>
            <w:r>
              <w:rPr>
                <w:rFonts w:ascii="Sylfaen" w:eastAsia="Sylfaen" w:hAnsi="Sylfaen" w:cs="Sylfaen"/>
                <w:sz w:val="18"/>
                <w:szCs w:val="18"/>
              </w:rPr>
              <w:t xml:space="preserve"> &amp; </w:t>
            </w:r>
            <w:proofErr w:type="spellStart"/>
            <w:r>
              <w:rPr>
                <w:rFonts w:ascii="Sylfaen" w:eastAsia="Sylfaen" w:hAnsi="Sylfaen" w:cs="Sylfaen"/>
                <w:sz w:val="18"/>
                <w:szCs w:val="18"/>
              </w:rPr>
              <w:t>Istisna</w:t>
            </w:r>
            <w:proofErr w:type="spellEnd"/>
            <w:r>
              <w:rPr>
                <w:rFonts w:ascii="Sylfaen" w:eastAsia="Sylfaen" w:hAnsi="Sylfaen" w:cs="Sylfaen"/>
                <w:sz w:val="18"/>
                <w:szCs w:val="18"/>
              </w:rPr>
              <w:t xml:space="preserve"> Sukuk on Ethereum (ERC-20)</w:t>
            </w:r>
          </w:p>
        </w:tc>
        <w:tc>
          <w:tcPr>
            <w:tcW w:w="16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29453CC0" w14:textId="77777777" w:rsidR="002D338F" w:rsidRDefault="00D77C7F">
            <w:r>
              <w:rPr>
                <w:rFonts w:ascii="Sylfaen" w:eastAsia="Sylfaen" w:hAnsi="Sylfaen" w:cs="Sylfaen"/>
                <w:sz w:val="18"/>
                <w:szCs w:val="18"/>
              </w:rPr>
              <w:t>$50k and $1m</w:t>
            </w:r>
          </w:p>
        </w:tc>
        <w:tc>
          <w:tcPr>
            <w:tcW w:w="20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603855B5" w14:textId="77777777" w:rsidR="002D338F" w:rsidRDefault="00D77C7F">
            <w:r>
              <w:rPr>
                <w:rFonts w:ascii="Sylfaen" w:eastAsia="Sylfaen" w:hAnsi="Sylfaen" w:cs="Sylfaen"/>
                <w:sz w:val="18"/>
                <w:szCs w:val="18"/>
              </w:rPr>
              <w:t>Micro-scale; scalability unproven</w:t>
            </w:r>
          </w:p>
        </w:tc>
      </w:tr>
      <w:tr w:rsidR="002D338F" w14:paraId="0E5083D2" w14:textId="77777777">
        <w:tc>
          <w:tcPr>
            <w:tcW w:w="16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79E7B95B" w14:textId="77777777" w:rsidR="002D338F" w:rsidRDefault="00D77C7F">
            <w:proofErr w:type="spellStart"/>
            <w:r>
              <w:rPr>
                <w:rFonts w:ascii="Sylfaen" w:eastAsia="Sylfaen" w:hAnsi="Sylfaen" w:cs="Sylfaen"/>
                <w:b/>
                <w:bCs/>
                <w:sz w:val="18"/>
                <w:szCs w:val="18"/>
              </w:rPr>
              <w:t>Wethaq</w:t>
            </w:r>
            <w:proofErr w:type="spellEnd"/>
          </w:p>
        </w:tc>
        <w:tc>
          <w:tcPr>
            <w:tcW w:w="15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49BED26B" w14:textId="77777777" w:rsidR="002D338F" w:rsidRDefault="00D77C7F">
            <w:r>
              <w:rPr>
                <w:rFonts w:ascii="Sylfaen" w:eastAsia="Sylfaen" w:hAnsi="Sylfaen" w:cs="Sylfaen"/>
                <w:sz w:val="18"/>
                <w:szCs w:val="18"/>
              </w:rPr>
              <w:t>2018, Abu Dhabi</w:t>
            </w:r>
          </w:p>
        </w:tc>
        <w:tc>
          <w:tcPr>
            <w:tcW w:w="2326"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389B1E2D" w14:textId="77777777" w:rsidR="002D338F" w:rsidRDefault="00D77C7F">
            <w:r>
              <w:rPr>
                <w:rFonts w:ascii="Sylfaen" w:eastAsia="Sylfaen" w:hAnsi="Sylfaen" w:cs="Sylfaen"/>
                <w:sz w:val="18"/>
                <w:szCs w:val="18"/>
              </w:rPr>
              <w:t>Smart lease Sukuk on R3 Corda</w:t>
            </w:r>
          </w:p>
        </w:tc>
        <w:tc>
          <w:tcPr>
            <w:tcW w:w="16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31E16CE1" w14:textId="77777777" w:rsidR="002D338F" w:rsidRDefault="00D77C7F">
            <w:r>
              <w:rPr>
                <w:rFonts w:ascii="Sylfaen" w:eastAsia="Sylfaen" w:hAnsi="Sylfaen" w:cs="Sylfaen"/>
                <w:sz w:val="18"/>
                <w:szCs w:val="18"/>
              </w:rPr>
              <w:t xml:space="preserve">Sandbox </w:t>
            </w:r>
            <w:proofErr w:type="spellStart"/>
            <w:r>
              <w:rPr>
                <w:rFonts w:ascii="Sylfaen" w:eastAsia="Sylfaen" w:hAnsi="Sylfaen" w:cs="Sylfaen"/>
                <w:sz w:val="18"/>
                <w:szCs w:val="18"/>
              </w:rPr>
              <w:t>licence</w:t>
            </w:r>
            <w:proofErr w:type="spellEnd"/>
          </w:p>
        </w:tc>
        <w:tc>
          <w:tcPr>
            <w:tcW w:w="20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301AC6FC" w14:textId="77777777" w:rsidR="002D338F" w:rsidRDefault="00D77C7F">
            <w:r>
              <w:rPr>
                <w:rFonts w:ascii="Sylfaen" w:eastAsia="Sylfaen" w:hAnsi="Sylfaen" w:cs="Sylfaen"/>
                <w:sz w:val="18"/>
                <w:szCs w:val="18"/>
              </w:rPr>
              <w:t>Not full regulatory approval</w:t>
            </w:r>
          </w:p>
        </w:tc>
      </w:tr>
      <w:tr w:rsidR="002D338F" w14:paraId="3076AF35" w14:textId="77777777">
        <w:tc>
          <w:tcPr>
            <w:tcW w:w="16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41DDD3B3" w14:textId="77777777" w:rsidR="002D338F" w:rsidRDefault="00D77C7F">
            <w:r>
              <w:rPr>
                <w:rFonts w:ascii="Sylfaen" w:eastAsia="Sylfaen" w:hAnsi="Sylfaen" w:cs="Sylfaen"/>
                <w:b/>
                <w:bCs/>
                <w:sz w:val="18"/>
                <w:szCs w:val="18"/>
              </w:rPr>
              <w:t>Al Hilal Bank</w:t>
            </w:r>
          </w:p>
        </w:tc>
        <w:tc>
          <w:tcPr>
            <w:tcW w:w="15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760F4DA5" w14:textId="77777777" w:rsidR="002D338F" w:rsidRDefault="00D77C7F">
            <w:r>
              <w:rPr>
                <w:rFonts w:ascii="Sylfaen" w:eastAsia="Sylfaen" w:hAnsi="Sylfaen" w:cs="Sylfaen"/>
                <w:sz w:val="18"/>
                <w:szCs w:val="18"/>
              </w:rPr>
              <w:t>2018, Abu Dhabi</w:t>
            </w:r>
          </w:p>
        </w:tc>
        <w:tc>
          <w:tcPr>
            <w:tcW w:w="2326"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4422A80E" w14:textId="77777777" w:rsidR="002D338F" w:rsidRDefault="00D77C7F">
            <w:r>
              <w:rPr>
                <w:rFonts w:ascii="Sylfaen" w:eastAsia="Sylfaen" w:hAnsi="Sylfaen" w:cs="Sylfaen"/>
                <w:sz w:val="18"/>
                <w:szCs w:val="18"/>
              </w:rPr>
              <w:t xml:space="preserve">Blockchain Sukuk via </w:t>
            </w:r>
            <w:proofErr w:type="spellStart"/>
            <w:r>
              <w:rPr>
                <w:rFonts w:ascii="Sylfaen" w:eastAsia="Sylfaen" w:hAnsi="Sylfaen" w:cs="Sylfaen"/>
                <w:sz w:val="18"/>
                <w:szCs w:val="18"/>
              </w:rPr>
              <w:t>Jibrel</w:t>
            </w:r>
            <w:proofErr w:type="spellEnd"/>
            <w:r>
              <w:rPr>
                <w:rFonts w:ascii="Sylfaen" w:eastAsia="Sylfaen" w:hAnsi="Sylfaen" w:cs="Sylfaen"/>
                <w:sz w:val="18"/>
                <w:szCs w:val="18"/>
              </w:rPr>
              <w:t xml:space="preserve"> Network</w:t>
            </w:r>
          </w:p>
        </w:tc>
        <w:tc>
          <w:tcPr>
            <w:tcW w:w="16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0095F755" w14:textId="77777777" w:rsidR="002D338F" w:rsidRDefault="00D77C7F">
            <w:r>
              <w:rPr>
                <w:rFonts w:ascii="Sylfaen" w:eastAsia="Sylfaen" w:hAnsi="Sylfaen" w:cs="Sylfaen"/>
                <w:sz w:val="18"/>
                <w:szCs w:val="18"/>
              </w:rPr>
              <w:t>$1m primary; portion of $500m</w:t>
            </w:r>
          </w:p>
        </w:tc>
        <w:tc>
          <w:tcPr>
            <w:tcW w:w="20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143E2DFB" w14:textId="77777777" w:rsidR="002D338F" w:rsidRDefault="00D77C7F">
            <w:r>
              <w:rPr>
                <w:rFonts w:ascii="Sylfaen" w:eastAsia="Sylfaen" w:hAnsi="Sylfaen" w:cs="Sylfaen"/>
                <w:sz w:val="18"/>
                <w:szCs w:val="18"/>
              </w:rPr>
              <w:t>On-chain proportion unclear</w:t>
            </w:r>
          </w:p>
        </w:tc>
      </w:tr>
      <w:tr w:rsidR="002D338F" w14:paraId="6106BB91" w14:textId="77777777">
        <w:tc>
          <w:tcPr>
            <w:tcW w:w="16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542C4BFF" w14:textId="77777777" w:rsidR="002D338F" w:rsidRDefault="00D77C7F">
            <w:proofErr w:type="spellStart"/>
            <w:r>
              <w:rPr>
                <w:rFonts w:ascii="Sylfaen" w:eastAsia="Sylfaen" w:hAnsi="Sylfaen" w:cs="Sylfaen"/>
                <w:b/>
                <w:bCs/>
                <w:sz w:val="18"/>
                <w:szCs w:val="18"/>
              </w:rPr>
              <w:t>Finterra</w:t>
            </w:r>
            <w:proofErr w:type="spellEnd"/>
          </w:p>
        </w:tc>
        <w:tc>
          <w:tcPr>
            <w:tcW w:w="15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426C5F9F" w14:textId="77777777" w:rsidR="002D338F" w:rsidRDefault="00D77C7F">
            <w:r>
              <w:rPr>
                <w:rFonts w:ascii="Sylfaen" w:eastAsia="Sylfaen" w:hAnsi="Sylfaen" w:cs="Sylfaen"/>
                <w:sz w:val="18"/>
                <w:szCs w:val="18"/>
              </w:rPr>
              <w:t>2018, Malaysia</w:t>
            </w:r>
          </w:p>
        </w:tc>
        <w:tc>
          <w:tcPr>
            <w:tcW w:w="2326"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529D4129" w14:textId="77777777" w:rsidR="002D338F" w:rsidRDefault="00D77C7F">
            <w:r>
              <w:rPr>
                <w:rFonts w:ascii="Sylfaen" w:eastAsia="Sylfaen" w:hAnsi="Sylfaen" w:cs="Sylfaen"/>
                <w:sz w:val="18"/>
                <w:szCs w:val="18"/>
              </w:rPr>
              <w:t>Waqf Chain for Islamic social finance</w:t>
            </w:r>
          </w:p>
        </w:tc>
        <w:tc>
          <w:tcPr>
            <w:tcW w:w="16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75D99908" w14:textId="77777777" w:rsidR="002D338F" w:rsidRDefault="00D77C7F">
            <w:r>
              <w:rPr>
                <w:rFonts w:ascii="Sylfaen" w:eastAsia="Sylfaen" w:hAnsi="Sylfaen" w:cs="Sylfaen"/>
                <w:sz w:val="18"/>
                <w:szCs w:val="18"/>
              </w:rPr>
              <w:t>Not disclosed</w:t>
            </w:r>
          </w:p>
        </w:tc>
        <w:tc>
          <w:tcPr>
            <w:tcW w:w="20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37D0D1A0" w14:textId="77777777" w:rsidR="002D338F" w:rsidRDefault="00D77C7F">
            <w:r>
              <w:rPr>
                <w:rFonts w:ascii="Sylfaen" w:eastAsia="Sylfaen" w:hAnsi="Sylfaen" w:cs="Sylfaen"/>
                <w:sz w:val="18"/>
                <w:szCs w:val="18"/>
              </w:rPr>
              <w:t>Cannot legally use term 'Sukuk'</w:t>
            </w:r>
          </w:p>
        </w:tc>
      </w:tr>
      <w:tr w:rsidR="002D338F" w14:paraId="18C18566" w14:textId="77777777">
        <w:tc>
          <w:tcPr>
            <w:tcW w:w="16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5A569EB6" w14:textId="77777777" w:rsidR="002D338F" w:rsidRDefault="00D77C7F">
            <w:r>
              <w:rPr>
                <w:rFonts w:ascii="Sylfaen" w:eastAsia="Sylfaen" w:hAnsi="Sylfaen" w:cs="Sylfaen"/>
                <w:b/>
                <w:bCs/>
                <w:sz w:val="18"/>
                <w:szCs w:val="18"/>
              </w:rPr>
              <w:t>REGA Sandbox</w:t>
            </w:r>
          </w:p>
        </w:tc>
        <w:tc>
          <w:tcPr>
            <w:tcW w:w="15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4813A1AE" w14:textId="77777777" w:rsidR="002D338F" w:rsidRDefault="00D77C7F">
            <w:r>
              <w:rPr>
                <w:rFonts w:ascii="Sylfaen" w:eastAsia="Sylfaen" w:hAnsi="Sylfaen" w:cs="Sylfaen"/>
                <w:sz w:val="18"/>
                <w:szCs w:val="18"/>
              </w:rPr>
              <w:t>2026, Saudi Arabia</w:t>
            </w:r>
          </w:p>
        </w:tc>
        <w:tc>
          <w:tcPr>
            <w:tcW w:w="2326"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342E69D4" w14:textId="77777777" w:rsidR="002D338F" w:rsidRDefault="00D77C7F">
            <w:r>
              <w:rPr>
                <w:rFonts w:ascii="Sylfaen" w:eastAsia="Sylfaen" w:hAnsi="Sylfaen" w:cs="Sylfaen"/>
                <w:sz w:val="18"/>
                <w:szCs w:val="18"/>
              </w:rPr>
              <w:t xml:space="preserve">Sovereign property </w:t>
            </w:r>
            <w:proofErr w:type="spellStart"/>
            <w:r>
              <w:rPr>
                <w:rFonts w:ascii="Sylfaen" w:eastAsia="Sylfaen" w:hAnsi="Sylfaen" w:cs="Sylfaen"/>
                <w:sz w:val="18"/>
                <w:szCs w:val="18"/>
              </w:rPr>
              <w:t>tokenisation</w:t>
            </w:r>
            <w:proofErr w:type="spellEnd"/>
            <w:r>
              <w:rPr>
                <w:rFonts w:ascii="Sylfaen" w:eastAsia="Sylfaen" w:hAnsi="Sylfaen" w:cs="Sylfaen"/>
                <w:sz w:val="18"/>
                <w:szCs w:val="18"/>
              </w:rPr>
              <w:t>, REGA/Real Estate Registry</w:t>
            </w:r>
          </w:p>
        </w:tc>
        <w:tc>
          <w:tcPr>
            <w:tcW w:w="16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739EA6C8" w14:textId="77777777" w:rsidR="002D338F" w:rsidRDefault="00D77C7F">
            <w:r>
              <w:rPr>
                <w:rFonts w:ascii="Sylfaen" w:eastAsia="Sylfaen" w:hAnsi="Sylfaen" w:cs="Sylfaen"/>
                <w:sz w:val="18"/>
                <w:szCs w:val="18"/>
              </w:rPr>
              <w:t>9 licensed platforms</w:t>
            </w:r>
          </w:p>
        </w:tc>
        <w:tc>
          <w:tcPr>
            <w:tcW w:w="20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vAlign w:val="center"/>
          </w:tcPr>
          <w:p w14:paraId="28712C69" w14:textId="77777777" w:rsidR="002D338F" w:rsidRDefault="00D77C7F">
            <w:r>
              <w:rPr>
                <w:rFonts w:ascii="Sylfaen" w:eastAsia="Sylfaen" w:hAnsi="Sylfaen" w:cs="Sylfaen"/>
                <w:sz w:val="18"/>
                <w:szCs w:val="18"/>
              </w:rPr>
              <w:t>Sandbox phase; full launch pending</w:t>
            </w:r>
          </w:p>
        </w:tc>
      </w:tr>
    </w:tbl>
    <w:p w14:paraId="532757F2" w14:textId="77777777" w:rsidR="002D338F" w:rsidRDefault="002D338F">
      <w:pPr>
        <w:spacing w:after="160"/>
      </w:pPr>
    </w:p>
    <w:p w14:paraId="2765BA1B" w14:textId="54866B8C" w:rsidR="002D338F" w:rsidRDefault="00D77C7F">
      <w:pPr>
        <w:spacing w:line="276" w:lineRule="auto"/>
        <w:rPr>
          <w:rFonts w:ascii="Sylfaen" w:eastAsia="Sylfaen" w:hAnsi="Sylfaen" w:cs="Sylfaen"/>
        </w:rPr>
      </w:pPr>
      <w:r>
        <w:rPr>
          <w:rFonts w:ascii="Sylfaen" w:eastAsia="Sylfaen" w:hAnsi="Sylfaen" w:cs="Sylfaen"/>
        </w:rPr>
        <w:t xml:space="preserve">The four 2017–2018 pilots above, Blossom Finance (Babas, 2020; Whitehead, 2018), </w:t>
      </w:r>
      <w:proofErr w:type="spellStart"/>
      <w:r>
        <w:rPr>
          <w:rFonts w:ascii="Sylfaen" w:eastAsia="Sylfaen" w:hAnsi="Sylfaen" w:cs="Sylfaen"/>
        </w:rPr>
        <w:t>Wethaq</w:t>
      </w:r>
      <w:proofErr w:type="spellEnd"/>
      <w:r>
        <w:rPr>
          <w:rFonts w:ascii="Sylfaen" w:eastAsia="Sylfaen" w:hAnsi="Sylfaen" w:cs="Sylfaen"/>
        </w:rPr>
        <w:t xml:space="preserve"> (Zawya, 2019), Al Hilal Bank, and </w:t>
      </w:r>
      <w:proofErr w:type="spellStart"/>
      <w:r>
        <w:rPr>
          <w:rFonts w:ascii="Sylfaen" w:eastAsia="Sylfaen" w:hAnsi="Sylfaen" w:cs="Sylfaen"/>
        </w:rPr>
        <w:t>Finterra</w:t>
      </w:r>
      <w:proofErr w:type="spellEnd"/>
      <w:r>
        <w:rPr>
          <w:rFonts w:ascii="Sylfaen" w:eastAsia="Sylfaen" w:hAnsi="Sylfaen" w:cs="Sylfaen"/>
        </w:rPr>
        <w:t xml:space="preserve">, demonstrated technical feasibility but remained private, micro-scale, and constrained by sandbox or naming limitations; </w:t>
      </w:r>
      <w:proofErr w:type="spellStart"/>
      <w:r>
        <w:rPr>
          <w:rFonts w:ascii="Sylfaen" w:eastAsia="Sylfaen" w:hAnsi="Sylfaen" w:cs="Sylfaen"/>
        </w:rPr>
        <w:t>Finterra</w:t>
      </w:r>
      <w:proofErr w:type="spellEnd"/>
      <w:r>
        <w:rPr>
          <w:rFonts w:ascii="Sylfaen" w:eastAsia="Sylfaen" w:hAnsi="Sylfaen" w:cs="Sylfaen"/>
        </w:rPr>
        <w:t xml:space="preserve">, notably, markets its instruments as “Islamic Redeemable Preference Shares” rather than Sukuk because existing securities regulation does not accommodate </w:t>
      </w:r>
      <w:proofErr w:type="spellStart"/>
      <w:r>
        <w:rPr>
          <w:rFonts w:ascii="Sylfaen" w:eastAsia="Sylfaen" w:hAnsi="Sylfaen" w:cs="Sylfaen"/>
        </w:rPr>
        <w:t>tokenised</w:t>
      </w:r>
      <w:proofErr w:type="spellEnd"/>
      <w:r>
        <w:rPr>
          <w:rFonts w:ascii="Sylfaen" w:eastAsia="Sylfaen" w:hAnsi="Sylfaen" w:cs="Sylfaen"/>
        </w:rPr>
        <w:t xml:space="preserve"> instruments under that name, illustrating the depth of the regulatory obstacle even for the most innovative platform in the field (Busari and Aminu, 2022).</w:t>
      </w:r>
    </w:p>
    <w:p w14:paraId="2D591F78" w14:textId="77777777" w:rsidR="004E20CA" w:rsidRDefault="004E20CA">
      <w:pPr>
        <w:spacing w:line="276" w:lineRule="auto"/>
      </w:pPr>
    </w:p>
    <w:p w14:paraId="04A15376" w14:textId="77777777" w:rsidR="002D338F" w:rsidRPr="00473AD6" w:rsidRDefault="00D77C7F" w:rsidP="00FB2342">
      <w:pPr>
        <w:pStyle w:val="Heading3"/>
        <w:rPr>
          <w:rFonts w:eastAsiaTheme="majorEastAsia"/>
          <w:color w:val="000000" w:themeColor="text1"/>
          <w:lang w:val="en-GB"/>
        </w:rPr>
      </w:pPr>
      <w:r w:rsidRPr="00473AD6">
        <w:rPr>
          <w:rFonts w:eastAsiaTheme="majorEastAsia"/>
          <w:color w:val="000000" w:themeColor="text1"/>
          <w:lang w:val="en-GB"/>
        </w:rPr>
        <w:t>Sovereign-Scale Developments: Saudi Arabia</w:t>
      </w:r>
    </w:p>
    <w:p w14:paraId="431365B2" w14:textId="77777777" w:rsidR="004E20CA" w:rsidRPr="004E20CA" w:rsidRDefault="004E20CA" w:rsidP="004E20CA">
      <w:pPr>
        <w:pStyle w:val="Heading3"/>
        <w:rPr>
          <w:rFonts w:ascii="Sylfaen" w:hAnsi="Sylfaen"/>
          <w:color w:val="000000" w:themeColor="text1"/>
        </w:rPr>
      </w:pPr>
    </w:p>
    <w:p w14:paraId="3C0B8B71" w14:textId="3C9A4AB8" w:rsidR="002D338F" w:rsidRDefault="00D77C7F">
      <w:pPr>
        <w:spacing w:line="276" w:lineRule="auto"/>
        <w:rPr>
          <w:rFonts w:ascii="Sylfaen" w:eastAsia="Sylfaen" w:hAnsi="Sylfaen" w:cs="Sylfaen"/>
        </w:rPr>
      </w:pPr>
      <w:r>
        <w:rPr>
          <w:rFonts w:ascii="Sylfaen" w:eastAsia="Sylfaen" w:hAnsi="Sylfaen" w:cs="Sylfaen"/>
        </w:rPr>
        <w:t xml:space="preserve">More recent developments suggest the landscape is shifting from private micro-pilots toward state-supervised, institutional infrastructure. In 2026, the Saudi Real Estate General Authority (REGA) licensed nine digital platforms under a formal regulatory sandbox for fractional real estate </w:t>
      </w:r>
      <w:proofErr w:type="spellStart"/>
      <w:r>
        <w:rPr>
          <w:rFonts w:ascii="Sylfaen" w:eastAsia="Sylfaen" w:hAnsi="Sylfaen" w:cs="Sylfaen"/>
        </w:rPr>
        <w:t>tokenisation</w:t>
      </w:r>
      <w:proofErr w:type="spellEnd"/>
      <w:r>
        <w:rPr>
          <w:rFonts w:ascii="Sylfaen" w:eastAsia="Sylfaen" w:hAnsi="Sylfaen" w:cs="Sylfaen"/>
        </w:rPr>
        <w:t xml:space="preserve">, following the completion of a sovereign-native </w:t>
      </w:r>
      <w:proofErr w:type="spellStart"/>
      <w:r>
        <w:rPr>
          <w:rFonts w:ascii="Sylfaen" w:eastAsia="Sylfaen" w:hAnsi="Sylfaen" w:cs="Sylfaen"/>
        </w:rPr>
        <w:t>tokenised</w:t>
      </w:r>
      <w:proofErr w:type="spellEnd"/>
      <w:r>
        <w:rPr>
          <w:rFonts w:ascii="Sylfaen" w:eastAsia="Sylfaen" w:hAnsi="Sylfaen" w:cs="Sylfaen"/>
        </w:rPr>
        <w:t xml:space="preserve"> property title transfer between two government entities, the National Housing Company and the Real Estate Development Fund, executed via the </w:t>
      </w:r>
      <w:proofErr w:type="spellStart"/>
      <w:r>
        <w:rPr>
          <w:rFonts w:ascii="Sylfaen" w:eastAsia="Sylfaen" w:hAnsi="Sylfaen" w:cs="Sylfaen"/>
        </w:rPr>
        <w:t>droppRWA</w:t>
      </w:r>
      <w:proofErr w:type="spellEnd"/>
      <w:r>
        <w:rPr>
          <w:rFonts w:ascii="Sylfaen" w:eastAsia="Sylfaen" w:hAnsi="Sylfaen" w:cs="Sylfaen"/>
        </w:rPr>
        <w:t xml:space="preserve"> infrastructure layer and directly integrated with the Kingdom’s Real Estate Registry (SPA, 2026a). Separately, the Saudi Central Bank moved open banking from sandbox testing into a licensed commercial regime the same year (SPA, 2026b). These developments do not resolve the jurisprudential questions examined below, but they indicate that the relevant trust relationship is migrating from private third-party providers toward state institutions, a shift this article returns to in Section 6.</w:t>
      </w:r>
    </w:p>
    <w:p w14:paraId="29D001D6" w14:textId="77777777" w:rsidR="004E20CA" w:rsidRDefault="004E20CA">
      <w:pPr>
        <w:spacing w:line="276" w:lineRule="auto"/>
      </w:pPr>
    </w:p>
    <w:p w14:paraId="3F11024C" w14:textId="77777777" w:rsidR="00AC0B12" w:rsidRDefault="00AC0B12">
      <w:pPr>
        <w:spacing w:line="276" w:lineRule="auto"/>
      </w:pPr>
    </w:p>
    <w:p w14:paraId="21F14306" w14:textId="77777777" w:rsidR="002D338F" w:rsidRPr="0021398C" w:rsidRDefault="00D77C7F" w:rsidP="0021398C">
      <w:pPr>
        <w:pStyle w:val="Heading2"/>
        <w:spacing w:before="240" w:after="240" w:line="276" w:lineRule="auto"/>
        <w:rPr>
          <w:rFonts w:ascii="Sylfaen" w:eastAsiaTheme="majorEastAsia" w:hAnsi="Sylfaen" w:cstheme="majorBidi"/>
          <w:b/>
          <w:color w:val="000000" w:themeColor="text1"/>
          <w:sz w:val="24"/>
          <w:lang w:val="en-GB"/>
        </w:rPr>
      </w:pPr>
      <w:r w:rsidRPr="0021398C">
        <w:rPr>
          <w:rFonts w:ascii="Sylfaen" w:eastAsiaTheme="majorEastAsia" w:hAnsi="Sylfaen" w:cstheme="majorBidi"/>
          <w:b/>
          <w:color w:val="000000" w:themeColor="text1"/>
          <w:sz w:val="24"/>
          <w:lang w:val="en-GB"/>
        </w:rPr>
        <w:lastRenderedPageBreak/>
        <w:t>5. Legal, Regulatory, and Jurisprudential Challenges</w:t>
      </w:r>
    </w:p>
    <w:p w14:paraId="432C0792" w14:textId="77777777" w:rsidR="004E20CA" w:rsidRPr="004E20CA" w:rsidRDefault="004E20CA" w:rsidP="004E20CA">
      <w:pPr>
        <w:pStyle w:val="Heading2"/>
        <w:rPr>
          <w:rFonts w:ascii="Sylfaen" w:eastAsia="Sylfaen" w:hAnsi="Sylfaen"/>
          <w:color w:val="000000" w:themeColor="text1"/>
          <w:sz w:val="24"/>
          <w:szCs w:val="24"/>
        </w:rPr>
      </w:pPr>
    </w:p>
    <w:p w14:paraId="3FA4EFE8" w14:textId="77777777" w:rsidR="002D338F" w:rsidRDefault="00D77C7F">
      <w:pPr>
        <w:spacing w:after="120" w:line="276" w:lineRule="auto"/>
        <w:jc w:val="both"/>
      </w:pPr>
      <w:r>
        <w:rPr>
          <w:rFonts w:ascii="Sylfaen" w:eastAsia="Sylfaen" w:hAnsi="Sylfaen" w:cs="Sylfaen"/>
        </w:rPr>
        <w:t xml:space="preserve">A significant challenge facing smart Sukuk is the absence of a </w:t>
      </w:r>
      <w:proofErr w:type="spellStart"/>
      <w:r>
        <w:rPr>
          <w:rFonts w:ascii="Sylfaen" w:eastAsia="Sylfaen" w:hAnsi="Sylfaen" w:cs="Sylfaen"/>
        </w:rPr>
        <w:t>recognised</w:t>
      </w:r>
      <w:proofErr w:type="spellEnd"/>
      <w:r>
        <w:rPr>
          <w:rFonts w:ascii="Sylfaen" w:eastAsia="Sylfaen" w:hAnsi="Sylfaen" w:cs="Sylfaen"/>
        </w:rPr>
        <w:t xml:space="preserve"> international legal framework for their issuance. </w:t>
      </w:r>
      <w:proofErr w:type="spellStart"/>
      <w:r>
        <w:rPr>
          <w:rFonts w:ascii="Sylfaen" w:eastAsia="Sylfaen" w:hAnsi="Sylfaen" w:cs="Sylfaen"/>
        </w:rPr>
        <w:t>Muryanto</w:t>
      </w:r>
      <w:proofErr w:type="spellEnd"/>
      <w:r>
        <w:rPr>
          <w:rFonts w:ascii="Sylfaen" w:eastAsia="Sylfaen" w:hAnsi="Sylfaen" w:cs="Sylfaen"/>
        </w:rPr>
        <w:t xml:space="preserve"> (2022), from a comparative study of Malaysia, Indonesia, and England, concludes that Islamic fintech requires purpose-built laws, Sharia supervisory boards adapted for digital instruments, and governance standards suited to the technological context. </w:t>
      </w:r>
      <w:proofErr w:type="spellStart"/>
      <w:r>
        <w:rPr>
          <w:rFonts w:ascii="Sylfaen" w:eastAsia="Sylfaen" w:hAnsi="Sylfaen" w:cs="Sylfaen"/>
        </w:rPr>
        <w:t>Kunhibava</w:t>
      </w:r>
      <w:proofErr w:type="spellEnd"/>
      <w:r>
        <w:rPr>
          <w:rFonts w:ascii="Sylfaen" w:eastAsia="Sylfaen" w:hAnsi="Sylfaen" w:cs="Sylfaen"/>
        </w:rPr>
        <w:t xml:space="preserve"> </w:t>
      </w:r>
      <w:r>
        <w:rPr>
          <w:rFonts w:ascii="Sylfaen" w:eastAsia="Sylfaen" w:hAnsi="Sylfaen" w:cs="Sylfaen"/>
          <w:i/>
          <w:iCs/>
        </w:rPr>
        <w:t>et al.</w:t>
      </w:r>
      <w:r>
        <w:rPr>
          <w:rFonts w:ascii="Sylfaen" w:eastAsia="Sylfaen" w:hAnsi="Sylfaen" w:cs="Sylfaen"/>
        </w:rPr>
        <w:t xml:space="preserve"> (2024) identify both a regulatory deficiency in the legal frameworks supporting blockchain innovations in Islamic social finance and a policy shortcoming in managing the associated Sharia and legal risks. This legal vacuum is a fundamental obstacle because smart Sukuk, unlike conventional Sukuk, operate across the boundaries of financial regulation, digital asset law, and Islamic jurisprudence simultaneously. Without purpose-built frameworks addressing all three domains, even a technically sound and Sharia-approved smart Sukuk may be legally unenforceable, commercially non-transferable, or regulatorily impermissible in the very jurisdictions where it seeks investors.</w:t>
      </w:r>
    </w:p>
    <w:p w14:paraId="35946FFF" w14:textId="77777777" w:rsidR="002D338F" w:rsidRDefault="00D77C7F">
      <w:pPr>
        <w:spacing w:after="120" w:line="276" w:lineRule="auto"/>
        <w:ind w:firstLine="360"/>
        <w:jc w:val="both"/>
      </w:pPr>
      <w:r>
        <w:rPr>
          <w:rFonts w:ascii="Sylfaen" w:eastAsia="Sylfaen" w:hAnsi="Sylfaen" w:cs="Sylfaen"/>
        </w:rPr>
        <w:t xml:space="preserve">The deeper challenge is jurisprudential in nature. While the absence of a legal framework imposes external constraints, the jurisprudential challenge is internal to the Sharia compliance project itself and therefore, in the author’s view, more fundamental: it questions whether smart Sukuk can ever be genuinely Sharia-compliant, not merely whether they are legally permissible. Under classical </w:t>
      </w:r>
      <w:proofErr w:type="spellStart"/>
      <w:r>
        <w:rPr>
          <w:rFonts w:ascii="Sylfaen" w:eastAsia="Sylfaen" w:hAnsi="Sylfaen" w:cs="Sylfaen"/>
          <w:i/>
          <w:iCs/>
        </w:rPr>
        <w:t>fiqh</w:t>
      </w:r>
      <w:proofErr w:type="spellEnd"/>
      <w:r>
        <w:rPr>
          <w:rFonts w:ascii="Sylfaen" w:eastAsia="Sylfaen" w:hAnsi="Sylfaen" w:cs="Sylfaen"/>
        </w:rPr>
        <w:t xml:space="preserve">, certain contracts such as </w:t>
      </w:r>
      <w:proofErr w:type="spellStart"/>
      <w:r>
        <w:rPr>
          <w:rFonts w:ascii="Sylfaen" w:eastAsia="Sylfaen" w:hAnsi="Sylfaen" w:cs="Sylfaen"/>
          <w:i/>
          <w:iCs/>
        </w:rPr>
        <w:t>Mudaraba</w:t>
      </w:r>
      <w:proofErr w:type="spellEnd"/>
      <w:r>
        <w:rPr>
          <w:rFonts w:ascii="Sylfaen" w:eastAsia="Sylfaen" w:hAnsi="Sylfaen" w:cs="Sylfaen"/>
        </w:rPr>
        <w:t xml:space="preserve"> permit unilateral termination (</w:t>
      </w:r>
      <w:r>
        <w:rPr>
          <w:rFonts w:ascii="Sylfaen" w:eastAsia="Sylfaen" w:hAnsi="Sylfaen" w:cs="Sylfaen"/>
          <w:i/>
          <w:iCs/>
        </w:rPr>
        <w:t>Iqala</w:t>
      </w:r>
      <w:r>
        <w:rPr>
          <w:rFonts w:ascii="Sylfaen" w:eastAsia="Sylfaen" w:hAnsi="Sylfaen" w:cs="Sylfaen"/>
        </w:rPr>
        <w:t>) by either party (AAOIFI, 2017; Sa’ad, 2018). A deployed smart contract cannot ordinarily be amended or cancelled (Hamza, 2020; Iftikhar and Saba, 2020). Sa’ad (2018) suggests that a prior agreement stipulating irrevocability may resolve this tension, but this merely defers deeper questions that the existing literature has failed to address. Whether prior waiver of termination rights is valid depends on which school of Islamic law (</w:t>
      </w:r>
      <w:r>
        <w:rPr>
          <w:rFonts w:ascii="Sylfaen" w:eastAsia="Sylfaen" w:hAnsi="Sylfaen" w:cs="Sylfaen"/>
          <w:i/>
          <w:iCs/>
        </w:rPr>
        <w:t>madhhab</w:t>
      </w:r>
      <w:r>
        <w:rPr>
          <w:rFonts w:ascii="Sylfaen" w:eastAsia="Sylfaen" w:hAnsi="Sylfaen" w:cs="Sylfaen"/>
        </w:rPr>
        <w:t>) governs the transaction. Under the Hanafi school, contractual stipulations (</w:t>
      </w:r>
      <w:proofErr w:type="spellStart"/>
      <w:r>
        <w:rPr>
          <w:rFonts w:ascii="Sylfaen" w:eastAsia="Sylfaen" w:hAnsi="Sylfaen" w:cs="Sylfaen"/>
          <w:i/>
          <w:iCs/>
        </w:rPr>
        <w:t>shurut</w:t>
      </w:r>
      <w:proofErr w:type="spellEnd"/>
      <w:r>
        <w:rPr>
          <w:rFonts w:ascii="Sylfaen" w:eastAsia="Sylfaen" w:hAnsi="Sylfaen" w:cs="Sylfaen"/>
        </w:rPr>
        <w:t xml:space="preserve">) that do not contradict the contract’s essential purpose are generally permitted, which might accommodate a waiver of </w:t>
      </w:r>
      <w:r>
        <w:rPr>
          <w:rFonts w:ascii="Sylfaen" w:eastAsia="Sylfaen" w:hAnsi="Sylfaen" w:cs="Sylfaen"/>
          <w:i/>
          <w:iCs/>
        </w:rPr>
        <w:t>Iqala</w:t>
      </w:r>
      <w:r>
        <w:rPr>
          <w:rFonts w:ascii="Sylfaen" w:eastAsia="Sylfaen" w:hAnsi="Sylfaen" w:cs="Sylfaen"/>
        </w:rPr>
        <w:t xml:space="preserve"> as a permissible condition (</w:t>
      </w:r>
      <w:proofErr w:type="spellStart"/>
      <w:r>
        <w:rPr>
          <w:rFonts w:ascii="Sylfaen" w:eastAsia="Sylfaen" w:hAnsi="Sylfaen" w:cs="Sylfaen"/>
          <w:i/>
          <w:iCs/>
        </w:rPr>
        <w:t>shart</w:t>
      </w:r>
      <w:proofErr w:type="spellEnd"/>
      <w:r>
        <w:rPr>
          <w:rFonts w:ascii="Sylfaen" w:eastAsia="Sylfaen" w:hAnsi="Sylfaen" w:cs="Sylfaen"/>
        </w:rPr>
        <w:t xml:space="preserve">) (Alkhamees, 2017, pp. 45–47). Under the Shafi’i school, however, stipulations not sanctioned by text or established custom are traditionally viewed with greater suspicion, and a blanket waiver of a Sharia-granted right of termination might be </w:t>
      </w:r>
      <w:proofErr w:type="spellStart"/>
      <w:r>
        <w:rPr>
          <w:rFonts w:ascii="Sylfaen" w:eastAsia="Sylfaen" w:hAnsi="Sylfaen" w:cs="Sylfaen"/>
        </w:rPr>
        <w:t>characterised</w:t>
      </w:r>
      <w:proofErr w:type="spellEnd"/>
      <w:r>
        <w:rPr>
          <w:rFonts w:ascii="Sylfaen" w:eastAsia="Sylfaen" w:hAnsi="Sylfaen" w:cs="Sylfaen"/>
        </w:rPr>
        <w:t xml:space="preserve"> as an impermissible restriction (Alkhamees, 2017, pp. 47–49). The Hanbali school’s more permissive approach offers a middle path, but this inter-school divergence means that a smart Sukuk programmed to be irrevocable might be Sharia-compliant in one jurisdiction and impermissible in another (Hamza, 2020; </w:t>
      </w:r>
      <w:proofErr w:type="spellStart"/>
      <w:r>
        <w:rPr>
          <w:rFonts w:ascii="Sylfaen" w:eastAsia="Sylfaen" w:hAnsi="Sylfaen" w:cs="Sylfaen"/>
        </w:rPr>
        <w:t>Muryanto</w:t>
      </w:r>
      <w:proofErr w:type="spellEnd"/>
      <w:r>
        <w:rPr>
          <w:rFonts w:ascii="Sylfaen" w:eastAsia="Sylfaen" w:hAnsi="Sylfaen" w:cs="Sylfaen"/>
        </w:rPr>
        <w:t xml:space="preserve">, 2022). This is a significant challenge precisely because it is non-trivial to resolve through technical means: a smart contract must follow a single, fixed rule, yet the applicable rule varies by madhhab. A conventional Sukuk can manage this uncertainty through documentation that can be negotiated or litigated; a deployed smart contract offers no such remedy, so jurisdictional divergence directly undermines the portability and </w:t>
      </w:r>
      <w:proofErr w:type="spellStart"/>
      <w:r>
        <w:rPr>
          <w:rFonts w:ascii="Sylfaen" w:eastAsia="Sylfaen" w:hAnsi="Sylfaen" w:cs="Sylfaen"/>
        </w:rPr>
        <w:t>standardisation</w:t>
      </w:r>
      <w:proofErr w:type="spellEnd"/>
      <w:r>
        <w:rPr>
          <w:rFonts w:ascii="Sylfaen" w:eastAsia="Sylfaen" w:hAnsi="Sylfaen" w:cs="Sylfaen"/>
        </w:rPr>
        <w:t xml:space="preserve"> central to the smart Sukuk value proposition. The challenge is not necessarily insurmountable: smart contracts are not inherently irrevocable, and upgradeable or multi-signature governance structures could in principle accommodate jurisdiction-</w:t>
      </w:r>
      <w:r>
        <w:rPr>
          <w:rFonts w:ascii="Sylfaen" w:eastAsia="Sylfaen" w:hAnsi="Sylfaen" w:cs="Sylfaen"/>
        </w:rPr>
        <w:lastRenderedPageBreak/>
        <w:t xml:space="preserve">specific madhhab requirements, much as Sharia boards already approve jurisdiction-specific structures for conventional Sukuk. </w:t>
      </w:r>
    </w:p>
    <w:p w14:paraId="1A9965E0" w14:textId="77777777" w:rsidR="002D338F" w:rsidRDefault="00D77C7F">
      <w:pPr>
        <w:spacing w:after="120" w:line="276" w:lineRule="auto"/>
        <w:ind w:firstLine="360"/>
        <w:jc w:val="both"/>
      </w:pPr>
      <w:r>
        <w:rPr>
          <w:rFonts w:ascii="Sylfaen" w:eastAsia="Sylfaen" w:hAnsi="Sylfaen" w:cs="Sylfaen"/>
        </w:rPr>
        <w:t xml:space="preserve">More fundamentally, the question of whether a smart contract constitutes a modern form of </w:t>
      </w:r>
      <w:r>
        <w:rPr>
          <w:rFonts w:ascii="Sylfaen" w:eastAsia="Sylfaen" w:hAnsi="Sylfaen" w:cs="Sylfaen"/>
          <w:i/>
          <w:iCs/>
        </w:rPr>
        <w:t>al</w:t>
      </w:r>
      <w:proofErr w:type="gramStart"/>
      <w:r>
        <w:rPr>
          <w:rFonts w:ascii="Sylfaen" w:eastAsia="Sylfaen" w:hAnsi="Sylfaen" w:cs="Sylfaen"/>
          <w:i/>
          <w:iCs/>
        </w:rPr>
        <w:t>-‘</w:t>
      </w:r>
      <w:proofErr w:type="spellStart"/>
      <w:proofErr w:type="gramEnd"/>
      <w:r>
        <w:rPr>
          <w:rFonts w:ascii="Sylfaen" w:eastAsia="Sylfaen" w:hAnsi="Sylfaen" w:cs="Sylfaen"/>
          <w:i/>
          <w:iCs/>
        </w:rPr>
        <w:t>uqud</w:t>
      </w:r>
      <w:proofErr w:type="spellEnd"/>
      <w:r>
        <w:rPr>
          <w:rFonts w:ascii="Sylfaen" w:eastAsia="Sylfaen" w:hAnsi="Sylfaen" w:cs="Sylfaen"/>
          <w:i/>
          <w:iCs/>
        </w:rPr>
        <w:t xml:space="preserve"> al-</w:t>
      </w:r>
      <w:proofErr w:type="spellStart"/>
      <w:r>
        <w:rPr>
          <w:rFonts w:ascii="Sylfaen" w:eastAsia="Sylfaen" w:hAnsi="Sylfaen" w:cs="Sylfaen"/>
          <w:i/>
          <w:iCs/>
        </w:rPr>
        <w:t>mustajiddah</w:t>
      </w:r>
      <w:proofErr w:type="spellEnd"/>
      <w:r>
        <w:rPr>
          <w:rFonts w:ascii="Sylfaen" w:eastAsia="Sylfaen" w:hAnsi="Sylfaen" w:cs="Sylfaen"/>
        </w:rPr>
        <w:t xml:space="preserve"> (newly evolved contracts), and therefore whether it falls within established jurisprudential categories or requires fresh </w:t>
      </w:r>
      <w:r>
        <w:rPr>
          <w:rFonts w:ascii="Sylfaen" w:eastAsia="Sylfaen" w:hAnsi="Sylfaen" w:cs="Sylfaen"/>
          <w:i/>
          <w:iCs/>
        </w:rPr>
        <w:t>ijtihad</w:t>
      </w:r>
      <w:r>
        <w:rPr>
          <w:rFonts w:ascii="Sylfaen" w:eastAsia="Sylfaen" w:hAnsi="Sylfaen" w:cs="Sylfaen"/>
        </w:rPr>
        <w:t xml:space="preserve"> (independent reasoning), remains entirely unaddressed in the smart Sukuk literature. This is arguably the most important question the field must confront, because the answer determines which body of jurisprudential rules applies. If the smart contract is bound by classical contract rules in their entirety, the rich literature on Islamic contractual law provides authoritative guidance but may constrain technological design; if scholars have the freedom, and indeed the responsibility, to reason from first principles, the field faces extensive ijtihad on a technology whose implications are not yet fully understood. If a smart contract is merely a technological medium for executing a </w:t>
      </w:r>
      <w:proofErr w:type="spellStart"/>
      <w:r>
        <w:rPr>
          <w:rFonts w:ascii="Sylfaen" w:eastAsia="Sylfaen" w:hAnsi="Sylfaen" w:cs="Sylfaen"/>
          <w:i/>
          <w:iCs/>
        </w:rPr>
        <w:t>Mudaraba</w:t>
      </w:r>
      <w:proofErr w:type="spellEnd"/>
      <w:r>
        <w:rPr>
          <w:rFonts w:ascii="Sylfaen" w:eastAsia="Sylfaen" w:hAnsi="Sylfaen" w:cs="Sylfaen"/>
        </w:rPr>
        <w:t xml:space="preserve">, it must comply with all the classical requirements of that contract type, including the right of </w:t>
      </w:r>
      <w:r>
        <w:rPr>
          <w:rFonts w:ascii="Sylfaen" w:eastAsia="Sylfaen" w:hAnsi="Sylfaen" w:cs="Sylfaen"/>
          <w:i/>
          <w:iCs/>
        </w:rPr>
        <w:t>Iqala</w:t>
      </w:r>
      <w:r>
        <w:rPr>
          <w:rFonts w:ascii="Sylfaen" w:eastAsia="Sylfaen" w:hAnsi="Sylfaen" w:cs="Sylfaen"/>
        </w:rPr>
        <w:t xml:space="preserve"> (AAOIFI, 2017; Hamza, 2020). If, however, it is a new contractual form, then scholars must determine from first principles whether its immutability is compatible with the broader objectives (</w:t>
      </w:r>
      <w:proofErr w:type="spellStart"/>
      <w:r>
        <w:rPr>
          <w:rFonts w:ascii="Sylfaen" w:eastAsia="Sylfaen" w:hAnsi="Sylfaen" w:cs="Sylfaen"/>
          <w:i/>
          <w:iCs/>
        </w:rPr>
        <w:t>Maqasid</w:t>
      </w:r>
      <w:proofErr w:type="spellEnd"/>
      <w:r>
        <w:rPr>
          <w:rFonts w:ascii="Sylfaen" w:eastAsia="Sylfaen" w:hAnsi="Sylfaen" w:cs="Sylfaen"/>
          <w:i/>
          <w:iCs/>
        </w:rPr>
        <w:t xml:space="preserve"> al-Sharia</w:t>
      </w:r>
      <w:r>
        <w:rPr>
          <w:rFonts w:ascii="Sylfaen" w:eastAsia="Sylfaen" w:hAnsi="Sylfaen" w:cs="Sylfaen"/>
        </w:rPr>
        <w:t>) of Islamic commercial law, including the protection of property (</w:t>
      </w:r>
      <w:proofErr w:type="spellStart"/>
      <w:r>
        <w:rPr>
          <w:rFonts w:ascii="Sylfaen" w:eastAsia="Sylfaen" w:hAnsi="Sylfaen" w:cs="Sylfaen"/>
          <w:i/>
          <w:iCs/>
        </w:rPr>
        <w:t>hifz</w:t>
      </w:r>
      <w:proofErr w:type="spellEnd"/>
      <w:r>
        <w:rPr>
          <w:rFonts w:ascii="Sylfaen" w:eastAsia="Sylfaen" w:hAnsi="Sylfaen" w:cs="Sylfaen"/>
          <w:i/>
          <w:iCs/>
        </w:rPr>
        <w:t xml:space="preserve"> al-mal</w:t>
      </w:r>
      <w:r>
        <w:rPr>
          <w:rFonts w:ascii="Sylfaen" w:eastAsia="Sylfaen" w:hAnsi="Sylfaen" w:cs="Sylfaen"/>
        </w:rPr>
        <w:t>) and the prevention of harm (</w:t>
      </w:r>
      <w:r>
        <w:rPr>
          <w:rFonts w:ascii="Sylfaen" w:eastAsia="Sylfaen" w:hAnsi="Sylfaen" w:cs="Sylfaen"/>
          <w:i/>
          <w:iCs/>
        </w:rPr>
        <w:t xml:space="preserve">la </w:t>
      </w:r>
      <w:proofErr w:type="spellStart"/>
      <w:r>
        <w:rPr>
          <w:rFonts w:ascii="Sylfaen" w:eastAsia="Sylfaen" w:hAnsi="Sylfaen" w:cs="Sylfaen"/>
          <w:i/>
          <w:iCs/>
        </w:rPr>
        <w:t>darar</w:t>
      </w:r>
      <w:proofErr w:type="spellEnd"/>
      <w:r>
        <w:rPr>
          <w:rFonts w:ascii="Sylfaen" w:eastAsia="Sylfaen" w:hAnsi="Sylfaen" w:cs="Sylfaen"/>
          <w:i/>
          <w:iCs/>
        </w:rPr>
        <w:t xml:space="preserve"> </w:t>
      </w:r>
      <w:proofErr w:type="spellStart"/>
      <w:r>
        <w:rPr>
          <w:rFonts w:ascii="Sylfaen" w:eastAsia="Sylfaen" w:hAnsi="Sylfaen" w:cs="Sylfaen"/>
          <w:i/>
          <w:iCs/>
        </w:rPr>
        <w:t>wa</w:t>
      </w:r>
      <w:proofErr w:type="spellEnd"/>
      <w:r>
        <w:rPr>
          <w:rFonts w:ascii="Sylfaen" w:eastAsia="Sylfaen" w:hAnsi="Sylfaen" w:cs="Sylfaen"/>
          <w:i/>
          <w:iCs/>
        </w:rPr>
        <w:t xml:space="preserve"> la </w:t>
      </w:r>
      <w:proofErr w:type="spellStart"/>
      <w:r>
        <w:rPr>
          <w:rFonts w:ascii="Sylfaen" w:eastAsia="Sylfaen" w:hAnsi="Sylfaen" w:cs="Sylfaen"/>
          <w:i/>
          <w:iCs/>
        </w:rPr>
        <w:t>dirar</w:t>
      </w:r>
      <w:proofErr w:type="spellEnd"/>
      <w:r>
        <w:rPr>
          <w:rFonts w:ascii="Sylfaen" w:eastAsia="Sylfaen" w:hAnsi="Sylfaen" w:cs="Sylfaen"/>
        </w:rPr>
        <w:t>) (Alkhamees, 2017). Until this classification is resolved, the question of whether the algorithmic enforcement of Sharia principles is itself Sharia-compliant remains open.</w:t>
      </w:r>
    </w:p>
    <w:p w14:paraId="09E60CDB" w14:textId="77777777" w:rsidR="002D338F" w:rsidRDefault="00D77C7F">
      <w:pPr>
        <w:spacing w:after="120" w:line="276" w:lineRule="auto"/>
        <w:ind w:firstLine="360"/>
        <w:jc w:val="both"/>
      </w:pPr>
      <w:r>
        <w:rPr>
          <w:rFonts w:ascii="Sylfaen" w:eastAsia="Sylfaen" w:hAnsi="Sylfaen" w:cs="Sylfaen"/>
        </w:rPr>
        <w:t>A third challenge concerns scholarly consensus on the settlement mechanisms that underpin smart Sukuk. Egypt’s Dar al-</w:t>
      </w:r>
      <w:proofErr w:type="spellStart"/>
      <w:r>
        <w:rPr>
          <w:rFonts w:ascii="Sylfaen" w:eastAsia="Sylfaen" w:hAnsi="Sylfaen" w:cs="Sylfaen"/>
        </w:rPr>
        <w:t>Iftaa</w:t>
      </w:r>
      <w:proofErr w:type="spellEnd"/>
      <w:r>
        <w:rPr>
          <w:rFonts w:ascii="Sylfaen" w:eastAsia="Sylfaen" w:hAnsi="Sylfaen" w:cs="Sylfaen"/>
        </w:rPr>
        <w:t xml:space="preserve"> has declared Bitcoin forbidden under Islamic law (Tawfeek, 2018), while the UK’s </w:t>
      </w:r>
      <w:proofErr w:type="spellStart"/>
      <w:r>
        <w:rPr>
          <w:rFonts w:ascii="Sylfaen" w:eastAsia="Sylfaen" w:hAnsi="Sylfaen" w:cs="Sylfaen"/>
        </w:rPr>
        <w:t>Wifaqul</w:t>
      </w:r>
      <w:proofErr w:type="spellEnd"/>
      <w:r>
        <w:rPr>
          <w:rFonts w:ascii="Sylfaen" w:eastAsia="Sylfaen" w:hAnsi="Sylfaen" w:cs="Sylfaen"/>
        </w:rPr>
        <w:t xml:space="preserve"> Ulama has ruled cryptocurrency permissible (Saleh, 2022). This divergence has direct implications: a smart Sukuk that settles in a cryptocurrency deemed </w:t>
      </w:r>
      <w:r>
        <w:rPr>
          <w:rFonts w:ascii="Sylfaen" w:eastAsia="Sylfaen" w:hAnsi="Sylfaen" w:cs="Sylfaen"/>
          <w:i/>
          <w:iCs/>
        </w:rPr>
        <w:t>haram</w:t>
      </w:r>
      <w:r>
        <w:rPr>
          <w:rFonts w:ascii="Sylfaen" w:eastAsia="Sylfaen" w:hAnsi="Sylfaen" w:cs="Sylfaen"/>
        </w:rPr>
        <w:t xml:space="preserve"> by an investor’s jurisdiction is, for that investor, non-compliant regardless of how perfectly the underlying contract is coded. Unlike the oracle problem, which concerns data accuracy, this divergence concerns the permissibility of the settlement asset itself, adding another layer to the relocation-of-trust thesis: the choice of settlement currency is a jurisprudential decision, not merely a technical one, since trust is placed not only in the code and its designers but also in the </w:t>
      </w:r>
      <w:proofErr w:type="spellStart"/>
      <w:r>
        <w:rPr>
          <w:rFonts w:ascii="Sylfaen" w:eastAsia="Sylfaen" w:hAnsi="Sylfaen" w:cs="Sylfaen"/>
          <w:i/>
          <w:iCs/>
        </w:rPr>
        <w:t>fiqhi</w:t>
      </w:r>
      <w:proofErr w:type="spellEnd"/>
      <w:r>
        <w:rPr>
          <w:rFonts w:ascii="Sylfaen" w:eastAsia="Sylfaen" w:hAnsi="Sylfaen" w:cs="Sylfaen"/>
        </w:rPr>
        <w:t xml:space="preserve"> (jurisprudential) acceptance of the settlement asset itself.</w:t>
      </w:r>
    </w:p>
    <w:p w14:paraId="5987F62A" w14:textId="77777777" w:rsidR="002D338F" w:rsidRPr="0021398C" w:rsidRDefault="00D77C7F" w:rsidP="0021398C">
      <w:pPr>
        <w:pStyle w:val="Heading2"/>
        <w:spacing w:before="240" w:after="240" w:line="276" w:lineRule="auto"/>
        <w:rPr>
          <w:rFonts w:ascii="Sylfaen" w:eastAsiaTheme="majorEastAsia" w:hAnsi="Sylfaen" w:cstheme="majorBidi"/>
          <w:b/>
          <w:color w:val="000000" w:themeColor="text1"/>
          <w:sz w:val="24"/>
          <w:lang w:val="en-GB"/>
        </w:rPr>
      </w:pPr>
      <w:r w:rsidRPr="0021398C">
        <w:rPr>
          <w:rFonts w:ascii="Sylfaen" w:eastAsiaTheme="majorEastAsia" w:hAnsi="Sylfaen" w:cstheme="majorBidi"/>
          <w:b/>
          <w:color w:val="000000" w:themeColor="text1"/>
          <w:sz w:val="24"/>
          <w:lang w:val="en-GB"/>
        </w:rPr>
        <w:t>6. The Oracle Problem and the Limits of Algorithmic Compliance</w:t>
      </w:r>
    </w:p>
    <w:p w14:paraId="4FFB8379" w14:textId="77777777" w:rsidR="002D338F" w:rsidRDefault="00D77C7F">
      <w:pPr>
        <w:spacing w:after="120" w:line="276" w:lineRule="auto"/>
        <w:jc w:val="both"/>
      </w:pPr>
      <w:r>
        <w:rPr>
          <w:rFonts w:ascii="Sylfaen" w:eastAsia="Sylfaen" w:hAnsi="Sylfaen" w:cs="Sylfaen"/>
        </w:rPr>
        <w:t xml:space="preserve">The limitations identified above converge on a single, fundamental problem that blockchain engineers call the ‘oracle problem’ (Iftikhar and Saba, 2020; Delle </w:t>
      </w:r>
      <w:proofErr w:type="spellStart"/>
      <w:r>
        <w:rPr>
          <w:rFonts w:ascii="Sylfaen" w:eastAsia="Sylfaen" w:hAnsi="Sylfaen" w:cs="Sylfaen"/>
        </w:rPr>
        <w:t>Foglie</w:t>
      </w:r>
      <w:proofErr w:type="spellEnd"/>
      <w:r>
        <w:rPr>
          <w:rFonts w:ascii="Sylfaen" w:eastAsia="Sylfaen" w:hAnsi="Sylfaen" w:cs="Sylfaen"/>
        </w:rPr>
        <w:t xml:space="preserve"> et al., 2021). A smart contract can enforce the terms programmed into it, but it cannot independently verify that the real world conforms to the data it receives (Bashir, 2018). The contract relies on an oracle, that is a third-party data feed, to supply it with information about off-chain events: whether an asset exists, whether it remains Sharia-compliant, whether a payment has been made in the physical world. If the oracle reports that a property underlying an </w:t>
      </w:r>
      <w:proofErr w:type="spellStart"/>
      <w:r>
        <w:rPr>
          <w:rFonts w:ascii="Sylfaen" w:eastAsia="Sylfaen" w:hAnsi="Sylfaen" w:cs="Sylfaen"/>
          <w:i/>
          <w:iCs/>
        </w:rPr>
        <w:t>Ijara</w:t>
      </w:r>
      <w:proofErr w:type="spellEnd"/>
      <w:r>
        <w:rPr>
          <w:rFonts w:ascii="Sylfaen" w:eastAsia="Sylfaen" w:hAnsi="Sylfaen" w:cs="Sylfaen"/>
        </w:rPr>
        <w:t xml:space="preserve"> Sukuk is being used in compliance with Sharia, the smart contract will continue executing rental payments accordingly, even if the property has, in fact, been converted to a non-compliant use. The Sharia violation occurs in the physical world, remains invisible on-chain, and generates distributions that investors receive without indication </w:t>
      </w:r>
      <w:r>
        <w:rPr>
          <w:rFonts w:ascii="Sylfaen" w:eastAsia="Sylfaen" w:hAnsi="Sylfaen" w:cs="Sylfaen"/>
        </w:rPr>
        <w:lastRenderedPageBreak/>
        <w:t xml:space="preserve">that the instrument has ceased to be compliant. This reproduces, at a deeper layer, the very divergence between form and economic substance that smart Sukuk were designed to </w:t>
      </w:r>
      <w:proofErr w:type="gramStart"/>
      <w:r>
        <w:rPr>
          <w:rFonts w:ascii="Sylfaen" w:eastAsia="Sylfaen" w:hAnsi="Sylfaen" w:cs="Sylfaen"/>
        </w:rPr>
        <w:t>eliminate:</w:t>
      </w:r>
      <w:proofErr w:type="gramEnd"/>
      <w:r>
        <w:rPr>
          <w:rFonts w:ascii="Sylfaen" w:eastAsia="Sylfaen" w:hAnsi="Sylfaen" w:cs="Sylfaen"/>
        </w:rPr>
        <w:t xml:space="preserve"> trust that was removed from the auditor and the legal document is now concentrated in the oracle provider, relocated rather than eliminated (Delle Foglie et al., 2021; Iftikhar and Saba, 2020).</w:t>
      </w:r>
    </w:p>
    <w:p w14:paraId="7EEF871B" w14:textId="77777777" w:rsidR="002D338F" w:rsidRDefault="00D77C7F">
      <w:pPr>
        <w:spacing w:before="200" w:after="60"/>
        <w:jc w:val="center"/>
      </w:pPr>
      <w:r>
        <w:rPr>
          <w:noProof/>
        </w:rPr>
        <w:drawing>
          <wp:inline distT="0" distB="0" distL="0" distR="0" wp14:anchorId="0577E858" wp14:editId="3C1BA71A">
            <wp:extent cx="5562600" cy="2567940"/>
            <wp:effectExtent l="0" t="0" r="0" b="3810"/>
            <wp:docPr id="717535534" name="Picture 717535534" descr="Diagram of the oracle problem, split between an off-chain real-world area and an on-chain blockchain area. Off-chain, a physical asset such as a property has a use that may or may not be Sharia-compliant. Data about that use is passed to an oracle, a third-party data feed positioned between the two areas, which in turn triggers the on-chain smart contract to auto-execute and write to a payment and compliance log. The question placed at the centre of the diagram is who verifies the oracle. The diagram concludes that the trust problem is not eliminated but relocated from the auditor to the oracle provi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7097680" cy="3276600"/>
                    </a:xfrm>
                    <a:prstGeom prst="rect">
                      <a:avLst/>
                    </a:prstGeom>
                  </pic:spPr>
                </pic:pic>
              </a:graphicData>
            </a:graphic>
          </wp:inline>
        </w:drawing>
      </w:r>
    </w:p>
    <w:p w14:paraId="461F01F5" w14:textId="77777777" w:rsidR="002D338F" w:rsidRDefault="00D77C7F">
      <w:pPr>
        <w:pStyle w:val="Caption"/>
      </w:pPr>
      <w:r>
        <w:t xml:space="preserve">Figure </w:t>
      </w:r>
      <w:r>
        <w:fldChar w:fldCharType="begin"/>
      </w:r>
      <w:r>
        <w:instrText xml:space="preserve"> SEQ Figure \* ARABIC </w:instrText>
      </w:r>
      <w:r>
        <w:fldChar w:fldCharType="separate"/>
      </w:r>
      <w:r>
        <w:rPr>
          <w:noProof/>
        </w:rPr>
        <w:t>3</w:t>
      </w:r>
      <w:r>
        <w:rPr>
          <w:noProof/>
        </w:rPr>
        <w:fldChar w:fldCharType="end"/>
      </w:r>
      <w:r>
        <w:t>. The Oracle Problem: On-Chain vs. Off-Chain Reality. Source: Author’s illustration.</w:t>
      </w:r>
    </w:p>
    <w:p w14:paraId="2E9AE441" w14:textId="77777777" w:rsidR="002D338F" w:rsidRDefault="00D77C7F">
      <w:pPr>
        <w:spacing w:after="120" w:line="276" w:lineRule="auto"/>
        <w:ind w:firstLine="360"/>
        <w:jc w:val="both"/>
      </w:pPr>
      <w:r>
        <w:rPr>
          <w:rFonts w:ascii="Sylfaen" w:eastAsia="Sylfaen" w:hAnsi="Sylfaen" w:cs="Sylfaen"/>
        </w:rPr>
        <w:t xml:space="preserve">The oracle problem is not necessarily as intractable as it may </w:t>
      </w:r>
      <w:proofErr w:type="gramStart"/>
      <w:r>
        <w:rPr>
          <w:rFonts w:ascii="Sylfaen" w:eastAsia="Sylfaen" w:hAnsi="Sylfaen" w:cs="Sylfaen"/>
        </w:rPr>
        <w:t>appear:</w:t>
      </w:r>
      <w:proofErr w:type="gramEnd"/>
      <w:r>
        <w:rPr>
          <w:rFonts w:ascii="Sylfaen" w:eastAsia="Sylfaen" w:hAnsi="Sylfaen" w:cs="Sylfaen"/>
        </w:rPr>
        <w:t xml:space="preserve"> oracles can be </w:t>
      </w:r>
      <w:proofErr w:type="spellStart"/>
      <w:r>
        <w:rPr>
          <w:rFonts w:ascii="Sylfaen" w:eastAsia="Sylfaen" w:hAnsi="Sylfaen" w:cs="Sylfaen"/>
        </w:rPr>
        <w:t>decentralised</w:t>
      </w:r>
      <w:proofErr w:type="spellEnd"/>
      <w:r>
        <w:rPr>
          <w:rFonts w:ascii="Sylfaen" w:eastAsia="Sylfaen" w:hAnsi="Sylfaen" w:cs="Sylfaen"/>
        </w:rPr>
        <w:t xml:space="preserve"> or Sharia board-governed, and IoT-based asset monitoring can narrow the on-chain/off-chain gap, while traditional Sukuk verification is not inherently more reliable, since Sharia auditors already depend on issuer disclosures that can be incomplete or misleading (Alkhamees, 2017). Nevertheless, the oracle problem remains a significant concern, and its significance follows directly from what smart Sukuk claim to achieve: if their purpose is to make Sharia compliance continuous and algorithmically enforced rather than dependent on periodic auditing, any mechanism that reintroduces human-mediated trust at the data layer undermines that central claim. It strikes at the heart of the smart Sukuk proposition. The oracle problem reveals that human judgement has not been removed from the system but pushed upstream, from the auditor to the oracle provider who feeds data into the chain. The answer to who ensures the oracle is telling the truth is inevitably another human institution. This is what this article terms ‘architectural mimicry’: even as smart Sukuk genuinely improve certain compliance processes, the fundamental challenge of verifying real-world Sharia compliance is relocated rather than resolved. Saudi Arabia’s emerging model, where a state land registry becomes the authoritative on-chain data source (Section 4), illustrates one response: oracle reliability shifts from a private intermediary to sovereign infrastructure, relocating the problem again rather than resolving it, a further instance of architectural mimicry.</w:t>
      </w:r>
    </w:p>
    <w:p w14:paraId="073359B3" w14:textId="77777777" w:rsidR="002D338F" w:rsidRDefault="00D77C7F">
      <w:pPr>
        <w:spacing w:after="120" w:line="276" w:lineRule="auto"/>
        <w:ind w:firstLine="360"/>
        <w:jc w:val="both"/>
        <w:rPr>
          <w:rFonts w:ascii="Sylfaen" w:eastAsia="Sylfaen" w:hAnsi="Sylfaen" w:cs="Sylfaen"/>
        </w:rPr>
      </w:pPr>
      <w:r>
        <w:rPr>
          <w:rFonts w:ascii="Sylfaen" w:eastAsia="Sylfaen" w:hAnsi="Sylfaen" w:cs="Sylfaen"/>
        </w:rPr>
        <w:t xml:space="preserve">Two further limitations reinforce this concern. First, a code error in a deployed smart contract, unlike a documentation error in a traditional Sukuk, may be uncorrectable and may already have triggered irreversible distributions, creating a class of Sharia risk with no precedent in classical </w:t>
      </w:r>
      <w:proofErr w:type="spellStart"/>
      <w:r>
        <w:rPr>
          <w:rFonts w:ascii="Sylfaen" w:eastAsia="Sylfaen" w:hAnsi="Sylfaen" w:cs="Sylfaen"/>
        </w:rPr>
        <w:t>fiqh</w:t>
      </w:r>
      <w:proofErr w:type="spellEnd"/>
      <w:r>
        <w:rPr>
          <w:rFonts w:ascii="Sylfaen" w:eastAsia="Sylfaen" w:hAnsi="Sylfaen" w:cs="Sylfaen"/>
        </w:rPr>
        <w:t xml:space="preserve">; prohibitive infrastructure costs further concentrate decisions about code architecture and Sharia </w:t>
      </w:r>
      <w:proofErr w:type="spellStart"/>
      <w:r>
        <w:rPr>
          <w:rFonts w:ascii="Sylfaen" w:eastAsia="Sylfaen" w:hAnsi="Sylfaen" w:cs="Sylfaen"/>
        </w:rPr>
        <w:lastRenderedPageBreak/>
        <w:t>parameterisation</w:t>
      </w:r>
      <w:proofErr w:type="spellEnd"/>
      <w:r>
        <w:rPr>
          <w:rFonts w:ascii="Sylfaen" w:eastAsia="Sylfaen" w:hAnsi="Sylfaen" w:cs="Sylfaen"/>
        </w:rPr>
        <w:t xml:space="preserve"> in a small number of well-resourced institutions (Hamza, 2020). Second, even the most advanced implementations, from Al Hilal Bank’s $1 million issuance (2018) to Saudi Arabia’s sandbox-phase sovereign </w:t>
      </w:r>
      <w:proofErr w:type="spellStart"/>
      <w:r>
        <w:rPr>
          <w:rFonts w:ascii="Sylfaen" w:eastAsia="Sylfaen" w:hAnsi="Sylfaen" w:cs="Sylfaen"/>
        </w:rPr>
        <w:t>tokenisation</w:t>
      </w:r>
      <w:proofErr w:type="spellEnd"/>
      <w:r>
        <w:rPr>
          <w:rFonts w:ascii="Sylfaen" w:eastAsia="Sylfaen" w:hAnsi="Sylfaen" w:cs="Sylfaen"/>
        </w:rPr>
        <w:t xml:space="preserve"> (2026), remain pilots; whether their compliance benefits hold under institutional-scale volumes and secondary-market trading pressure remains untested, and this gap between pilot success and institutional viability is the technology’s most practical limitation (Delle </w:t>
      </w:r>
      <w:proofErr w:type="spellStart"/>
      <w:r>
        <w:rPr>
          <w:rFonts w:ascii="Sylfaen" w:eastAsia="Sylfaen" w:hAnsi="Sylfaen" w:cs="Sylfaen"/>
        </w:rPr>
        <w:t>Foglie</w:t>
      </w:r>
      <w:proofErr w:type="spellEnd"/>
      <w:r>
        <w:rPr>
          <w:rFonts w:ascii="Sylfaen" w:eastAsia="Sylfaen" w:hAnsi="Sylfaen" w:cs="Sylfaen"/>
        </w:rPr>
        <w:t xml:space="preserve"> et al., 2021).</w:t>
      </w:r>
    </w:p>
    <w:p w14:paraId="5804D176" w14:textId="77777777" w:rsidR="002D338F" w:rsidRPr="00C2431E" w:rsidRDefault="00D77C7F" w:rsidP="00C2431E">
      <w:pPr>
        <w:pStyle w:val="Heading2"/>
        <w:spacing w:before="240" w:after="240" w:line="276" w:lineRule="auto"/>
        <w:rPr>
          <w:rFonts w:ascii="Sylfaen" w:eastAsiaTheme="majorEastAsia" w:hAnsi="Sylfaen" w:cstheme="majorBidi"/>
          <w:b/>
          <w:color w:val="000000" w:themeColor="text1"/>
          <w:sz w:val="24"/>
          <w:lang w:val="en-GB"/>
        </w:rPr>
      </w:pPr>
      <w:r w:rsidRPr="00C2431E">
        <w:rPr>
          <w:rFonts w:ascii="Sylfaen" w:eastAsiaTheme="majorEastAsia" w:hAnsi="Sylfaen" w:cstheme="majorBidi"/>
          <w:b/>
          <w:color w:val="000000" w:themeColor="text1"/>
          <w:sz w:val="24"/>
          <w:lang w:val="en-GB"/>
        </w:rPr>
        <w:t>7. Conclusion</w:t>
      </w:r>
    </w:p>
    <w:p w14:paraId="4BE486DD" w14:textId="77777777" w:rsidR="002D338F" w:rsidRDefault="00D77C7F">
      <w:pPr>
        <w:spacing w:after="120" w:line="276" w:lineRule="auto"/>
        <w:jc w:val="both"/>
      </w:pPr>
      <w:r>
        <w:rPr>
          <w:rFonts w:ascii="Sylfaen" w:eastAsia="Sylfaen" w:hAnsi="Sylfaen" w:cs="Sylfaen"/>
        </w:rPr>
        <w:t>This article has traced a trajectory from legal mimicry, through algorithmic integrity, to what it has called architectural mimicry: the partial relocation of certain trust problems into a new technological form, even as other dimensions of compliance, including transfer costs, transparency, and financial inclusion, are genuinely improved.</w:t>
      </w:r>
    </w:p>
    <w:p w14:paraId="1916B4D0" w14:textId="77777777" w:rsidR="002D338F" w:rsidRDefault="00D77C7F">
      <w:pPr>
        <w:spacing w:after="120" w:line="276" w:lineRule="auto"/>
        <w:ind w:firstLine="360"/>
        <w:jc w:val="both"/>
      </w:pPr>
      <w:r>
        <w:rPr>
          <w:rFonts w:ascii="Sylfaen" w:eastAsia="Sylfaen" w:hAnsi="Sylfaen" w:cs="Sylfaen"/>
        </w:rPr>
        <w:t xml:space="preserve">The oracle problem and the unresolved jurisprudential questions surrounding </w:t>
      </w:r>
      <w:r>
        <w:rPr>
          <w:rFonts w:ascii="Sylfaen" w:eastAsia="Sylfaen" w:hAnsi="Sylfaen" w:cs="Sylfaen"/>
          <w:i/>
          <w:iCs/>
        </w:rPr>
        <w:t>Iqala</w:t>
      </w:r>
      <w:r>
        <w:rPr>
          <w:rFonts w:ascii="Sylfaen" w:eastAsia="Sylfaen" w:hAnsi="Sylfaen" w:cs="Sylfaen"/>
        </w:rPr>
        <w:t xml:space="preserve">, </w:t>
      </w:r>
      <w:r>
        <w:rPr>
          <w:rFonts w:ascii="Sylfaen" w:eastAsia="Sylfaen" w:hAnsi="Sylfaen" w:cs="Sylfaen"/>
          <w:i/>
          <w:iCs/>
        </w:rPr>
        <w:t>madhhab</w:t>
      </w:r>
      <w:r>
        <w:rPr>
          <w:rFonts w:ascii="Sylfaen" w:eastAsia="Sylfaen" w:hAnsi="Sylfaen" w:cs="Sylfaen"/>
        </w:rPr>
        <w:t xml:space="preserve"> variation, and the classification of smart contracts as </w:t>
      </w:r>
      <w:r>
        <w:rPr>
          <w:rFonts w:ascii="Sylfaen" w:eastAsia="Sylfaen" w:hAnsi="Sylfaen" w:cs="Sylfaen"/>
          <w:i/>
          <w:iCs/>
        </w:rPr>
        <w:t>al</w:t>
      </w:r>
      <w:proofErr w:type="gramStart"/>
      <w:r>
        <w:rPr>
          <w:rFonts w:ascii="Sylfaen" w:eastAsia="Sylfaen" w:hAnsi="Sylfaen" w:cs="Sylfaen"/>
          <w:i/>
          <w:iCs/>
        </w:rPr>
        <w:t>-‘</w:t>
      </w:r>
      <w:proofErr w:type="spellStart"/>
      <w:proofErr w:type="gramEnd"/>
      <w:r>
        <w:rPr>
          <w:rFonts w:ascii="Sylfaen" w:eastAsia="Sylfaen" w:hAnsi="Sylfaen" w:cs="Sylfaen"/>
          <w:i/>
          <w:iCs/>
        </w:rPr>
        <w:t>uqud</w:t>
      </w:r>
      <w:proofErr w:type="spellEnd"/>
      <w:r>
        <w:rPr>
          <w:rFonts w:ascii="Sylfaen" w:eastAsia="Sylfaen" w:hAnsi="Sylfaen" w:cs="Sylfaen"/>
          <w:i/>
          <w:iCs/>
        </w:rPr>
        <w:t xml:space="preserve"> al-</w:t>
      </w:r>
      <w:proofErr w:type="spellStart"/>
      <w:r>
        <w:rPr>
          <w:rFonts w:ascii="Sylfaen" w:eastAsia="Sylfaen" w:hAnsi="Sylfaen" w:cs="Sylfaen"/>
          <w:i/>
          <w:iCs/>
        </w:rPr>
        <w:t>mustajiddah</w:t>
      </w:r>
      <w:proofErr w:type="spellEnd"/>
      <w:r>
        <w:rPr>
          <w:rFonts w:ascii="Sylfaen" w:eastAsia="Sylfaen" w:hAnsi="Sylfaen" w:cs="Sylfaen"/>
        </w:rPr>
        <w:t xml:space="preserve"> demonstrate that algorithmic enforcement cannot substitute for the human judgements that ultimately determine whether an instrument is genuinely Islamic. This is not a reason to reject the technology but to redirect its governance: relocating trust to the design stage, where Sharia scholars must approve code architecture before deployment, is arguably more rigorous than a system of periodic post-issuance auditing, provided that governance is technically literate enough to interrogate the code itself rather than merely the label attached to it. The question of whether a prior waiver of termination rights constitutes a permissible </w:t>
      </w:r>
      <w:proofErr w:type="spellStart"/>
      <w:r>
        <w:rPr>
          <w:rFonts w:ascii="Sylfaen" w:eastAsia="Sylfaen" w:hAnsi="Sylfaen" w:cs="Sylfaen"/>
          <w:i/>
          <w:iCs/>
        </w:rPr>
        <w:t>shart</w:t>
      </w:r>
      <w:proofErr w:type="spellEnd"/>
      <w:r>
        <w:rPr>
          <w:rFonts w:ascii="Sylfaen" w:eastAsia="Sylfaen" w:hAnsi="Sylfaen" w:cs="Sylfaen"/>
        </w:rPr>
        <w:t xml:space="preserve"> or an impermissible restriction under Sharia, and whether the answer varies by </w:t>
      </w:r>
      <w:r>
        <w:rPr>
          <w:rFonts w:ascii="Sylfaen" w:eastAsia="Sylfaen" w:hAnsi="Sylfaen" w:cs="Sylfaen"/>
          <w:i/>
          <w:iCs/>
        </w:rPr>
        <w:t>madhhab</w:t>
      </w:r>
      <w:r>
        <w:rPr>
          <w:rFonts w:ascii="Sylfaen" w:eastAsia="Sylfaen" w:hAnsi="Sylfaen" w:cs="Sylfaen"/>
        </w:rPr>
        <w:t xml:space="preserve"> in ways that </w:t>
      </w:r>
      <w:proofErr w:type="spellStart"/>
      <w:r>
        <w:rPr>
          <w:rFonts w:ascii="Sylfaen" w:eastAsia="Sylfaen" w:hAnsi="Sylfaen" w:cs="Sylfaen"/>
        </w:rPr>
        <w:t>standardised</w:t>
      </w:r>
      <w:proofErr w:type="spellEnd"/>
      <w:r>
        <w:rPr>
          <w:rFonts w:ascii="Sylfaen" w:eastAsia="Sylfaen" w:hAnsi="Sylfaen" w:cs="Sylfaen"/>
        </w:rPr>
        <w:t xml:space="preserve"> code cannot accommodate, remains the field’s most pressing unresolved problem.</w:t>
      </w:r>
    </w:p>
    <w:p w14:paraId="172351F4" w14:textId="77777777" w:rsidR="002D338F" w:rsidRDefault="00D77C7F">
      <w:pPr>
        <w:spacing w:after="120" w:line="276" w:lineRule="auto"/>
        <w:ind w:firstLine="360"/>
        <w:jc w:val="both"/>
      </w:pPr>
      <w:r>
        <w:rPr>
          <w:rFonts w:ascii="Sylfaen" w:eastAsia="Sylfaen" w:hAnsi="Sylfaen" w:cs="Sylfaen"/>
        </w:rPr>
        <w:t>The ultimate question is not whether code can replace contracts, but whether the institutions of Islamic finance can adapt quickly enough to govern algorithmic finance. If they can, smart Sukuk may move the industry beyond what Alkhamees (2017) calls creative Shariah compliance. If not, algorithmic integrity may give way to a new form of legal mimicry.</w:t>
      </w:r>
    </w:p>
    <w:p w14:paraId="410BAE92" w14:textId="77777777" w:rsidR="002D338F" w:rsidRDefault="00D77C7F">
      <w:r>
        <w:br w:type="page"/>
      </w:r>
    </w:p>
    <w:p w14:paraId="7834E1F7" w14:textId="77777777" w:rsidR="002D338F" w:rsidRPr="00C2431E" w:rsidRDefault="00D77C7F" w:rsidP="00C2431E">
      <w:pPr>
        <w:pStyle w:val="Heading2"/>
        <w:spacing w:before="240" w:after="240" w:line="276" w:lineRule="auto"/>
        <w:rPr>
          <w:rFonts w:ascii="Sylfaen" w:eastAsiaTheme="majorEastAsia" w:hAnsi="Sylfaen" w:cstheme="majorBidi"/>
          <w:b/>
          <w:color w:val="000000" w:themeColor="text1"/>
          <w:sz w:val="24"/>
          <w:lang w:val="en-GB"/>
        </w:rPr>
      </w:pPr>
      <w:r w:rsidRPr="00C2431E">
        <w:rPr>
          <w:rFonts w:ascii="Sylfaen" w:eastAsiaTheme="majorEastAsia" w:hAnsi="Sylfaen" w:cstheme="majorBidi"/>
          <w:b/>
          <w:color w:val="000000" w:themeColor="text1"/>
          <w:sz w:val="24"/>
          <w:lang w:val="en-GB"/>
        </w:rPr>
        <w:lastRenderedPageBreak/>
        <w:t>Acknowledgements</w:t>
      </w:r>
    </w:p>
    <w:p w14:paraId="1FCDB326" w14:textId="77777777" w:rsidR="002D338F" w:rsidRDefault="00D77C7F">
      <w:pPr>
        <w:spacing w:after="120" w:line="276" w:lineRule="auto"/>
        <w:jc w:val="both"/>
      </w:pPr>
      <w:r>
        <w:rPr>
          <w:rFonts w:ascii="Sylfaen" w:hAnsi="Sylfaen"/>
          <w:i/>
        </w:rPr>
        <w:t>I would like to thank Dr. Mohammed Khair Alshaleel for his valuable feedback on an earlier draft of this article.</w:t>
      </w:r>
    </w:p>
    <w:p w14:paraId="10893F85" w14:textId="1A0199FA" w:rsidR="002D338F" w:rsidRDefault="00D77C7F" w:rsidP="00AE6452">
      <w:pPr>
        <w:spacing w:before="240" w:after="120"/>
      </w:pPr>
      <w:r>
        <w:rPr>
          <w:rFonts w:ascii="Sylfaen" w:hAnsi="Sylfaen"/>
          <w:b/>
          <w:sz w:val="24"/>
        </w:rPr>
        <w:t>AI Statement</w:t>
      </w:r>
      <w:r>
        <w:rPr>
          <w:rFonts w:ascii="Sylfaen" w:eastAsia="Sylfaen" w:hAnsi="Sylfaen" w:cs="Sylfaen"/>
        </w:rPr>
        <w:t>.</w:t>
      </w:r>
    </w:p>
    <w:p w14:paraId="7C567CD9" w14:textId="77777777" w:rsidR="002D338F" w:rsidRPr="00C2431E" w:rsidRDefault="00D77C7F" w:rsidP="00C2431E">
      <w:pPr>
        <w:pStyle w:val="Heading2"/>
        <w:spacing w:before="240" w:after="240" w:line="276" w:lineRule="auto"/>
        <w:rPr>
          <w:rFonts w:ascii="Sylfaen" w:eastAsiaTheme="majorEastAsia" w:hAnsi="Sylfaen" w:cstheme="majorBidi"/>
          <w:b/>
          <w:color w:val="000000" w:themeColor="text1"/>
          <w:sz w:val="24"/>
          <w:lang w:val="en-GB"/>
        </w:rPr>
      </w:pPr>
      <w:r w:rsidRPr="00C2431E">
        <w:rPr>
          <w:rFonts w:ascii="Sylfaen" w:eastAsiaTheme="majorEastAsia" w:hAnsi="Sylfaen" w:cstheme="majorBidi"/>
          <w:b/>
          <w:color w:val="000000" w:themeColor="text1"/>
          <w:sz w:val="24"/>
          <w:lang w:val="en-GB"/>
        </w:rPr>
        <w:t>References</w:t>
      </w:r>
    </w:p>
    <w:p w14:paraId="1D007F21" w14:textId="4DAF4380" w:rsidR="002D338F" w:rsidRDefault="00D77C7F">
      <w:pPr>
        <w:spacing w:after="80"/>
        <w:ind w:left="480" w:hanging="480"/>
      </w:pPr>
      <w:r>
        <w:rPr>
          <w:rFonts w:ascii="Sylfaen" w:eastAsia="Sylfaen" w:hAnsi="Sylfaen" w:cs="Sylfaen"/>
        </w:rPr>
        <w:t xml:space="preserve">AAOIFI (2017) </w:t>
      </w:r>
      <w:proofErr w:type="spellStart"/>
      <w:r>
        <w:rPr>
          <w:rFonts w:ascii="Sylfaen" w:eastAsia="Sylfaen" w:hAnsi="Sylfaen" w:cs="Sylfaen"/>
          <w:i/>
          <w:iCs/>
        </w:rPr>
        <w:t>Shari’ah</w:t>
      </w:r>
      <w:proofErr w:type="spellEnd"/>
      <w:r>
        <w:rPr>
          <w:rFonts w:ascii="Sylfaen" w:eastAsia="Sylfaen" w:hAnsi="Sylfaen" w:cs="Sylfaen"/>
          <w:i/>
          <w:iCs/>
        </w:rPr>
        <w:t xml:space="preserve"> Standards</w:t>
      </w:r>
      <w:r>
        <w:rPr>
          <w:rFonts w:ascii="Sylfaen" w:eastAsia="Sylfaen" w:hAnsi="Sylfaen" w:cs="Sylfaen"/>
        </w:rPr>
        <w:t xml:space="preserve">. Manama: Dar </w:t>
      </w:r>
      <w:proofErr w:type="spellStart"/>
      <w:r>
        <w:rPr>
          <w:rFonts w:ascii="Sylfaen" w:eastAsia="Sylfaen" w:hAnsi="Sylfaen" w:cs="Sylfaen"/>
        </w:rPr>
        <w:t>AlMaiman</w:t>
      </w:r>
      <w:proofErr w:type="spellEnd"/>
      <w:r>
        <w:rPr>
          <w:rFonts w:ascii="Sylfaen" w:eastAsia="Sylfaen" w:hAnsi="Sylfaen" w:cs="Sylfaen"/>
        </w:rPr>
        <w:t xml:space="preserve"> for Publishing &amp; Distributing. Available at: </w:t>
      </w:r>
      <w:hyperlink r:id="rId13" w:history="1">
        <w:r>
          <w:rPr>
            <w:rStyle w:val="Hyperlink"/>
            <w:rFonts w:ascii="Sylfaen" w:eastAsia="Sylfaen" w:hAnsi="Sylfaen" w:cs="Sylfaen"/>
          </w:rPr>
          <w:t>https://aaoifi.com/shariaa-standards/?lang=en</w:t>
        </w:r>
      </w:hyperlink>
      <w:r>
        <w:rPr>
          <w:rFonts w:ascii="Sylfaen" w:eastAsia="Sylfaen" w:hAnsi="Sylfaen" w:cs="Sylfaen"/>
        </w:rPr>
        <w:t xml:space="preserve"> </w:t>
      </w:r>
    </w:p>
    <w:p w14:paraId="3719D6DA" w14:textId="64F817DA" w:rsidR="002D338F" w:rsidRDefault="00D77C7F">
      <w:pPr>
        <w:spacing w:after="80"/>
        <w:ind w:left="480" w:hanging="480"/>
      </w:pPr>
      <w:r>
        <w:rPr>
          <w:rFonts w:ascii="Sylfaen" w:eastAsia="Sylfaen" w:hAnsi="Sylfaen" w:cs="Sylfaen"/>
        </w:rPr>
        <w:t xml:space="preserve">Al Hilal Bank (2018) ‘Al Hilal Bank executes the world’s first Blockchain Sukuk transaction’. Available at: </w:t>
      </w:r>
      <w:hyperlink r:id="rId14" w:history="1">
        <w:r>
          <w:rPr>
            <w:rStyle w:val="Hyperlink"/>
            <w:rFonts w:ascii="Sylfaen" w:eastAsia="Sylfaen" w:hAnsi="Sylfaen" w:cs="Sylfaen"/>
          </w:rPr>
          <w:t>https://www.alhilalbank.ae/en/news/2018/november/al-hilal-bank-executes-the-worlds-first-blockchain-Sukuk-transaction.aspx</w:t>
        </w:r>
      </w:hyperlink>
      <w:r>
        <w:rPr>
          <w:rFonts w:ascii="Sylfaen" w:eastAsia="Sylfaen" w:hAnsi="Sylfaen" w:cs="Sylfaen"/>
        </w:rPr>
        <w:t xml:space="preserve"> </w:t>
      </w:r>
    </w:p>
    <w:p w14:paraId="75543612" w14:textId="4458892F" w:rsidR="002D338F" w:rsidRDefault="00D77C7F">
      <w:pPr>
        <w:spacing w:after="60" w:line="276" w:lineRule="auto"/>
        <w:ind w:left="567" w:hanging="567"/>
      </w:pPr>
      <w:r>
        <w:rPr>
          <w:rFonts w:ascii="Sylfaen" w:hAnsi="Sylfaen"/>
        </w:rPr>
        <w:t xml:space="preserve">Fitch Ratings (2025) ‘Global Outstanding Sukuk to Cross USD1 Trillion in 2025; Overall Credit Profile Stable’, 8 January. Available at: </w:t>
      </w:r>
      <w:hyperlink r:id="rId15" w:history="1">
        <w:r>
          <w:rPr>
            <w:rStyle w:val="Hyperlink"/>
            <w:rFonts w:ascii="Sylfaen" w:hAnsi="Sylfaen"/>
          </w:rPr>
          <w:t>https://www.fitchratings.com/research/islamic-finance/global-outstanding-sukuk-to-cross-usd1-trillion-in-2025-overall-credit-profile-stable-08-01-2025</w:t>
        </w:r>
      </w:hyperlink>
      <w:r>
        <w:rPr>
          <w:rFonts w:ascii="Sylfaen" w:hAnsi="Sylfaen"/>
        </w:rPr>
        <w:t xml:space="preserve"> </w:t>
      </w:r>
    </w:p>
    <w:p w14:paraId="3AAB3851" w14:textId="77777777" w:rsidR="002D338F" w:rsidRDefault="00D77C7F">
      <w:pPr>
        <w:spacing w:after="60" w:line="276" w:lineRule="auto"/>
        <w:ind w:left="567" w:hanging="567"/>
      </w:pPr>
      <w:r>
        <w:rPr>
          <w:rFonts w:ascii="Sylfaen" w:hAnsi="Sylfaen"/>
        </w:rPr>
        <w:t xml:space="preserve">Alkhamees, A. (2017) </w:t>
      </w:r>
      <w:r>
        <w:rPr>
          <w:rFonts w:ascii="Sylfaen" w:hAnsi="Sylfaen"/>
          <w:i/>
        </w:rPr>
        <w:t xml:space="preserve">A Critique of Creative </w:t>
      </w:r>
      <w:proofErr w:type="spellStart"/>
      <w:r>
        <w:rPr>
          <w:rFonts w:ascii="Sylfaen" w:hAnsi="Sylfaen"/>
          <w:i/>
        </w:rPr>
        <w:t>Sharīʿah</w:t>
      </w:r>
      <w:proofErr w:type="spellEnd"/>
      <w:r>
        <w:rPr>
          <w:rFonts w:ascii="Sylfaen" w:hAnsi="Sylfaen"/>
          <w:i/>
        </w:rPr>
        <w:t xml:space="preserve"> Compliance in the Islamic Finance Industry</w:t>
      </w:r>
      <w:r>
        <w:rPr>
          <w:rFonts w:ascii="Sylfaen" w:hAnsi="Sylfaen"/>
        </w:rPr>
        <w:t xml:space="preserve">. Leiden: Brill. </w:t>
      </w:r>
      <w:proofErr w:type="spellStart"/>
      <w:r>
        <w:rPr>
          <w:rFonts w:ascii="Sylfaen" w:hAnsi="Sylfaen"/>
        </w:rPr>
        <w:t>doi</w:t>
      </w:r>
      <w:proofErr w:type="spellEnd"/>
      <w:r>
        <w:rPr>
          <w:rFonts w:ascii="Sylfaen" w:hAnsi="Sylfaen"/>
        </w:rPr>
        <w:t>: 10.1163/9789004344433</w:t>
      </w:r>
    </w:p>
    <w:p w14:paraId="559C44EE" w14:textId="77777777" w:rsidR="002D338F" w:rsidRDefault="00D77C7F">
      <w:pPr>
        <w:spacing w:after="80"/>
        <w:ind w:left="480" w:hanging="480"/>
      </w:pPr>
      <w:r>
        <w:rPr>
          <w:rFonts w:ascii="Sylfaen" w:eastAsia="Sylfaen" w:hAnsi="Sylfaen" w:cs="Sylfaen"/>
        </w:rPr>
        <w:t xml:space="preserve">Alvi, I.A., Rufai, A., Dadabhoy, I., Naseer, B., Fouad, T. and Sayyed, Z. (2019) </w:t>
      </w:r>
      <w:r>
        <w:rPr>
          <w:rFonts w:ascii="Sylfaen" w:eastAsia="Sylfaen" w:hAnsi="Sylfaen" w:cs="Sylfaen"/>
          <w:i/>
          <w:iCs/>
        </w:rPr>
        <w:t>IIFM Sukuk Report: A Comprehensive Study of the Global Sukuk Market</w:t>
      </w:r>
      <w:r>
        <w:rPr>
          <w:rFonts w:ascii="Sylfaen" w:eastAsia="Sylfaen" w:hAnsi="Sylfaen" w:cs="Sylfaen"/>
        </w:rPr>
        <w:t xml:space="preserve">. 8th </w:t>
      </w:r>
      <w:proofErr w:type="spellStart"/>
      <w:r>
        <w:rPr>
          <w:rFonts w:ascii="Sylfaen" w:eastAsia="Sylfaen" w:hAnsi="Sylfaen" w:cs="Sylfaen"/>
        </w:rPr>
        <w:t>edn</w:t>
      </w:r>
      <w:proofErr w:type="spellEnd"/>
      <w:r>
        <w:rPr>
          <w:rFonts w:ascii="Sylfaen" w:eastAsia="Sylfaen" w:hAnsi="Sylfaen" w:cs="Sylfaen"/>
        </w:rPr>
        <w:t xml:space="preserve">. Manama: International Islamic Financial Market. Available at: </w:t>
      </w:r>
      <w:hyperlink r:id="rId16" w:history="1">
        <w:r>
          <w:rPr>
            <w:rStyle w:val="Hyperlink"/>
            <w:rFonts w:ascii="Sylfaen" w:eastAsia="Sylfaen" w:hAnsi="Sylfaen" w:cs="Sylfaen"/>
          </w:rPr>
          <w:t>https://www.iifm.net/sukuk-reports</w:t>
        </w:r>
      </w:hyperlink>
      <w:r>
        <w:rPr>
          <w:rFonts w:ascii="Sylfaen" w:eastAsia="Sylfaen" w:hAnsi="Sylfaen" w:cs="Sylfaen"/>
        </w:rPr>
        <w:t xml:space="preserve"> </w:t>
      </w:r>
    </w:p>
    <w:p w14:paraId="178577E3" w14:textId="0B5AF8D8" w:rsidR="004E20CA" w:rsidRPr="004E20CA" w:rsidRDefault="00D77C7F" w:rsidP="004E20CA">
      <w:pPr>
        <w:spacing w:after="80"/>
        <w:ind w:left="480" w:hanging="480"/>
        <w:rPr>
          <w:rFonts w:ascii="Sylfaen" w:eastAsia="Sylfaen" w:hAnsi="Sylfaen" w:cs="Sylfaen"/>
        </w:rPr>
      </w:pPr>
      <w:r>
        <w:rPr>
          <w:rFonts w:ascii="Sylfaen" w:eastAsia="Sylfaen" w:hAnsi="Sylfaen" w:cs="Sylfaen"/>
        </w:rPr>
        <w:t xml:space="preserve">Asian Development Bank (n.d.) </w:t>
      </w:r>
      <w:r>
        <w:rPr>
          <w:rFonts w:ascii="Sylfaen" w:eastAsia="Sylfaen" w:hAnsi="Sylfaen" w:cs="Sylfaen"/>
          <w:i/>
          <w:iCs/>
        </w:rPr>
        <w:t>Islamic Finance</w:t>
      </w:r>
      <w:r>
        <w:rPr>
          <w:rFonts w:ascii="Sylfaen" w:eastAsia="Sylfaen" w:hAnsi="Sylfaen" w:cs="Sylfaen"/>
        </w:rPr>
        <w:t xml:space="preserve">. Available at: </w:t>
      </w:r>
      <w:hyperlink r:id="rId17" w:history="1">
        <w:r>
          <w:rPr>
            <w:rStyle w:val="Hyperlink"/>
            <w:rFonts w:ascii="Sylfaen" w:eastAsia="Sylfaen" w:hAnsi="Sylfaen" w:cs="Sylfaen"/>
          </w:rPr>
          <w:t>https://www.adb.org/what-we-do/sectors/finance/islamic-finance</w:t>
        </w:r>
      </w:hyperlink>
    </w:p>
    <w:p w14:paraId="024C871B" w14:textId="77777777" w:rsidR="002D338F" w:rsidRDefault="00D77C7F">
      <w:pPr>
        <w:spacing w:after="80"/>
        <w:ind w:left="480" w:hanging="480"/>
      </w:pPr>
      <w:r>
        <w:rPr>
          <w:rFonts w:ascii="Sylfaen" w:eastAsia="Sylfaen" w:hAnsi="Sylfaen" w:cs="Sylfaen"/>
        </w:rPr>
        <w:t xml:space="preserve">Babas, M. (2020) ‘Blockchain Technology Applications in the Islamic Financial Industry: The Smart Sukuk of Blossom Finance’s Platform in Indonesia Model’, </w:t>
      </w:r>
      <w:r>
        <w:rPr>
          <w:rFonts w:ascii="Sylfaen" w:eastAsia="Sylfaen" w:hAnsi="Sylfaen" w:cs="Sylfaen"/>
          <w:i/>
          <w:iCs/>
        </w:rPr>
        <w:t>Economic Sciences, Management and Commercial Sciences Review</w:t>
      </w:r>
      <w:r>
        <w:rPr>
          <w:rFonts w:ascii="Sylfaen" w:eastAsia="Sylfaen" w:hAnsi="Sylfaen" w:cs="Sylfaen"/>
        </w:rPr>
        <w:t xml:space="preserve">, 13(2), pp. 309–325. Available at: </w:t>
      </w:r>
      <w:hyperlink r:id="rId18" w:history="1">
        <w:r>
          <w:rPr>
            <w:rStyle w:val="Hyperlink"/>
            <w:rFonts w:ascii="Sylfaen" w:eastAsia="Sylfaen" w:hAnsi="Sylfaen" w:cs="Sylfaen"/>
          </w:rPr>
          <w:t>https://depot.univ-msila.dz/items/ffb64f8e-415a-4694-b817-8c3825fe2736/full</w:t>
        </w:r>
      </w:hyperlink>
      <w:r>
        <w:rPr>
          <w:rFonts w:ascii="Sylfaen" w:eastAsia="Sylfaen" w:hAnsi="Sylfaen" w:cs="Sylfaen"/>
        </w:rPr>
        <w:t xml:space="preserve"> </w:t>
      </w:r>
    </w:p>
    <w:p w14:paraId="4CE7B9BA" w14:textId="77777777" w:rsidR="002D338F" w:rsidRDefault="00D77C7F">
      <w:pPr>
        <w:spacing w:after="80"/>
        <w:ind w:left="480" w:hanging="480"/>
      </w:pPr>
      <w:r>
        <w:rPr>
          <w:rFonts w:ascii="Sylfaen" w:eastAsia="Sylfaen" w:hAnsi="Sylfaen" w:cs="Sylfaen"/>
        </w:rPr>
        <w:t xml:space="preserve">Bashir, I. (2018) </w:t>
      </w:r>
      <w:r>
        <w:rPr>
          <w:rFonts w:ascii="Sylfaen" w:eastAsia="Sylfaen" w:hAnsi="Sylfaen" w:cs="Sylfaen"/>
          <w:i/>
          <w:iCs/>
        </w:rPr>
        <w:t>Mastering Blockchain: Distributed Ledgers, Decentralization and Smart Contracts Explained</w:t>
      </w:r>
      <w:r>
        <w:rPr>
          <w:rFonts w:ascii="Sylfaen" w:eastAsia="Sylfaen" w:hAnsi="Sylfaen" w:cs="Sylfaen"/>
        </w:rPr>
        <w:t xml:space="preserve">. 2nd </w:t>
      </w:r>
      <w:proofErr w:type="spellStart"/>
      <w:r>
        <w:rPr>
          <w:rFonts w:ascii="Sylfaen" w:eastAsia="Sylfaen" w:hAnsi="Sylfaen" w:cs="Sylfaen"/>
        </w:rPr>
        <w:t>edn</w:t>
      </w:r>
      <w:proofErr w:type="spellEnd"/>
      <w:r>
        <w:rPr>
          <w:rFonts w:ascii="Sylfaen" w:eastAsia="Sylfaen" w:hAnsi="Sylfaen" w:cs="Sylfaen"/>
        </w:rPr>
        <w:t xml:space="preserve">. Birmingham: </w:t>
      </w:r>
      <w:proofErr w:type="spellStart"/>
      <w:r>
        <w:rPr>
          <w:rFonts w:ascii="Sylfaen" w:eastAsia="Sylfaen" w:hAnsi="Sylfaen" w:cs="Sylfaen"/>
        </w:rPr>
        <w:t>Packt</w:t>
      </w:r>
      <w:proofErr w:type="spellEnd"/>
      <w:r>
        <w:rPr>
          <w:rFonts w:ascii="Sylfaen" w:eastAsia="Sylfaen" w:hAnsi="Sylfaen" w:cs="Sylfaen"/>
        </w:rPr>
        <w:t xml:space="preserve">. Available at: </w:t>
      </w:r>
      <w:hyperlink r:id="rId19" w:history="1">
        <w:r>
          <w:rPr>
            <w:rStyle w:val="Hyperlink"/>
            <w:rFonts w:ascii="Sylfaen" w:eastAsia="Sylfaen" w:hAnsi="Sylfaen" w:cs="Sylfaen"/>
          </w:rPr>
          <w:t>https://www.packtpub.com/product/mastering-blockchain-second-edition/9781788839044</w:t>
        </w:r>
      </w:hyperlink>
      <w:r>
        <w:rPr>
          <w:rFonts w:ascii="Sylfaen" w:eastAsia="Sylfaen" w:hAnsi="Sylfaen" w:cs="Sylfaen"/>
        </w:rPr>
        <w:t xml:space="preserve"> </w:t>
      </w:r>
    </w:p>
    <w:p w14:paraId="70CCE0C6" w14:textId="77777777" w:rsidR="002D338F" w:rsidRDefault="00D77C7F">
      <w:pPr>
        <w:spacing w:after="80"/>
        <w:ind w:left="480" w:hanging="480"/>
      </w:pPr>
      <w:r>
        <w:rPr>
          <w:rFonts w:ascii="Sylfaen" w:eastAsia="Sylfaen" w:hAnsi="Sylfaen" w:cs="Sylfaen"/>
        </w:rPr>
        <w:t xml:space="preserve">Biancone, P.P. and Radwan, M. (2018) ‘Social Finance </w:t>
      </w:r>
      <w:proofErr w:type="gramStart"/>
      <w:r>
        <w:rPr>
          <w:rFonts w:ascii="Sylfaen" w:eastAsia="Sylfaen" w:hAnsi="Sylfaen" w:cs="Sylfaen"/>
        </w:rPr>
        <w:t>And</w:t>
      </w:r>
      <w:proofErr w:type="gramEnd"/>
      <w:r>
        <w:rPr>
          <w:rFonts w:ascii="Sylfaen" w:eastAsia="Sylfaen" w:hAnsi="Sylfaen" w:cs="Sylfaen"/>
        </w:rPr>
        <w:t xml:space="preserve"> Unconventional Financing Alternatives: An Overview’, </w:t>
      </w:r>
      <w:r>
        <w:rPr>
          <w:rFonts w:ascii="Sylfaen" w:eastAsia="Sylfaen" w:hAnsi="Sylfaen" w:cs="Sylfaen"/>
          <w:i/>
          <w:iCs/>
        </w:rPr>
        <w:t>European Journal of Islamic Finance</w:t>
      </w:r>
      <w:r>
        <w:rPr>
          <w:rFonts w:ascii="Sylfaen" w:eastAsia="Sylfaen" w:hAnsi="Sylfaen" w:cs="Sylfaen"/>
        </w:rPr>
        <w:t xml:space="preserve">, 10. </w:t>
      </w:r>
      <w:proofErr w:type="spellStart"/>
      <w:r>
        <w:rPr>
          <w:rFonts w:ascii="Sylfaen" w:eastAsia="Sylfaen" w:hAnsi="Sylfaen" w:cs="Sylfaen"/>
        </w:rPr>
        <w:t>doi</w:t>
      </w:r>
      <w:proofErr w:type="spellEnd"/>
      <w:r>
        <w:rPr>
          <w:rFonts w:ascii="Sylfaen" w:eastAsia="Sylfaen" w:hAnsi="Sylfaen" w:cs="Sylfaen"/>
        </w:rPr>
        <w:t>: 10.13135/2421-2172/2818</w:t>
      </w:r>
    </w:p>
    <w:p w14:paraId="7ED7F25A" w14:textId="18BFCA1B" w:rsidR="002D338F" w:rsidRDefault="00D77C7F">
      <w:pPr>
        <w:spacing w:after="80"/>
        <w:ind w:left="480" w:hanging="480"/>
      </w:pPr>
      <w:r>
        <w:rPr>
          <w:rFonts w:ascii="Sylfaen" w:eastAsia="Sylfaen" w:hAnsi="Sylfaen" w:cs="Sylfaen"/>
        </w:rPr>
        <w:t xml:space="preserve">Busari, S.A. and Aminu, S.O. (2022) ‘Application of blockchain information technology in </w:t>
      </w:r>
      <w:proofErr w:type="spellStart"/>
      <w:r>
        <w:rPr>
          <w:rFonts w:ascii="Sylfaen" w:eastAsia="Sylfaen" w:hAnsi="Sylfaen" w:cs="Sylfaen"/>
        </w:rPr>
        <w:t>Ṣukūk</w:t>
      </w:r>
      <w:proofErr w:type="spellEnd"/>
      <w:r>
        <w:rPr>
          <w:rFonts w:ascii="Sylfaen" w:eastAsia="Sylfaen" w:hAnsi="Sylfaen" w:cs="Sylfaen"/>
        </w:rPr>
        <w:t xml:space="preserve"> trade’, </w:t>
      </w:r>
      <w:r>
        <w:rPr>
          <w:rFonts w:ascii="Sylfaen" w:eastAsia="Sylfaen" w:hAnsi="Sylfaen" w:cs="Sylfaen"/>
          <w:i/>
          <w:iCs/>
        </w:rPr>
        <w:t>Journal of Islamic Accounting and Business Research</w:t>
      </w:r>
      <w:r>
        <w:rPr>
          <w:rFonts w:ascii="Sylfaen" w:eastAsia="Sylfaen" w:hAnsi="Sylfaen" w:cs="Sylfaen"/>
        </w:rPr>
        <w:t xml:space="preserve">, 13(1), pp. 1–15. </w:t>
      </w:r>
      <w:proofErr w:type="spellStart"/>
      <w:r>
        <w:rPr>
          <w:rFonts w:ascii="Sylfaen" w:eastAsia="Sylfaen" w:hAnsi="Sylfaen" w:cs="Sylfaen"/>
        </w:rPr>
        <w:t>doi</w:t>
      </w:r>
      <w:proofErr w:type="spellEnd"/>
      <w:r>
        <w:rPr>
          <w:rFonts w:ascii="Sylfaen" w:eastAsia="Sylfaen" w:hAnsi="Sylfaen" w:cs="Sylfaen"/>
        </w:rPr>
        <w:t xml:space="preserve">: 10.1108/JIABR-10-2019-0197 </w:t>
      </w:r>
    </w:p>
    <w:p w14:paraId="3D797296" w14:textId="2C23E1F4" w:rsidR="002D338F" w:rsidRDefault="00D77C7F">
      <w:pPr>
        <w:spacing w:after="80"/>
        <w:ind w:left="480" w:hanging="480"/>
      </w:pPr>
      <w:r>
        <w:rPr>
          <w:rFonts w:ascii="Sylfaen" w:eastAsia="Sylfaen" w:hAnsi="Sylfaen" w:cs="Sylfaen"/>
        </w:rPr>
        <w:t xml:space="preserve">Delle Foglie, A., Panetta, I.C., </w:t>
      </w:r>
      <w:proofErr w:type="spellStart"/>
      <w:r>
        <w:rPr>
          <w:rFonts w:ascii="Sylfaen" w:eastAsia="Sylfaen" w:hAnsi="Sylfaen" w:cs="Sylfaen"/>
        </w:rPr>
        <w:t>Boukrami</w:t>
      </w:r>
      <w:proofErr w:type="spellEnd"/>
      <w:r>
        <w:rPr>
          <w:rFonts w:ascii="Sylfaen" w:eastAsia="Sylfaen" w:hAnsi="Sylfaen" w:cs="Sylfaen"/>
        </w:rPr>
        <w:t xml:space="preserve">, E. and Vento, G. (2021) ‘The impact of the Blockchain technology on the global Sukuk industry: smart contracts and asset </w:t>
      </w:r>
      <w:proofErr w:type="spellStart"/>
      <w:r>
        <w:rPr>
          <w:rFonts w:ascii="Sylfaen" w:eastAsia="Sylfaen" w:hAnsi="Sylfaen" w:cs="Sylfaen"/>
        </w:rPr>
        <w:t>tokenisation</w:t>
      </w:r>
      <w:proofErr w:type="spellEnd"/>
      <w:r>
        <w:rPr>
          <w:rFonts w:ascii="Sylfaen" w:eastAsia="Sylfaen" w:hAnsi="Sylfaen" w:cs="Sylfaen"/>
        </w:rPr>
        <w:t xml:space="preserve">’, </w:t>
      </w:r>
      <w:r>
        <w:rPr>
          <w:rFonts w:ascii="Sylfaen" w:eastAsia="Sylfaen" w:hAnsi="Sylfaen" w:cs="Sylfaen"/>
          <w:i/>
          <w:iCs/>
        </w:rPr>
        <w:t>Technology Analysis &amp; Strategic Management</w:t>
      </w:r>
      <w:r>
        <w:rPr>
          <w:rFonts w:ascii="Sylfaen" w:eastAsia="Sylfaen" w:hAnsi="Sylfaen" w:cs="Sylfaen"/>
        </w:rPr>
        <w:t xml:space="preserve">, pp. 1–15. </w:t>
      </w:r>
      <w:proofErr w:type="spellStart"/>
      <w:r>
        <w:rPr>
          <w:rFonts w:ascii="Sylfaen" w:eastAsia="Sylfaen" w:hAnsi="Sylfaen" w:cs="Sylfaen"/>
        </w:rPr>
        <w:t>doi</w:t>
      </w:r>
      <w:proofErr w:type="spellEnd"/>
      <w:r>
        <w:rPr>
          <w:rFonts w:ascii="Sylfaen" w:eastAsia="Sylfaen" w:hAnsi="Sylfaen" w:cs="Sylfaen"/>
        </w:rPr>
        <w:t>: 10.1080/09537325.2021.1939000.</w:t>
      </w:r>
    </w:p>
    <w:p w14:paraId="772DC320" w14:textId="77777777" w:rsidR="002D338F" w:rsidRDefault="00D77C7F">
      <w:pPr>
        <w:spacing w:after="80"/>
        <w:ind w:left="480" w:hanging="480"/>
      </w:pPr>
      <w:r>
        <w:rPr>
          <w:rFonts w:ascii="Sylfaen" w:eastAsia="Sylfaen" w:hAnsi="Sylfaen" w:cs="Sylfaen"/>
        </w:rPr>
        <w:lastRenderedPageBreak/>
        <w:t xml:space="preserve">Hamza, O. (2020) ‘Smart Sukuk Structure from Sharia Perspective and Financing Benefits: Proposed Application of Smart Sukuk through Blockchain Technology in Islamic Banks within Turkey’, </w:t>
      </w:r>
      <w:r>
        <w:rPr>
          <w:rFonts w:ascii="Sylfaen" w:eastAsia="Sylfaen" w:hAnsi="Sylfaen" w:cs="Sylfaen"/>
          <w:i/>
          <w:iCs/>
        </w:rPr>
        <w:t>European Journal of Islamic Finance</w:t>
      </w:r>
      <w:r>
        <w:rPr>
          <w:rFonts w:ascii="Sylfaen" w:eastAsia="Sylfaen" w:hAnsi="Sylfaen" w:cs="Sylfaen"/>
        </w:rPr>
        <w:t xml:space="preserve">. </w:t>
      </w:r>
      <w:proofErr w:type="spellStart"/>
      <w:r>
        <w:rPr>
          <w:rFonts w:ascii="Sylfaen" w:eastAsia="Sylfaen" w:hAnsi="Sylfaen" w:cs="Sylfaen"/>
        </w:rPr>
        <w:t>doi</w:t>
      </w:r>
      <w:proofErr w:type="spellEnd"/>
      <w:r>
        <w:rPr>
          <w:rFonts w:ascii="Sylfaen" w:eastAsia="Sylfaen" w:hAnsi="Sylfaen" w:cs="Sylfaen"/>
        </w:rPr>
        <w:t>: 10.13135/2421-2172/3983.</w:t>
      </w:r>
    </w:p>
    <w:p w14:paraId="6A4937C3" w14:textId="77777777" w:rsidR="002D338F" w:rsidRDefault="00D77C7F">
      <w:pPr>
        <w:spacing w:after="80"/>
        <w:ind w:left="480" w:hanging="480"/>
      </w:pPr>
      <w:r>
        <w:rPr>
          <w:rFonts w:ascii="Sylfaen" w:eastAsia="Sylfaen" w:hAnsi="Sylfaen" w:cs="Sylfaen"/>
        </w:rPr>
        <w:t xml:space="preserve">Iftikhar, S. and Saba, I. (2020) ‘Blockchain Based Smart Sukuk as Shariah Compliant Investment Avenues for Islamic Financial Institutions in Pakistan’, </w:t>
      </w:r>
      <w:r>
        <w:rPr>
          <w:rFonts w:ascii="Sylfaen" w:eastAsia="Sylfaen" w:hAnsi="Sylfaen" w:cs="Sylfaen"/>
          <w:i/>
          <w:iCs/>
        </w:rPr>
        <w:t>Journal of Finance &amp; Economics Research</w:t>
      </w:r>
      <w:r>
        <w:rPr>
          <w:rFonts w:ascii="Sylfaen" w:eastAsia="Sylfaen" w:hAnsi="Sylfaen" w:cs="Sylfaen"/>
        </w:rPr>
        <w:t xml:space="preserve">, 5(1), pp. 30–45. </w:t>
      </w:r>
      <w:proofErr w:type="spellStart"/>
      <w:r>
        <w:rPr>
          <w:rFonts w:ascii="Sylfaen" w:eastAsia="Sylfaen" w:hAnsi="Sylfaen" w:cs="Sylfaen"/>
        </w:rPr>
        <w:t>doi</w:t>
      </w:r>
      <w:proofErr w:type="spellEnd"/>
      <w:r>
        <w:rPr>
          <w:rFonts w:ascii="Sylfaen" w:eastAsia="Sylfaen" w:hAnsi="Sylfaen" w:cs="Sylfaen"/>
        </w:rPr>
        <w:t>: 10.20547/jfer2005103.</w:t>
      </w:r>
    </w:p>
    <w:p w14:paraId="15ED27FB" w14:textId="77777777" w:rsidR="002D338F" w:rsidRDefault="00D77C7F">
      <w:pPr>
        <w:spacing w:after="80"/>
        <w:ind w:left="480" w:hanging="480"/>
      </w:pPr>
      <w:proofErr w:type="spellStart"/>
      <w:r>
        <w:rPr>
          <w:rFonts w:ascii="Sylfaen" w:eastAsia="Sylfaen" w:hAnsi="Sylfaen" w:cs="Sylfaen"/>
        </w:rPr>
        <w:t>Kunhibava</w:t>
      </w:r>
      <w:proofErr w:type="spellEnd"/>
      <w:r>
        <w:rPr>
          <w:rFonts w:ascii="Sylfaen" w:eastAsia="Sylfaen" w:hAnsi="Sylfaen" w:cs="Sylfaen"/>
        </w:rPr>
        <w:t xml:space="preserve">, S., Muneeza, A., Mustapha, Z., Khalid, M. and Kiran, G. (2024) ‘Blockchain use case in Islamic social finance’, </w:t>
      </w:r>
      <w:r>
        <w:rPr>
          <w:rFonts w:ascii="Sylfaen" w:eastAsia="Sylfaen" w:hAnsi="Sylfaen" w:cs="Sylfaen"/>
          <w:i/>
          <w:iCs/>
        </w:rPr>
        <w:t>ISRA International Journal of Islamic Finance</w:t>
      </w:r>
      <w:r>
        <w:rPr>
          <w:rFonts w:ascii="Sylfaen" w:eastAsia="Sylfaen" w:hAnsi="Sylfaen" w:cs="Sylfaen"/>
        </w:rPr>
        <w:t xml:space="preserve">, 16(1), pp. 93–110. </w:t>
      </w:r>
      <w:proofErr w:type="spellStart"/>
      <w:r>
        <w:rPr>
          <w:rFonts w:ascii="Sylfaen" w:eastAsia="Sylfaen" w:hAnsi="Sylfaen" w:cs="Sylfaen"/>
        </w:rPr>
        <w:t>doi</w:t>
      </w:r>
      <w:proofErr w:type="spellEnd"/>
      <w:r>
        <w:rPr>
          <w:rFonts w:ascii="Sylfaen" w:eastAsia="Sylfaen" w:hAnsi="Sylfaen" w:cs="Sylfaen"/>
        </w:rPr>
        <w:t>: 10.55188/</w:t>
      </w:r>
      <w:proofErr w:type="gramStart"/>
      <w:r>
        <w:rPr>
          <w:rFonts w:ascii="Sylfaen" w:eastAsia="Sylfaen" w:hAnsi="Sylfaen" w:cs="Sylfaen"/>
        </w:rPr>
        <w:t>ijif.v</w:t>
      </w:r>
      <w:proofErr w:type="gramEnd"/>
      <w:r>
        <w:rPr>
          <w:rFonts w:ascii="Sylfaen" w:eastAsia="Sylfaen" w:hAnsi="Sylfaen" w:cs="Sylfaen"/>
        </w:rPr>
        <w:t>16i1.659.</w:t>
      </w:r>
    </w:p>
    <w:p w14:paraId="4623907D" w14:textId="77777777" w:rsidR="002D338F" w:rsidRDefault="00D77C7F">
      <w:pPr>
        <w:spacing w:after="80"/>
        <w:ind w:left="480" w:hanging="480"/>
      </w:pPr>
      <w:r>
        <w:rPr>
          <w:rFonts w:ascii="Sylfaen" w:eastAsia="Sylfaen" w:hAnsi="Sylfaen" w:cs="Sylfaen"/>
        </w:rPr>
        <w:t xml:space="preserve">Mousavi, S.H., </w:t>
      </w:r>
      <w:proofErr w:type="spellStart"/>
      <w:r>
        <w:rPr>
          <w:rFonts w:ascii="Sylfaen" w:eastAsia="Sylfaen" w:hAnsi="Sylfaen" w:cs="Sylfaen"/>
        </w:rPr>
        <w:t>Tohidinia</w:t>
      </w:r>
      <w:proofErr w:type="spellEnd"/>
      <w:r>
        <w:rPr>
          <w:rFonts w:ascii="Sylfaen" w:eastAsia="Sylfaen" w:hAnsi="Sylfaen" w:cs="Sylfaen"/>
        </w:rPr>
        <w:t xml:space="preserve">, A. and Mousavi, S.M. (2025) ‘Transforming Islamic Finance: The Impact of Blockchain and Smart Sukuk’, </w:t>
      </w:r>
      <w:r>
        <w:rPr>
          <w:rFonts w:ascii="Sylfaen" w:eastAsia="Sylfaen" w:hAnsi="Sylfaen" w:cs="Sylfaen"/>
          <w:i/>
          <w:iCs/>
        </w:rPr>
        <w:t>ACCESS Journal: Access to Science, Business, Innovation in Digital Economy</w:t>
      </w:r>
      <w:r>
        <w:rPr>
          <w:rFonts w:ascii="Sylfaen" w:eastAsia="Sylfaen" w:hAnsi="Sylfaen" w:cs="Sylfaen"/>
        </w:rPr>
        <w:t xml:space="preserve">, 6(1), pp. 184–201. </w:t>
      </w:r>
      <w:proofErr w:type="spellStart"/>
      <w:r>
        <w:rPr>
          <w:rFonts w:ascii="Sylfaen" w:eastAsia="Sylfaen" w:hAnsi="Sylfaen" w:cs="Sylfaen"/>
        </w:rPr>
        <w:t>doi</w:t>
      </w:r>
      <w:proofErr w:type="spellEnd"/>
      <w:r>
        <w:rPr>
          <w:rFonts w:ascii="Sylfaen" w:eastAsia="Sylfaen" w:hAnsi="Sylfaen" w:cs="Sylfaen"/>
        </w:rPr>
        <w:t>: 10.46656/access.2025.6.1(10).</w:t>
      </w:r>
    </w:p>
    <w:p w14:paraId="5D6AF01D" w14:textId="77777777" w:rsidR="002D338F" w:rsidRDefault="00D77C7F">
      <w:pPr>
        <w:spacing w:after="80"/>
        <w:ind w:left="480" w:hanging="480"/>
      </w:pPr>
      <w:proofErr w:type="spellStart"/>
      <w:r>
        <w:rPr>
          <w:rFonts w:ascii="Sylfaen" w:eastAsia="Sylfaen" w:hAnsi="Sylfaen" w:cs="Sylfaen"/>
        </w:rPr>
        <w:t>Muryanto</w:t>
      </w:r>
      <w:proofErr w:type="spellEnd"/>
      <w:r>
        <w:rPr>
          <w:rFonts w:ascii="Sylfaen" w:eastAsia="Sylfaen" w:hAnsi="Sylfaen" w:cs="Sylfaen"/>
        </w:rPr>
        <w:t xml:space="preserve">, Y.T. (2022) ‘The urgency of sharia compliance regulations for Islamic Fintechs: a comparative study of Indonesia, Malaysia and the United Kingdom’, </w:t>
      </w:r>
      <w:r>
        <w:rPr>
          <w:rFonts w:ascii="Sylfaen" w:eastAsia="Sylfaen" w:hAnsi="Sylfaen" w:cs="Sylfaen"/>
          <w:i/>
          <w:iCs/>
        </w:rPr>
        <w:t>Journal of Financial Crime</w:t>
      </w:r>
      <w:r>
        <w:rPr>
          <w:rFonts w:ascii="Sylfaen" w:eastAsia="Sylfaen" w:hAnsi="Sylfaen" w:cs="Sylfaen"/>
        </w:rPr>
        <w:t xml:space="preserve">, 30(5), pp. 1264–1278. </w:t>
      </w:r>
      <w:proofErr w:type="spellStart"/>
      <w:r>
        <w:rPr>
          <w:rFonts w:ascii="Sylfaen" w:eastAsia="Sylfaen" w:hAnsi="Sylfaen" w:cs="Sylfaen"/>
        </w:rPr>
        <w:t>doi</w:t>
      </w:r>
      <w:proofErr w:type="spellEnd"/>
      <w:r>
        <w:rPr>
          <w:rFonts w:ascii="Sylfaen" w:eastAsia="Sylfaen" w:hAnsi="Sylfaen" w:cs="Sylfaen"/>
        </w:rPr>
        <w:t>: 10.1108/JFC-05-2022-0099.</w:t>
      </w:r>
    </w:p>
    <w:p w14:paraId="6A8A672B" w14:textId="77777777" w:rsidR="002D338F" w:rsidRDefault="00D77C7F">
      <w:pPr>
        <w:spacing w:after="80"/>
        <w:ind w:left="480" w:hanging="480"/>
      </w:pPr>
      <w:r>
        <w:rPr>
          <w:rFonts w:ascii="Sylfaen" w:eastAsia="Sylfaen" w:hAnsi="Sylfaen" w:cs="Sylfaen"/>
        </w:rPr>
        <w:t xml:space="preserve">Sa’ad, A.A. (2018) ‘Smart Sukuk Structure </w:t>
      </w:r>
      <w:proofErr w:type="gramStart"/>
      <w:r>
        <w:rPr>
          <w:rFonts w:ascii="Sylfaen" w:eastAsia="Sylfaen" w:hAnsi="Sylfaen" w:cs="Sylfaen"/>
        </w:rPr>
        <w:t>From</w:t>
      </w:r>
      <w:proofErr w:type="gramEnd"/>
      <w:r>
        <w:rPr>
          <w:rFonts w:ascii="Sylfaen" w:eastAsia="Sylfaen" w:hAnsi="Sylfaen" w:cs="Sylfaen"/>
        </w:rPr>
        <w:t xml:space="preserve"> </w:t>
      </w:r>
      <w:proofErr w:type="spellStart"/>
      <w:r>
        <w:rPr>
          <w:rFonts w:ascii="Sylfaen" w:eastAsia="Sylfaen" w:hAnsi="Sylfaen" w:cs="Sylfaen"/>
        </w:rPr>
        <w:t>Shari’ah</w:t>
      </w:r>
      <w:proofErr w:type="spellEnd"/>
      <w:r>
        <w:rPr>
          <w:rFonts w:ascii="Sylfaen" w:eastAsia="Sylfaen" w:hAnsi="Sylfaen" w:cs="Sylfaen"/>
        </w:rPr>
        <w:t xml:space="preserve"> Perspective: The Application </w:t>
      </w:r>
      <w:proofErr w:type="gramStart"/>
      <w:r>
        <w:rPr>
          <w:rFonts w:ascii="Sylfaen" w:eastAsia="Sylfaen" w:hAnsi="Sylfaen" w:cs="Sylfaen"/>
        </w:rPr>
        <w:t>Of</w:t>
      </w:r>
      <w:proofErr w:type="gramEnd"/>
      <w:r>
        <w:rPr>
          <w:rFonts w:ascii="Sylfaen" w:eastAsia="Sylfaen" w:hAnsi="Sylfaen" w:cs="Sylfaen"/>
        </w:rPr>
        <w:t xml:space="preserve"> Mudarabah Smart Contract’, </w:t>
      </w:r>
      <w:r>
        <w:rPr>
          <w:rFonts w:ascii="Sylfaen" w:eastAsia="Sylfaen" w:hAnsi="Sylfaen" w:cs="Sylfaen"/>
          <w:i/>
          <w:iCs/>
        </w:rPr>
        <w:t>e-Proceedings of the Global Conference on Islamic Economics and Finance</w:t>
      </w:r>
      <w:r>
        <w:rPr>
          <w:rFonts w:ascii="Sylfaen" w:eastAsia="Sylfaen" w:hAnsi="Sylfaen" w:cs="Sylfaen"/>
        </w:rPr>
        <w:t xml:space="preserve">. Kuala Lumpur, 24–25 October. Available at: </w:t>
      </w:r>
      <w:hyperlink r:id="rId20" w:history="1">
        <w:r>
          <w:rPr>
            <w:rStyle w:val="Hyperlink"/>
            <w:rFonts w:ascii="Sylfaen" w:eastAsia="Sylfaen" w:hAnsi="Sylfaen" w:cs="Sylfaen"/>
          </w:rPr>
          <w:t>https://irep.iium.edu.my/67145/</w:t>
        </w:r>
      </w:hyperlink>
      <w:r>
        <w:rPr>
          <w:rFonts w:ascii="Sylfaen" w:eastAsia="Sylfaen" w:hAnsi="Sylfaen" w:cs="Sylfaen"/>
        </w:rPr>
        <w:t xml:space="preserve"> </w:t>
      </w:r>
    </w:p>
    <w:p w14:paraId="5AA4C645" w14:textId="0ED55877" w:rsidR="002D338F" w:rsidRDefault="00D77C7F">
      <w:pPr>
        <w:spacing w:after="80"/>
        <w:ind w:left="480" w:hanging="480"/>
      </w:pPr>
      <w:r>
        <w:rPr>
          <w:rFonts w:ascii="Sylfaen" w:eastAsia="Sylfaen" w:hAnsi="Sylfaen" w:cs="Sylfaen"/>
        </w:rPr>
        <w:t xml:space="preserve">Saleh, A. (2022) </w:t>
      </w:r>
      <w:proofErr w:type="spellStart"/>
      <w:r>
        <w:rPr>
          <w:rFonts w:ascii="Sylfaen" w:eastAsia="Sylfaen" w:hAnsi="Sylfaen" w:cs="Sylfaen"/>
          <w:i/>
          <w:iCs/>
        </w:rPr>
        <w:t>Wifaqul</w:t>
      </w:r>
      <w:proofErr w:type="spellEnd"/>
      <w:r>
        <w:rPr>
          <w:rFonts w:ascii="Sylfaen" w:eastAsia="Sylfaen" w:hAnsi="Sylfaen" w:cs="Sylfaen"/>
          <w:i/>
          <w:iCs/>
        </w:rPr>
        <w:t xml:space="preserve"> Ulama (UK) on the Permissibility of Cryptocurrency</w:t>
      </w:r>
      <w:r>
        <w:rPr>
          <w:rFonts w:ascii="Sylfaen" w:eastAsia="Sylfaen" w:hAnsi="Sylfaen" w:cs="Sylfaen"/>
        </w:rPr>
        <w:t xml:space="preserve">. Available at: </w:t>
      </w:r>
      <w:hyperlink r:id="rId21" w:history="1">
        <w:r>
          <w:rPr>
            <w:rStyle w:val="Hyperlink"/>
            <w:rFonts w:ascii="Sylfaen" w:eastAsia="Sylfaen" w:hAnsi="Sylfaen" w:cs="Sylfaen"/>
          </w:rPr>
          <w:t>https://portal.shariasource.com/documents/4463</w:t>
        </w:r>
      </w:hyperlink>
      <w:r>
        <w:rPr>
          <w:rFonts w:ascii="Sylfaen" w:eastAsia="Sylfaen" w:hAnsi="Sylfaen" w:cs="Sylfaen"/>
        </w:rPr>
        <w:t xml:space="preserve"> </w:t>
      </w:r>
    </w:p>
    <w:p w14:paraId="7E57233F" w14:textId="7E05CA61" w:rsidR="002D338F" w:rsidRDefault="00D77C7F">
      <w:pPr>
        <w:spacing w:after="120" w:line="276" w:lineRule="auto"/>
        <w:ind w:left="720" w:hanging="720"/>
      </w:pPr>
      <w:r>
        <w:rPr>
          <w:rFonts w:ascii="Sylfaen" w:eastAsia="Sylfaen" w:hAnsi="Sylfaen" w:cs="Sylfaen"/>
        </w:rPr>
        <w:t xml:space="preserve">Saudi Press Agency (SPA) (2026a) REGA Launches Regulatory Sandbox Featuring Real Estate Tokenization. Available at: </w:t>
      </w:r>
      <w:hyperlink r:id="rId22" w:history="1">
        <w:r>
          <w:rPr>
            <w:rStyle w:val="Hyperlink"/>
            <w:rFonts w:ascii="Sylfaen" w:eastAsia="Sylfaen" w:hAnsi="Sylfaen" w:cs="Sylfaen"/>
          </w:rPr>
          <w:t>https://www.spa.gov.sa/en/N2511536</w:t>
        </w:r>
      </w:hyperlink>
      <w:r>
        <w:rPr>
          <w:rFonts w:ascii="Sylfaen" w:eastAsia="Sylfaen" w:hAnsi="Sylfaen" w:cs="Sylfaen"/>
        </w:rPr>
        <w:t xml:space="preserve"> </w:t>
      </w:r>
    </w:p>
    <w:p w14:paraId="6FF03473" w14:textId="457918D9" w:rsidR="002D338F" w:rsidRDefault="00D77C7F">
      <w:pPr>
        <w:spacing w:after="120" w:line="276" w:lineRule="auto"/>
        <w:ind w:left="720" w:hanging="720"/>
      </w:pPr>
      <w:r>
        <w:rPr>
          <w:rFonts w:ascii="Sylfaen" w:eastAsia="Sylfaen" w:hAnsi="Sylfaen" w:cs="Sylfaen"/>
        </w:rPr>
        <w:t xml:space="preserve">Saudi Press Agency (SPA) (2026b) SAMA Commences Licensing of Fintech Companies to Provide Open Banking Services. Available at: </w:t>
      </w:r>
      <w:hyperlink r:id="rId23" w:history="1">
        <w:r>
          <w:rPr>
            <w:rStyle w:val="Hyperlink"/>
            <w:rFonts w:ascii="Sylfaen" w:eastAsia="Sylfaen" w:hAnsi="Sylfaen" w:cs="Sylfaen"/>
          </w:rPr>
          <w:t>https://www.spa.gov.sa/en/N2546753</w:t>
        </w:r>
      </w:hyperlink>
      <w:r>
        <w:rPr>
          <w:rFonts w:ascii="Sylfaen" w:eastAsia="Sylfaen" w:hAnsi="Sylfaen" w:cs="Sylfaen"/>
        </w:rPr>
        <w:t xml:space="preserve"> </w:t>
      </w:r>
    </w:p>
    <w:p w14:paraId="6D1916B0" w14:textId="77777777" w:rsidR="002D338F" w:rsidRDefault="00D77C7F">
      <w:pPr>
        <w:spacing w:after="80"/>
        <w:ind w:left="480" w:hanging="480"/>
      </w:pPr>
      <w:r>
        <w:rPr>
          <w:rFonts w:ascii="Sylfaen" w:eastAsia="Sylfaen" w:hAnsi="Sylfaen" w:cs="Sylfaen"/>
        </w:rPr>
        <w:t xml:space="preserve">Szabo, N. (1996) </w:t>
      </w:r>
      <w:r>
        <w:rPr>
          <w:rFonts w:ascii="Sylfaen" w:eastAsia="Sylfaen" w:hAnsi="Sylfaen" w:cs="Sylfaen"/>
          <w:i/>
          <w:iCs/>
        </w:rPr>
        <w:t>Smart Contracts: Building Blocks for Digital Markets</w:t>
      </w:r>
      <w:r>
        <w:rPr>
          <w:rFonts w:ascii="Sylfaen" w:eastAsia="Sylfaen" w:hAnsi="Sylfaen" w:cs="Sylfaen"/>
        </w:rPr>
        <w:t xml:space="preserve">. Available at: </w:t>
      </w:r>
      <w:hyperlink r:id="rId24" w:history="1">
        <w:r>
          <w:rPr>
            <w:rStyle w:val="Hyperlink"/>
            <w:rFonts w:ascii="Sylfaen" w:eastAsia="Sylfaen" w:hAnsi="Sylfaen" w:cs="Sylfaen"/>
          </w:rPr>
          <w:t>https://www.fon.hum.uva.nl/rob/Courses/InformationInSpeech/CDROM/Literature/LOTwinterschool2006/szabo.best.vwh.net/smart_contracts_2.html</w:t>
        </w:r>
      </w:hyperlink>
      <w:r>
        <w:rPr>
          <w:rFonts w:ascii="Sylfaen" w:eastAsia="Sylfaen" w:hAnsi="Sylfaen" w:cs="Sylfaen"/>
        </w:rPr>
        <w:t xml:space="preserve"> </w:t>
      </w:r>
    </w:p>
    <w:p w14:paraId="768841F7" w14:textId="06345879" w:rsidR="002D338F" w:rsidRDefault="00D77C7F">
      <w:pPr>
        <w:spacing w:after="80"/>
        <w:ind w:left="480" w:hanging="480"/>
      </w:pPr>
      <w:r>
        <w:rPr>
          <w:rFonts w:ascii="Sylfaen" w:eastAsia="Sylfaen" w:hAnsi="Sylfaen" w:cs="Sylfaen"/>
        </w:rPr>
        <w:t>Tawfeek, F. (2018) ‘Egypt’s Dar al-</w:t>
      </w:r>
      <w:proofErr w:type="spellStart"/>
      <w:r>
        <w:rPr>
          <w:rFonts w:ascii="Sylfaen" w:eastAsia="Sylfaen" w:hAnsi="Sylfaen" w:cs="Sylfaen"/>
        </w:rPr>
        <w:t>Iftaa</w:t>
      </w:r>
      <w:proofErr w:type="spellEnd"/>
      <w:r>
        <w:rPr>
          <w:rFonts w:ascii="Sylfaen" w:eastAsia="Sylfaen" w:hAnsi="Sylfaen" w:cs="Sylfaen"/>
        </w:rPr>
        <w:t xml:space="preserve"> deems bitcoin currency as forbidden in Islam’, </w:t>
      </w:r>
      <w:r>
        <w:rPr>
          <w:rFonts w:ascii="Sylfaen" w:eastAsia="Sylfaen" w:hAnsi="Sylfaen" w:cs="Sylfaen"/>
          <w:i/>
          <w:iCs/>
        </w:rPr>
        <w:t>Egypt Independent</w:t>
      </w:r>
      <w:r>
        <w:rPr>
          <w:rFonts w:ascii="Sylfaen" w:eastAsia="Sylfaen" w:hAnsi="Sylfaen" w:cs="Sylfaen"/>
        </w:rPr>
        <w:t xml:space="preserve">, 1 January. Available at: </w:t>
      </w:r>
      <w:hyperlink r:id="rId25" w:history="1">
        <w:r>
          <w:rPr>
            <w:rStyle w:val="Hyperlink"/>
            <w:rFonts w:ascii="Sylfaen" w:eastAsia="Sylfaen" w:hAnsi="Sylfaen" w:cs="Sylfaen"/>
          </w:rPr>
          <w:t>https://egyptindependent.com/egypts-dar-al-iftaa-deems-bitcoin-currency-forbidden-islam/</w:t>
        </w:r>
      </w:hyperlink>
      <w:r>
        <w:rPr>
          <w:rFonts w:ascii="Sylfaen" w:eastAsia="Sylfaen" w:hAnsi="Sylfaen" w:cs="Sylfaen"/>
        </w:rPr>
        <w:t xml:space="preserve"> </w:t>
      </w:r>
    </w:p>
    <w:p w14:paraId="64578D73" w14:textId="77777777" w:rsidR="002D338F" w:rsidRDefault="00D77C7F">
      <w:pPr>
        <w:spacing w:after="80"/>
        <w:ind w:left="480" w:hanging="480"/>
      </w:pPr>
      <w:r>
        <w:rPr>
          <w:rFonts w:ascii="Sylfaen" w:eastAsia="Sylfaen" w:hAnsi="Sylfaen" w:cs="Sylfaen"/>
        </w:rPr>
        <w:t xml:space="preserve">Ulusoy, A. and Ela, M. (2018) ‘Secondary market of sukuk: An overview’, </w:t>
      </w:r>
      <w:proofErr w:type="spellStart"/>
      <w:r>
        <w:rPr>
          <w:rFonts w:ascii="Sylfaen" w:eastAsia="Sylfaen" w:hAnsi="Sylfaen" w:cs="Sylfaen"/>
          <w:i/>
          <w:iCs/>
        </w:rPr>
        <w:t>Uluslararası</w:t>
      </w:r>
      <w:proofErr w:type="spellEnd"/>
      <w:r>
        <w:rPr>
          <w:rFonts w:ascii="Sylfaen" w:eastAsia="Sylfaen" w:hAnsi="Sylfaen" w:cs="Sylfaen"/>
          <w:i/>
          <w:iCs/>
        </w:rPr>
        <w:t xml:space="preserve"> İslam </w:t>
      </w:r>
      <w:proofErr w:type="spellStart"/>
      <w:r>
        <w:rPr>
          <w:rFonts w:ascii="Sylfaen" w:eastAsia="Sylfaen" w:hAnsi="Sylfaen" w:cs="Sylfaen"/>
          <w:i/>
          <w:iCs/>
        </w:rPr>
        <w:t>Ekonomisi</w:t>
      </w:r>
      <w:proofErr w:type="spellEnd"/>
      <w:r>
        <w:rPr>
          <w:rFonts w:ascii="Sylfaen" w:eastAsia="Sylfaen" w:hAnsi="Sylfaen" w:cs="Sylfaen"/>
          <w:i/>
          <w:iCs/>
        </w:rPr>
        <w:t xml:space="preserve"> </w:t>
      </w:r>
      <w:proofErr w:type="spellStart"/>
      <w:r>
        <w:rPr>
          <w:rFonts w:ascii="Sylfaen" w:eastAsia="Sylfaen" w:hAnsi="Sylfaen" w:cs="Sylfaen"/>
          <w:i/>
          <w:iCs/>
        </w:rPr>
        <w:t>ve</w:t>
      </w:r>
      <w:proofErr w:type="spellEnd"/>
      <w:r>
        <w:rPr>
          <w:rFonts w:ascii="Sylfaen" w:eastAsia="Sylfaen" w:hAnsi="Sylfaen" w:cs="Sylfaen"/>
          <w:i/>
          <w:iCs/>
        </w:rPr>
        <w:t xml:space="preserve"> </w:t>
      </w:r>
      <w:proofErr w:type="spellStart"/>
      <w:r>
        <w:rPr>
          <w:rFonts w:ascii="Sylfaen" w:eastAsia="Sylfaen" w:hAnsi="Sylfaen" w:cs="Sylfaen"/>
          <w:i/>
          <w:iCs/>
        </w:rPr>
        <w:t>Finansı</w:t>
      </w:r>
      <w:proofErr w:type="spellEnd"/>
      <w:r>
        <w:rPr>
          <w:rFonts w:ascii="Sylfaen" w:eastAsia="Sylfaen" w:hAnsi="Sylfaen" w:cs="Sylfaen"/>
          <w:i/>
          <w:iCs/>
        </w:rPr>
        <w:t xml:space="preserve"> </w:t>
      </w:r>
      <w:proofErr w:type="spellStart"/>
      <w:r>
        <w:rPr>
          <w:rFonts w:ascii="Sylfaen" w:eastAsia="Sylfaen" w:hAnsi="Sylfaen" w:cs="Sylfaen"/>
          <w:i/>
          <w:iCs/>
        </w:rPr>
        <w:t>Araştırmaları</w:t>
      </w:r>
      <w:proofErr w:type="spellEnd"/>
      <w:r>
        <w:rPr>
          <w:rFonts w:ascii="Sylfaen" w:eastAsia="Sylfaen" w:hAnsi="Sylfaen" w:cs="Sylfaen"/>
          <w:i/>
          <w:iCs/>
        </w:rPr>
        <w:t xml:space="preserve"> </w:t>
      </w:r>
      <w:proofErr w:type="spellStart"/>
      <w:r>
        <w:rPr>
          <w:rFonts w:ascii="Sylfaen" w:eastAsia="Sylfaen" w:hAnsi="Sylfaen" w:cs="Sylfaen"/>
          <w:i/>
          <w:iCs/>
        </w:rPr>
        <w:t>Dergisi</w:t>
      </w:r>
      <w:proofErr w:type="spellEnd"/>
      <w:r>
        <w:rPr>
          <w:rFonts w:ascii="Sylfaen" w:eastAsia="Sylfaen" w:hAnsi="Sylfaen" w:cs="Sylfaen"/>
        </w:rPr>
        <w:t xml:space="preserve">, 4(2), pp. 17–32. </w:t>
      </w:r>
      <w:proofErr w:type="spellStart"/>
      <w:r>
        <w:rPr>
          <w:rFonts w:ascii="Sylfaen" w:eastAsia="Sylfaen" w:hAnsi="Sylfaen" w:cs="Sylfaen"/>
        </w:rPr>
        <w:t>doi</w:t>
      </w:r>
      <w:proofErr w:type="spellEnd"/>
      <w:r>
        <w:rPr>
          <w:rFonts w:ascii="Sylfaen" w:eastAsia="Sylfaen" w:hAnsi="Sylfaen" w:cs="Sylfaen"/>
        </w:rPr>
        <w:t>: 10.25272/ijisef.452577</w:t>
      </w:r>
    </w:p>
    <w:p w14:paraId="0DDA6433" w14:textId="77777777" w:rsidR="002D338F" w:rsidRDefault="00D77C7F">
      <w:pPr>
        <w:spacing w:after="80"/>
        <w:ind w:left="480" w:hanging="480"/>
      </w:pPr>
      <w:r>
        <w:rPr>
          <w:rFonts w:ascii="Sylfaen" w:eastAsia="Sylfaen" w:hAnsi="Sylfaen" w:cs="Sylfaen"/>
        </w:rPr>
        <w:t xml:space="preserve">Whitehead, M. (2018) </w:t>
      </w:r>
      <w:r>
        <w:rPr>
          <w:rFonts w:ascii="Sylfaen" w:eastAsia="Sylfaen" w:hAnsi="Sylfaen" w:cs="Sylfaen"/>
          <w:i/>
          <w:iCs/>
        </w:rPr>
        <w:t>Islamic Finance Upgraded: Smarter Sukuk Using Blockchain</w:t>
      </w:r>
      <w:r>
        <w:rPr>
          <w:rFonts w:ascii="Sylfaen" w:eastAsia="Sylfaen" w:hAnsi="Sylfaen" w:cs="Sylfaen"/>
        </w:rPr>
        <w:t xml:space="preserve">. Blossom Finance. Available at: </w:t>
      </w:r>
      <w:hyperlink r:id="rId26" w:history="1">
        <w:r>
          <w:rPr>
            <w:rStyle w:val="Hyperlink"/>
            <w:rFonts w:ascii="Sylfaen" w:eastAsia="Sylfaen" w:hAnsi="Sylfaen" w:cs="Sylfaen"/>
          </w:rPr>
          <w:t>https://blossomfinance.com/press/islamic-finance-upgraded-smarter-sukuk-using-blockchain</w:t>
        </w:r>
      </w:hyperlink>
      <w:r>
        <w:rPr>
          <w:rFonts w:ascii="Sylfaen" w:eastAsia="Sylfaen" w:hAnsi="Sylfaen" w:cs="Sylfaen"/>
        </w:rPr>
        <w:t xml:space="preserve"> </w:t>
      </w:r>
    </w:p>
    <w:p w14:paraId="0E42AFD4" w14:textId="735F673A" w:rsidR="002D338F" w:rsidRDefault="00D77C7F">
      <w:pPr>
        <w:spacing w:after="80"/>
        <w:ind w:left="480" w:hanging="480"/>
      </w:pPr>
      <w:r>
        <w:rPr>
          <w:rFonts w:ascii="Sylfaen" w:eastAsia="Sylfaen" w:hAnsi="Sylfaen" w:cs="Sylfaen"/>
        </w:rPr>
        <w:t>Zawya (2019) ‘</w:t>
      </w:r>
      <w:proofErr w:type="spellStart"/>
      <w:r>
        <w:rPr>
          <w:rFonts w:ascii="Sylfaen" w:eastAsia="Sylfaen" w:hAnsi="Sylfaen" w:cs="Sylfaen"/>
        </w:rPr>
        <w:t>Wethaq’s</w:t>
      </w:r>
      <w:proofErr w:type="spellEnd"/>
      <w:r>
        <w:rPr>
          <w:rFonts w:ascii="Sylfaen" w:eastAsia="Sylfaen" w:hAnsi="Sylfaen" w:cs="Sylfaen"/>
        </w:rPr>
        <w:t xml:space="preserve"> smart contract based Sukuk platform expands Sharia capabilities with Shariyah Review Bureau’, </w:t>
      </w:r>
      <w:r>
        <w:rPr>
          <w:rFonts w:ascii="Sylfaen" w:eastAsia="Sylfaen" w:hAnsi="Sylfaen" w:cs="Sylfaen"/>
          <w:i/>
          <w:iCs/>
        </w:rPr>
        <w:t>Zawya</w:t>
      </w:r>
      <w:r>
        <w:rPr>
          <w:rFonts w:ascii="Sylfaen" w:eastAsia="Sylfaen" w:hAnsi="Sylfaen" w:cs="Sylfaen"/>
        </w:rPr>
        <w:t xml:space="preserve">, 14 February. Available at: </w:t>
      </w:r>
      <w:hyperlink r:id="rId27" w:history="1">
        <w:r>
          <w:rPr>
            <w:rStyle w:val="Hyperlink"/>
            <w:rFonts w:ascii="Sylfaen" w:eastAsia="Sylfaen" w:hAnsi="Sylfaen" w:cs="Sylfaen"/>
          </w:rPr>
          <w:t>https://www.zawya.com/en/press-release/wethaqs-smart-contract-based-Sukuk-platform-expands-sharia-capabilities-with-shariyah-review-bureau-r2zo8xfs</w:t>
        </w:r>
      </w:hyperlink>
      <w:r>
        <w:rPr>
          <w:rFonts w:ascii="Sylfaen" w:eastAsia="Sylfaen" w:hAnsi="Sylfaen" w:cs="Sylfaen"/>
        </w:rPr>
        <w:t xml:space="preserve"> </w:t>
      </w:r>
    </w:p>
    <w:p w14:paraId="6484AFCD" w14:textId="77777777" w:rsidR="00E20E92" w:rsidRDefault="00E20E92" w:rsidP="00CF24EA">
      <w:pPr>
        <w:pStyle w:val="Heading2"/>
        <w:spacing w:before="240" w:after="240" w:line="276" w:lineRule="auto"/>
        <w:rPr>
          <w:rFonts w:ascii="Sylfaen" w:eastAsiaTheme="majorEastAsia" w:hAnsi="Sylfaen" w:cstheme="majorBidi"/>
          <w:b/>
          <w:color w:val="000000" w:themeColor="text1"/>
          <w:sz w:val="24"/>
          <w:lang w:val="en-GB"/>
        </w:rPr>
      </w:pPr>
    </w:p>
    <w:p w14:paraId="65692F2E" w14:textId="77777777" w:rsidR="00E20E92" w:rsidRDefault="00E20E92" w:rsidP="00CF24EA">
      <w:pPr>
        <w:pStyle w:val="Heading2"/>
        <w:spacing w:before="240" w:after="240" w:line="276" w:lineRule="auto"/>
        <w:rPr>
          <w:rFonts w:ascii="Sylfaen" w:eastAsiaTheme="majorEastAsia" w:hAnsi="Sylfaen" w:cstheme="majorBidi"/>
          <w:b/>
          <w:color w:val="000000" w:themeColor="text1"/>
          <w:sz w:val="24"/>
          <w:lang w:val="en-GB"/>
        </w:rPr>
      </w:pPr>
    </w:p>
    <w:p w14:paraId="2F600D71" w14:textId="51592EE7" w:rsidR="002D338F" w:rsidRPr="00CF24EA" w:rsidRDefault="00D77C7F" w:rsidP="00CF24EA">
      <w:pPr>
        <w:pStyle w:val="Heading2"/>
        <w:spacing w:before="240" w:after="240" w:line="276" w:lineRule="auto"/>
        <w:rPr>
          <w:rFonts w:ascii="Sylfaen" w:eastAsiaTheme="majorEastAsia" w:hAnsi="Sylfaen" w:cstheme="majorBidi"/>
          <w:b/>
          <w:color w:val="000000" w:themeColor="text1"/>
          <w:sz w:val="24"/>
          <w:lang w:val="en-GB"/>
        </w:rPr>
      </w:pPr>
      <w:r w:rsidRPr="00CF24EA">
        <w:rPr>
          <w:rFonts w:ascii="Sylfaen" w:eastAsiaTheme="majorEastAsia" w:hAnsi="Sylfaen" w:cstheme="majorBidi"/>
          <w:b/>
          <w:color w:val="000000" w:themeColor="text1"/>
          <w:sz w:val="24"/>
          <w:lang w:val="en-GB"/>
        </w:rPr>
        <w:lastRenderedPageBreak/>
        <w:t>Copyright Statement</w:t>
      </w:r>
    </w:p>
    <w:p w14:paraId="3DF125CF" w14:textId="59219AE9" w:rsidR="00825AF0" w:rsidRPr="00985BF2" w:rsidRDefault="00825AF0" w:rsidP="00825AF0">
      <w:pPr>
        <w:spacing w:before="120" w:after="120"/>
        <w:jc w:val="both"/>
        <w:rPr>
          <w:rFonts w:cs="Arial"/>
          <w:color w:val="212529"/>
          <w:shd w:val="clear" w:color="auto" w:fill="FFFFFF"/>
          <w:lang w:eastAsia="en-GB"/>
        </w:rPr>
      </w:pPr>
      <w:r w:rsidRPr="00281199">
        <w:rPr>
          <w:rFonts w:cs="Arial"/>
          <w:color w:val="212529"/>
          <w:shd w:val="clear" w:color="auto" w:fill="FFFFFF"/>
          <w:lang w:eastAsia="en-GB"/>
        </w:rPr>
        <w:t>©</w:t>
      </w:r>
      <w:r w:rsidRPr="002E07EE">
        <w:t xml:space="preserve"> </w:t>
      </w:r>
      <w:r w:rsidR="00600147" w:rsidRPr="00F805A3">
        <w:rPr>
          <w:rFonts w:ascii="Sylfaen" w:hAnsi="Sylfaen" w:cs="Open Sans"/>
          <w:color w:val="0A0A0A"/>
          <w:shd w:val="clear" w:color="auto" w:fill="FEFEFE"/>
        </w:rPr>
        <w:t>Hssan Alkhamees</w:t>
      </w:r>
      <w:r w:rsidRPr="00281199">
        <w:rPr>
          <w:rFonts w:cs="Arial"/>
          <w:color w:val="212529"/>
          <w:shd w:val="clear" w:color="auto" w:fill="FFFFFF"/>
          <w:lang w:eastAsia="en-GB"/>
        </w:rPr>
        <w:t xml:space="preserve">. This article is licensed under a </w:t>
      </w:r>
      <w:hyperlink r:id="rId28" w:history="1">
        <w:r w:rsidRPr="00281199">
          <w:rPr>
            <w:rStyle w:val="Hyperlink"/>
            <w:rFonts w:cs="Arial"/>
            <w:shd w:val="clear" w:color="auto" w:fill="FFFFFF"/>
            <w:lang w:eastAsia="en-GB"/>
          </w:rPr>
          <w:t>Creative Commons Attribution 4.0 International Licen</w:t>
        </w:r>
        <w:r w:rsidR="007A1D53">
          <w:rPr>
            <w:rStyle w:val="Hyperlink"/>
            <w:rFonts w:cs="Arial"/>
            <w:shd w:val="clear" w:color="auto" w:fill="FFFFFF"/>
            <w:lang w:eastAsia="en-GB"/>
          </w:rPr>
          <w:t>s</w:t>
        </w:r>
        <w:r w:rsidRPr="00281199">
          <w:rPr>
            <w:rStyle w:val="Hyperlink"/>
            <w:rFonts w:cs="Arial"/>
            <w:shd w:val="clear" w:color="auto" w:fill="FFFFFF"/>
            <w:lang w:eastAsia="en-GB"/>
          </w:rPr>
          <w:t>e (CC BY)</w:t>
        </w:r>
      </w:hyperlink>
      <w:r w:rsidRPr="00281199">
        <w:rPr>
          <w:rFonts w:cs="Arial"/>
          <w:color w:val="212529"/>
          <w:shd w:val="clear" w:color="auto" w:fill="FFFFFF"/>
          <w:lang w:eastAsia="en-GB"/>
        </w:rPr>
        <w:t>.</w:t>
      </w:r>
    </w:p>
    <w:p w14:paraId="12F06F16" w14:textId="77777777" w:rsidR="002D338F" w:rsidRDefault="002D338F">
      <w:pPr>
        <w:spacing w:after="120" w:line="276" w:lineRule="auto"/>
      </w:pPr>
    </w:p>
    <w:sectPr w:rsidR="002D338F">
      <w:headerReference w:type="default" r:id="rId29"/>
      <w:footerReference w:type="default" r:id="rId30"/>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5BF615" w14:textId="77777777" w:rsidR="00D27D8F" w:rsidRDefault="00D27D8F">
      <w:r>
        <w:separator/>
      </w:r>
    </w:p>
  </w:endnote>
  <w:endnote w:type="continuationSeparator" w:id="0">
    <w:p w14:paraId="6EE04133" w14:textId="77777777" w:rsidR="00D27D8F" w:rsidRDefault="00D27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022A6F4" w14:textId="1F634F09" w:rsidR="00B05BE2" w:rsidRDefault="00D77C7F" w:rsidP="00B05BE2">
    <w:pPr>
      <w:jc w:val="center"/>
    </w:pPr>
    <w:r>
      <w:fldChar w:fldCharType="begin"/>
    </w:r>
    <w:r>
      <w:instrText>PAGE</w:instrText>
    </w:r>
    <w:r>
      <w:fldChar w:fldCharType="separate"/>
    </w:r>
    <w:r w:rsidR="005A48C7">
      <w:rPr>
        <w:noProof/>
      </w:rPr>
      <w:t>1</w:t>
    </w:r>
    <w:r>
      <w:fldChar w:fldCharType="end"/>
    </w:r>
  </w:p>
  <w:p w14:paraId="3C786FEE" w14:textId="56910001" w:rsidR="00F42610" w:rsidRPr="00990D5E" w:rsidRDefault="00F42610" w:rsidP="00F42610">
    <w:pPr>
      <w:pStyle w:val="Footer"/>
      <w:jc w:val="center"/>
      <w:rPr>
        <w:sz w:val="20"/>
        <w:szCs w:val="20"/>
      </w:rPr>
    </w:pPr>
    <w:r w:rsidRPr="00990D5E">
      <w:rPr>
        <w:noProof/>
        <w:sz w:val="20"/>
        <w:szCs w:val="20"/>
      </w:rPr>
      <w:t xml:space="preserve">This article is </w:t>
    </w:r>
    <w:r>
      <w:rPr>
        <w:noProof/>
        <w:sz w:val="20"/>
        <w:szCs w:val="20"/>
      </w:rPr>
      <w:t xml:space="preserve">licensed </w:t>
    </w:r>
    <w:hyperlink r:id="rId1" w:history="1">
      <w:r w:rsidRPr="00B53462">
        <w:rPr>
          <w:rStyle w:val="Hyperlink"/>
          <w:noProof/>
          <w:sz w:val="20"/>
          <w:szCs w:val="20"/>
        </w:rPr>
        <w:t>CC BY 4.0</w:t>
      </w:r>
    </w:hyperlink>
    <w:r w:rsidRPr="00990D5E">
      <w:rPr>
        <w:noProof/>
        <w:sz w:val="20"/>
        <w:szCs w:val="20"/>
      </w:rPr>
      <w:t xml:space="preserve"> (</w:t>
    </w:r>
    <w:r w:rsidR="001C360A" w:rsidRPr="00F805A3">
      <w:rPr>
        <w:rFonts w:ascii="Sylfaen" w:hAnsi="Sylfaen" w:cs="Open Sans"/>
        <w:color w:val="0A0A0A"/>
        <w:shd w:val="clear" w:color="auto" w:fill="FEFEFE"/>
      </w:rPr>
      <w:t>Hssan Alkhamees</w:t>
    </w:r>
    <w:r w:rsidRPr="00990D5E">
      <w:rPr>
        <w:noProof/>
        <w:sz w:val="20"/>
        <w:szCs w:val="20"/>
      </w:rPr>
      <w:t>)</w:t>
    </w:r>
    <w:r w:rsidRPr="00990D5E">
      <w:rPr>
        <w:noProof/>
        <w:sz w:val="20"/>
        <w:szCs w:val="20"/>
      </w:rPr>
      <w:tab/>
    </w:r>
    <w:r w:rsidRPr="00990D5E">
      <w:rPr>
        <w:noProof/>
        <w:sz w:val="20"/>
        <w:szCs w:val="20"/>
      </w:rPr>
      <w:tab/>
      <w:t xml:space="preserve">Essex Student Journal, </w:t>
    </w:r>
    <w:r>
      <w:rPr>
        <w:noProof/>
        <w:sz w:val="20"/>
        <w:szCs w:val="20"/>
      </w:rPr>
      <w:t>2026, Vol</w:t>
    </w:r>
    <w:r w:rsidRPr="00990D5E">
      <w:rPr>
        <w:noProof/>
        <w:sz w:val="20"/>
        <w:szCs w:val="20"/>
      </w:rPr>
      <w:t>.</w:t>
    </w:r>
    <w:r>
      <w:rPr>
        <w:noProof/>
        <w:sz w:val="20"/>
        <w:szCs w:val="20"/>
      </w:rPr>
      <w:t xml:space="preserve"> 17(1)</w:t>
    </w:r>
  </w:p>
  <w:p w14:paraId="305B5FD6" w14:textId="1E57B284" w:rsidR="00F42610" w:rsidRPr="00F42610" w:rsidRDefault="00F42610" w:rsidP="00F42610">
    <w:pPr>
      <w:pStyle w:val="Footer"/>
      <w:rPr>
        <w:sz w:val="20"/>
        <w:szCs w:val="20"/>
      </w:rPr>
    </w:pPr>
    <w:r w:rsidRPr="00990D5E">
      <w:rPr>
        <w:sz w:val="20"/>
        <w:szCs w:val="20"/>
      </w:rPr>
      <w:t xml:space="preserve">DOI: </w:t>
    </w:r>
    <w:hyperlink r:id="rId2" w:history="1">
      <w:r w:rsidR="00A36C77" w:rsidRPr="00850562">
        <w:rPr>
          <w:rStyle w:val="Hyperlink"/>
          <w:sz w:val="20"/>
          <w:szCs w:val="20"/>
        </w:rPr>
        <w:t>https://doi.org/10.5526/esj.4</w:t>
      </w:r>
      <w:r w:rsidR="00A36C77" w:rsidRPr="00850562">
        <w:rPr>
          <w:rStyle w:val="Hyperlink"/>
          <w:sz w:val="20"/>
          <w:szCs w:val="20"/>
        </w:rPr>
        <w:t>6</w:t>
      </w:r>
      <w:r w:rsidR="00A36C77" w:rsidRPr="00850562">
        <w:rPr>
          <w:rStyle w:val="Hyperlink"/>
          <w:sz w:val="20"/>
          <w:szCs w:val="20"/>
        </w:rPr>
        <w:t>9</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3C897F3" w14:textId="77777777" w:rsidR="00D27D8F" w:rsidRDefault="00D27D8F">
      <w:r>
        <w:separator/>
      </w:r>
    </w:p>
  </w:footnote>
  <w:footnote w:type="continuationSeparator" w:id="0">
    <w:p w14:paraId="208AC74E" w14:textId="77777777" w:rsidR="00D27D8F" w:rsidRDefault="00D27D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2E3634D" w14:textId="4D3AC8FE" w:rsidR="006629B6" w:rsidRPr="00856A5A" w:rsidRDefault="0089742A" w:rsidP="00A02D0D">
    <w:pPr>
      <w:spacing w:after="280"/>
    </w:pPr>
    <w:r w:rsidRPr="00856A5A">
      <w:rPr>
        <w:rFonts w:ascii="Sylfaen" w:eastAsia="Sylfaen" w:hAnsi="Sylfaen" w:cs="Sylfaen"/>
      </w:rPr>
      <w:t>From Legal Mimicry to Algorithmic Integrity: Smart Sukuk and the Case for Embedding Sharia Compliance in Code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D7B1B20"/>
    <w:multiLevelType w:val="hybridMultilevel"/>
    <w:tmpl w:val="82463E88"/>
    <w:lvl w:ilvl="0" w:tplc="67F466F6">
      <w:start w:val="1"/>
      <w:numFmt w:val="bullet"/>
      <w:lvlText w:val="●"/>
      <w:lvlJc w:val="left"/>
      <w:pPr>
        <w:ind w:left="720" w:hanging="360"/>
      </w:pPr>
    </w:lvl>
    <w:lvl w:ilvl="1" w:tplc="40A20E04">
      <w:start w:val="1"/>
      <w:numFmt w:val="bullet"/>
      <w:lvlText w:val="○"/>
      <w:lvlJc w:val="left"/>
      <w:pPr>
        <w:ind w:left="1440" w:hanging="360"/>
      </w:pPr>
    </w:lvl>
    <w:lvl w:ilvl="2" w:tplc="0F4AC94E">
      <w:start w:val="1"/>
      <w:numFmt w:val="bullet"/>
      <w:lvlText w:val="■"/>
      <w:lvlJc w:val="left"/>
      <w:pPr>
        <w:ind w:left="2160" w:hanging="360"/>
      </w:pPr>
    </w:lvl>
    <w:lvl w:ilvl="3" w:tplc="68F4CC40">
      <w:start w:val="1"/>
      <w:numFmt w:val="bullet"/>
      <w:lvlText w:val="●"/>
      <w:lvlJc w:val="left"/>
      <w:pPr>
        <w:ind w:left="2880" w:hanging="360"/>
      </w:pPr>
    </w:lvl>
    <w:lvl w:ilvl="4" w:tplc="670A65B8">
      <w:start w:val="1"/>
      <w:numFmt w:val="bullet"/>
      <w:lvlText w:val="○"/>
      <w:lvlJc w:val="left"/>
      <w:pPr>
        <w:ind w:left="3600" w:hanging="360"/>
      </w:pPr>
    </w:lvl>
    <w:lvl w:ilvl="5" w:tplc="D9B47B04">
      <w:start w:val="1"/>
      <w:numFmt w:val="bullet"/>
      <w:lvlText w:val="■"/>
      <w:lvlJc w:val="left"/>
      <w:pPr>
        <w:ind w:left="4320" w:hanging="360"/>
      </w:pPr>
    </w:lvl>
    <w:lvl w:ilvl="6" w:tplc="D876A146">
      <w:start w:val="1"/>
      <w:numFmt w:val="bullet"/>
      <w:lvlText w:val="●"/>
      <w:lvlJc w:val="left"/>
      <w:pPr>
        <w:ind w:left="5040" w:hanging="360"/>
      </w:pPr>
    </w:lvl>
    <w:lvl w:ilvl="7" w:tplc="6F9AE55A">
      <w:start w:val="1"/>
      <w:numFmt w:val="bullet"/>
      <w:lvlText w:val="●"/>
      <w:lvlJc w:val="left"/>
      <w:pPr>
        <w:ind w:left="5760" w:hanging="360"/>
      </w:pPr>
    </w:lvl>
    <w:lvl w:ilvl="8" w:tplc="3284453C">
      <w:start w:val="1"/>
      <w:numFmt w:val="bullet"/>
      <w:lvlText w:val="●"/>
      <w:lvlJc w:val="left"/>
      <w:pPr>
        <w:ind w:left="6480" w:hanging="360"/>
      </w:pPr>
    </w:lvl>
  </w:abstractNum>
  <w:num w:numId="1" w16cid:durableId="981889267">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38F"/>
    <w:rsid w:val="00014B03"/>
    <w:rsid w:val="0001539D"/>
    <w:rsid w:val="0015564D"/>
    <w:rsid w:val="001C360A"/>
    <w:rsid w:val="0021398C"/>
    <w:rsid w:val="002D0B5D"/>
    <w:rsid w:val="002D338F"/>
    <w:rsid w:val="002F3E20"/>
    <w:rsid w:val="0031581D"/>
    <w:rsid w:val="00426E3B"/>
    <w:rsid w:val="004325D1"/>
    <w:rsid w:val="00467E3A"/>
    <w:rsid w:val="00473AD6"/>
    <w:rsid w:val="004E20CA"/>
    <w:rsid w:val="004F5AD7"/>
    <w:rsid w:val="005415B8"/>
    <w:rsid w:val="005A48C7"/>
    <w:rsid w:val="005D4A43"/>
    <w:rsid w:val="005D725D"/>
    <w:rsid w:val="005F6C30"/>
    <w:rsid w:val="00600147"/>
    <w:rsid w:val="006001CE"/>
    <w:rsid w:val="006500D6"/>
    <w:rsid w:val="006629B6"/>
    <w:rsid w:val="00692FF7"/>
    <w:rsid w:val="006B5D93"/>
    <w:rsid w:val="00703329"/>
    <w:rsid w:val="00713D84"/>
    <w:rsid w:val="00713FE8"/>
    <w:rsid w:val="00716282"/>
    <w:rsid w:val="007A1D53"/>
    <w:rsid w:val="00825AF0"/>
    <w:rsid w:val="00833ED0"/>
    <w:rsid w:val="00856A5A"/>
    <w:rsid w:val="0089742A"/>
    <w:rsid w:val="008B272C"/>
    <w:rsid w:val="008C0003"/>
    <w:rsid w:val="00947BF5"/>
    <w:rsid w:val="00972473"/>
    <w:rsid w:val="00A02D0D"/>
    <w:rsid w:val="00A36C77"/>
    <w:rsid w:val="00A54EE2"/>
    <w:rsid w:val="00A62D17"/>
    <w:rsid w:val="00AA785F"/>
    <w:rsid w:val="00AC0B12"/>
    <w:rsid w:val="00AE6452"/>
    <w:rsid w:val="00AF4B89"/>
    <w:rsid w:val="00B05BE2"/>
    <w:rsid w:val="00B1310B"/>
    <w:rsid w:val="00B47B95"/>
    <w:rsid w:val="00C2431E"/>
    <w:rsid w:val="00C776C9"/>
    <w:rsid w:val="00C830A5"/>
    <w:rsid w:val="00CB1F1D"/>
    <w:rsid w:val="00CF24EA"/>
    <w:rsid w:val="00D173E1"/>
    <w:rsid w:val="00D27D8F"/>
    <w:rsid w:val="00D77C7F"/>
    <w:rsid w:val="00DA53E1"/>
    <w:rsid w:val="00E20E92"/>
    <w:rsid w:val="00E32548"/>
    <w:rsid w:val="00E4441D"/>
    <w:rsid w:val="00EA1F04"/>
    <w:rsid w:val="00F34B61"/>
    <w:rsid w:val="00F42610"/>
    <w:rsid w:val="00F805A3"/>
    <w:rsid w:val="00F90C4B"/>
    <w:rsid w:val="00FB23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FE9E0"/>
  <w15:docId w15:val="{DC1E10F6-63B2-4D95-AFAC-25CDD9909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link w:val="Heading2Char"/>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6629B6"/>
    <w:pPr>
      <w:tabs>
        <w:tab w:val="center" w:pos="4680"/>
        <w:tab w:val="right" w:pos="9360"/>
      </w:tabs>
    </w:pPr>
  </w:style>
  <w:style w:type="character" w:customStyle="1" w:styleId="HeaderChar">
    <w:name w:val="Header Char"/>
    <w:basedOn w:val="DefaultParagraphFont"/>
    <w:link w:val="Header"/>
    <w:uiPriority w:val="99"/>
    <w:rsid w:val="006629B6"/>
  </w:style>
  <w:style w:type="paragraph" w:styleId="Footer">
    <w:name w:val="footer"/>
    <w:basedOn w:val="Normal"/>
    <w:link w:val="FooterChar"/>
    <w:uiPriority w:val="99"/>
    <w:unhideWhenUsed/>
    <w:rsid w:val="006629B6"/>
    <w:pPr>
      <w:tabs>
        <w:tab w:val="center" w:pos="4680"/>
        <w:tab w:val="right" w:pos="9360"/>
      </w:tabs>
    </w:pPr>
  </w:style>
  <w:style w:type="character" w:customStyle="1" w:styleId="FooterChar">
    <w:name w:val="Footer Char"/>
    <w:basedOn w:val="DefaultParagraphFont"/>
    <w:link w:val="Footer"/>
    <w:uiPriority w:val="99"/>
    <w:rsid w:val="006629B6"/>
  </w:style>
  <w:style w:type="character" w:styleId="UnresolvedMention">
    <w:name w:val="Unresolved Mention"/>
    <w:basedOn w:val="DefaultParagraphFont"/>
    <w:uiPriority w:val="99"/>
    <w:semiHidden/>
    <w:unhideWhenUsed/>
    <w:rsid w:val="004E20CA"/>
    <w:rPr>
      <w:color w:val="605E5C"/>
      <w:shd w:val="clear" w:color="auto" w:fill="E1DFDD"/>
    </w:rPr>
  </w:style>
  <w:style w:type="paragraph" w:styleId="Caption">
    <w:name w:val="caption"/>
    <w:basedOn w:val="Normal"/>
    <w:next w:val="Normal"/>
    <w:uiPriority w:val="35"/>
    <w:unhideWhenUsed/>
    <w:qFormat/>
    <w:pPr>
      <w:spacing w:before="60" w:after="240"/>
      <w:jc w:val="center"/>
    </w:pPr>
    <w:rPr>
      <w:rFonts w:ascii="Sylfaen" w:eastAsia="Sylfaen" w:hAnsi="Sylfaen" w:cs="Sylfaen"/>
      <w:i/>
      <w:iCs/>
      <w:sz w:val="20"/>
      <w:szCs w:val="20"/>
    </w:rPr>
  </w:style>
  <w:style w:type="character" w:customStyle="1" w:styleId="Heading2Char">
    <w:name w:val="Heading 2 Char"/>
    <w:basedOn w:val="DefaultParagraphFont"/>
    <w:link w:val="Heading2"/>
    <w:uiPriority w:val="9"/>
    <w:rsid w:val="006001CE"/>
    <w:rPr>
      <w:color w:val="2E74B5"/>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aoifi.com/shariaa-standards/?lang=en" TargetMode="External"/><Relationship Id="rId18" Type="http://schemas.openxmlformats.org/officeDocument/2006/relationships/hyperlink" Target="https://depot.univ-msila.dz/items/ffb64f8e-415a-4694-b817-8c3825fe2736/full" TargetMode="External"/><Relationship Id="rId26" Type="http://schemas.openxmlformats.org/officeDocument/2006/relationships/hyperlink" Target="https://blossomfinance.com/press/islamic-finance-upgraded-smarter-sukuk-using-blockchain" TargetMode="External"/><Relationship Id="rId3" Type="http://schemas.openxmlformats.org/officeDocument/2006/relationships/customXml" Target="../customXml/item3.xml"/><Relationship Id="rId21" Type="http://schemas.openxmlformats.org/officeDocument/2006/relationships/hyperlink" Target="https://portal.shariasource.com/documents/4463" TargetMode="Externa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s://www.adb.org/what-we-do/sectors/finance/islamic-finance" TargetMode="External"/><Relationship Id="rId25" Type="http://schemas.openxmlformats.org/officeDocument/2006/relationships/hyperlink" Target="https://egyptindependent.com/egypts-dar-al-iftaa-deems-bitcoin-currency-forbidden-islam/" TargetMode="External"/><Relationship Id="rId2" Type="http://schemas.openxmlformats.org/officeDocument/2006/relationships/customXml" Target="../customXml/item2.xml"/><Relationship Id="rId16" Type="http://schemas.openxmlformats.org/officeDocument/2006/relationships/hyperlink" Target="https://www.iifm.net/sukuk-reports" TargetMode="External"/><Relationship Id="rId20" Type="http://schemas.openxmlformats.org/officeDocument/2006/relationships/hyperlink" Target="https://irep.iium.edu.my/67145/"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s://www.fon.hum.uva.nl/rob/Courses/InformationInSpeech/CDROM/Literature/LOTwinterschool2006/szabo.best.vwh.net/smart_contracts_2.html"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fitchratings.com/research/islamic-finance/global-outstanding-sukuk-to-cross-usd1-trillion-in-2025-overall-credit-profile-stable-08-01-2025" TargetMode="External"/><Relationship Id="rId23" Type="http://schemas.openxmlformats.org/officeDocument/2006/relationships/hyperlink" Target="https://www.spa.gov.sa/en/N2546753" TargetMode="External"/><Relationship Id="rId28" Type="http://schemas.openxmlformats.org/officeDocument/2006/relationships/hyperlink" Target="https://creativecommons.org/licenses/by/4.0/deed.en" TargetMode="External"/><Relationship Id="rId10" Type="http://schemas.openxmlformats.org/officeDocument/2006/relationships/image" Target="media/image1.png"/><Relationship Id="rId19" Type="http://schemas.openxmlformats.org/officeDocument/2006/relationships/hyperlink" Target="https://www.packtpub.com/product/mastering-blockchain-second-edition/9781788839044"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alhilalbank.ae/en/news/2018/november/al-hilal-bank-executes-the-worlds-first-blockchain-Sukuk-transaction.aspx" TargetMode="External"/><Relationship Id="rId22" Type="http://schemas.openxmlformats.org/officeDocument/2006/relationships/hyperlink" Target="https://www.spa.gov.sa/en/N2511536" TargetMode="External"/><Relationship Id="rId27" Type="http://schemas.openxmlformats.org/officeDocument/2006/relationships/hyperlink" Target="https://www.zawya.com/en/press-release/wethaqs-smart-contract-based-Sukuk-platform-expands-sharia-capabilities-with-shariyah-review-bureau-r2zo8xfs"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s://doi.org/10.5526/esj.469" TargetMode="External"/><Relationship Id="rId1" Type="http://schemas.openxmlformats.org/officeDocument/2006/relationships/hyperlink" Target="https://creativecommons.org/licenses/by/4.0/dee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5850F6A-8769-4D62-8C9D-762B5E41B9EB}">
  <we:reference id="wa200010453" version="1.0.0.1" store="en-US" storeType="OMEX"/>
  <we:alternateReferences>
    <we:reference id="WA200010453" version="1.0.0.1" store="" storeType="OMEX"/>
  </we:alternateReferences>
  <we:properties>
    <we:property name="claude.fileId" value="&quot;727e23ef-840b-45de-8747-998814c5b54d&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69626DFF851845A9A0F7A1970EC64A" ma:contentTypeVersion="8" ma:contentTypeDescription="Create a new document." ma:contentTypeScope="" ma:versionID="260a4803c4137dde0456e038bf8b4388">
  <xsd:schema xmlns:xsd="http://www.w3.org/2001/XMLSchema" xmlns:xs="http://www.w3.org/2001/XMLSchema" xmlns:p="http://schemas.microsoft.com/office/2006/metadata/properties" xmlns:ns3="1aeab393-f5ec-412f-9d91-a3723387f76b" xmlns:ns4="aea840bb-24f0-419d-ac88-51c662055620" targetNamespace="http://schemas.microsoft.com/office/2006/metadata/properties" ma:root="true" ma:fieldsID="cd8978cff694918e7e879c92f3839c46" ns3:_="" ns4:_="">
    <xsd:import namespace="1aeab393-f5ec-412f-9d91-a3723387f76b"/>
    <xsd:import namespace="aea840bb-24f0-419d-ac88-51c66205562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eab393-f5ec-412f-9d91-a3723387f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a840bb-24f0-419d-ac88-51c66205562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aeab393-f5ec-412f-9d91-a3723387f76b" xsi:nil="true"/>
  </documentManagement>
</p:properties>
</file>

<file path=customXml/itemProps1.xml><?xml version="1.0" encoding="utf-8"?>
<ds:datastoreItem xmlns:ds="http://schemas.openxmlformats.org/officeDocument/2006/customXml" ds:itemID="{4F11E7B2-9270-456A-8F38-532BE0AA51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eab393-f5ec-412f-9d91-a3723387f76b"/>
    <ds:schemaRef ds:uri="aea840bb-24f0-419d-ac88-51c6620556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C0EB18-FF6C-40F4-B2E2-0EA7E959D69D}">
  <ds:schemaRefs>
    <ds:schemaRef ds:uri="http://schemas.microsoft.com/sharepoint/v3/contenttype/forms"/>
  </ds:schemaRefs>
</ds:datastoreItem>
</file>

<file path=customXml/itemProps3.xml><?xml version="1.0" encoding="utf-8"?>
<ds:datastoreItem xmlns:ds="http://schemas.openxmlformats.org/officeDocument/2006/customXml" ds:itemID="{2B77AD7D-7413-47D2-A165-78B90D2DFB5A}">
  <ds:schemaRefs>
    <ds:schemaRef ds:uri="http://schemas.microsoft.com/office/2006/metadata/properties"/>
    <ds:schemaRef ds:uri="http://schemas.microsoft.com/office/infopath/2007/PartnerControls"/>
    <ds:schemaRef ds:uri="1aeab393-f5ec-412f-9d91-a3723387f76b"/>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4730</Words>
  <Characters>26964</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Olorunju, Samson B</cp:lastModifiedBy>
  <cp:revision>2</cp:revision>
  <dcterms:created xsi:type="dcterms:W3CDTF">2026-08-30T21:37:00Z</dcterms:created>
  <dcterms:modified xsi:type="dcterms:W3CDTF">2026-08-30T21:37:00Z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0x0101003F69626DFF851845A9A0F7A1970EC64A</vt:lpwstr>
  </property>
</Properties>
</file>