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BADC" w14:textId="77777777" w:rsidR="009B7F57" w:rsidRPr="00A538B5" w:rsidRDefault="009B7F57" w:rsidP="009B7F57">
      <w:pPr>
        <w:pBdr>
          <w:bottom w:val="single" w:sz="4" w:space="1" w:color="auto"/>
        </w:pBdr>
        <w:tabs>
          <w:tab w:val="right" w:pos="9026"/>
        </w:tabs>
        <w:spacing w:after="160"/>
        <w:rPr>
          <w:i/>
        </w:rPr>
      </w:pPr>
      <w:r>
        <w:rPr>
          <w:i/>
        </w:rPr>
        <w:t xml:space="preserve">Research Paper </w:t>
      </w:r>
      <w:r>
        <w:rPr>
          <w:i/>
        </w:rPr>
        <w:tab/>
      </w:r>
    </w:p>
    <w:p w14:paraId="3D0660C4" w14:textId="77777777" w:rsidR="009B7F57" w:rsidRPr="008B3904" w:rsidRDefault="009B7F57" w:rsidP="009B7F57">
      <w:pPr>
        <w:pStyle w:val="Title"/>
        <w:spacing w:after="160"/>
        <w:rPr>
          <w:rFonts w:ascii="Sylfaen" w:hAnsi="Sylfaen"/>
          <w:sz w:val="48"/>
        </w:rPr>
      </w:pPr>
      <w:r w:rsidRPr="00CA6CE0">
        <w:rPr>
          <w:rFonts w:ascii="Sylfaen" w:hAnsi="Sylfaen"/>
          <w:sz w:val="48"/>
        </w:rPr>
        <w:t>The Role of Socioeconomic Factors in Machine Learning-Based Classification of Student Stress Levels</w:t>
      </w:r>
    </w:p>
    <w:p w14:paraId="38BB06AF" w14:textId="1658FA66" w:rsidR="009B7F57" w:rsidRPr="003F5971" w:rsidRDefault="00C0678E" w:rsidP="009B7F57">
      <w:pPr>
        <w:spacing w:after="160" w:line="360" w:lineRule="auto"/>
      </w:pPr>
      <w:r>
        <w:t>Tapu Biswas</w:t>
      </w:r>
      <w:r w:rsidR="009B7F57">
        <w:t xml:space="preserve"> </w:t>
      </w:r>
    </w:p>
    <w:p w14:paraId="79FC4C59" w14:textId="77777777" w:rsidR="009B7F57" w:rsidRPr="00331418" w:rsidRDefault="009B7F57" w:rsidP="009B7F57">
      <w:pPr>
        <w:pBdr>
          <w:bottom w:val="single" w:sz="4" w:space="1" w:color="auto"/>
        </w:pBdr>
        <w:spacing w:after="160"/>
      </w:pPr>
      <w:r w:rsidRPr="00331418">
        <w:t>University of Essex</w:t>
      </w:r>
    </w:p>
    <w:p w14:paraId="5F09FE4C" w14:textId="77777777" w:rsidR="009B7F57" w:rsidRPr="00B45D8B" w:rsidRDefault="009B7F57" w:rsidP="009B7F57">
      <w:pPr>
        <w:pStyle w:val="Heading2"/>
        <w:rPr>
          <w:sz w:val="36"/>
        </w:rPr>
      </w:pPr>
      <w:r w:rsidRPr="00B45D8B">
        <w:t>Abstract</w:t>
      </w:r>
    </w:p>
    <w:p w14:paraId="1D6D8F24" w14:textId="47170F8A" w:rsidR="009B7F57" w:rsidRDefault="009B7F57" w:rsidP="009F3A7B">
      <w:pPr>
        <w:spacing w:after="160"/>
        <w:ind w:left="720"/>
        <w:jc w:val="both"/>
      </w:pPr>
      <w:r w:rsidRPr="00F34910">
        <w:t xml:space="preserve">Stress among university students is a significant issue affecting their emotional, physical, and cognitive well-being. </w:t>
      </w:r>
      <w:r>
        <w:t xml:space="preserve">Stress </w:t>
      </w:r>
      <w:r w:rsidRPr="00F34910">
        <w:t xml:space="preserve">can lead to anxiety, depression, and impaired academic performance. Early detection is </w:t>
      </w:r>
      <w:r>
        <w:t>important</w:t>
      </w:r>
      <w:r w:rsidRPr="00F34910">
        <w:t xml:space="preserve"> for mental health and academic success. This study used machine learning to predict stress levels in undergraduate students based on socioeconomic data from an online survey in Bangladesh</w:t>
      </w:r>
      <w:r>
        <w:t xml:space="preserve"> and to identify if only the socioeconomic factor affects the student stress</w:t>
      </w:r>
      <w:r w:rsidRPr="00F34910">
        <w:t xml:space="preserve">, using the PSS-10 stress scale. Results showed varying stress levels among students. </w:t>
      </w:r>
      <w:r w:rsidRPr="00B84347">
        <w:t>Ten models were tested—including Naive Bayes, Random Forest, Decision Tree, CART, Logistic Regression, K-Nearest Neighbors, SVM, AdaBoost, and Baggin</w:t>
      </w:r>
      <w:r>
        <w:t xml:space="preserve">g </w:t>
      </w:r>
      <w:r w:rsidRPr="00B84347">
        <w:t>with the highest accuracy of 97</w:t>
      </w:r>
      <w:r>
        <w:t>.</w:t>
      </w:r>
      <w:r w:rsidRPr="00B84347">
        <w:t>92</w:t>
      </w:r>
      <w:r>
        <w:t>%</w:t>
      </w:r>
      <w:r w:rsidRPr="00B84347">
        <w:t xml:space="preserve"> achieved by Decision Tree, CART, AdaBoost, and Bagging</w:t>
      </w:r>
      <w:r>
        <w:t xml:space="preserve"> using all the factors</w:t>
      </w:r>
      <w:r w:rsidRPr="00B84347">
        <w:t>.</w:t>
      </w:r>
      <w:r>
        <w:t xml:space="preserve"> </w:t>
      </w:r>
      <w:r w:rsidRPr="00F32B58">
        <w:t>To examine the specific influence of socioeconomic factors, a secondary experiment was conducted using only socioeconomic attributes (family income, living status, fee provider, socioeconomic class). The SES-only model achieved lower accuracy (46%), indicating that socioeconomic conditions are not the only factors that influence stress among students.</w:t>
      </w:r>
    </w:p>
    <w:p w14:paraId="0F191047" w14:textId="77777777" w:rsidR="009B7F57" w:rsidRDefault="009B7F57" w:rsidP="009F3A7B">
      <w:pPr>
        <w:spacing w:after="160"/>
        <w:ind w:left="720"/>
        <w:jc w:val="both"/>
      </w:pPr>
      <w:r w:rsidRPr="00ED039A">
        <w:rPr>
          <w:rStyle w:val="Heading1Char"/>
          <w:color w:val="auto"/>
          <w:sz w:val="22"/>
        </w:rPr>
        <w:t>Keywords:</w:t>
      </w:r>
      <w:r w:rsidRPr="00331418">
        <w:t xml:space="preserve">  </w:t>
      </w:r>
      <w:r>
        <w:t>Student Stress, University, Machine Learning, Socioeconomic Factors, PSS-10, Stress Classification</w:t>
      </w:r>
    </w:p>
    <w:p w14:paraId="4F92301C" w14:textId="47443256" w:rsidR="009B7F57" w:rsidRDefault="009B7F57" w:rsidP="009B7F57">
      <w:pPr>
        <w:spacing w:after="160" w:line="360" w:lineRule="auto"/>
      </w:pPr>
      <w:r w:rsidRPr="043F50B3">
        <w:rPr>
          <w:b/>
          <w:bCs/>
        </w:rPr>
        <w:t>Date of Submission:</w:t>
      </w:r>
      <w:r>
        <w:t xml:space="preserve"> </w:t>
      </w:r>
      <w:r w:rsidR="00C0678E">
        <w:t>26</w:t>
      </w:r>
      <w:r>
        <w:t>.</w:t>
      </w:r>
      <w:r w:rsidR="00C0678E">
        <w:t>08</w:t>
      </w:r>
      <w:r>
        <w:t>.</w:t>
      </w:r>
      <w:r w:rsidR="00C0678E">
        <w:t>2025</w:t>
      </w:r>
      <w:r>
        <w:tab/>
      </w:r>
      <w:r>
        <w:tab/>
      </w:r>
      <w:r>
        <w:tab/>
      </w:r>
      <w:r w:rsidRPr="043F50B3">
        <w:rPr>
          <w:b/>
          <w:bCs/>
        </w:rPr>
        <w:t>Date of Acceptance:</w:t>
      </w:r>
      <w:r>
        <w:t xml:space="preserve"> </w:t>
      </w:r>
      <w:r w:rsidR="00C0678E">
        <w:t>15</w:t>
      </w:r>
      <w:r>
        <w:t>.</w:t>
      </w:r>
      <w:r w:rsidR="00C0678E">
        <w:t>01</w:t>
      </w:r>
      <w:r>
        <w:t>.</w:t>
      </w:r>
      <w:r w:rsidR="00C0678E">
        <w:t>2026</w:t>
      </w:r>
    </w:p>
    <w:p w14:paraId="31C1DFE0" w14:textId="77777777" w:rsidR="009B7F57" w:rsidRDefault="009B7F57" w:rsidP="009B7F57">
      <w:pPr>
        <w:pStyle w:val="Heading2"/>
      </w:pPr>
      <w:r>
        <w:t>AI Statement</w:t>
      </w:r>
    </w:p>
    <w:p w14:paraId="75B66692" w14:textId="77777777" w:rsidR="009B7F57" w:rsidRPr="00167141" w:rsidRDefault="009B7F57" w:rsidP="00167141">
      <w:pPr>
        <w:spacing w:after="160"/>
        <w:jc w:val="both"/>
        <w:rPr>
          <w:i/>
          <w:iCs/>
        </w:rPr>
      </w:pPr>
      <w:r w:rsidRPr="00167141">
        <w:rPr>
          <w:i/>
          <w:iCs/>
        </w:rPr>
        <w:t>I have used AI tools to review the text and enhance the clarity, grammar, and readability of the writing. All ideas, interpretations, and conclusions presented are my own.</w:t>
      </w:r>
    </w:p>
    <w:p w14:paraId="7189D2D7" w14:textId="77777777" w:rsidR="009B7F57" w:rsidRPr="001463E9" w:rsidRDefault="009B7F57" w:rsidP="009B7F57">
      <w:pPr>
        <w:pStyle w:val="Heading2"/>
      </w:pPr>
      <w:r>
        <w:t>Introduction</w:t>
      </w:r>
    </w:p>
    <w:p w14:paraId="4F6A8036" w14:textId="2823E712" w:rsidR="009B7F57" w:rsidRPr="00331418" w:rsidRDefault="009B7F57" w:rsidP="009B7F57">
      <w:pPr>
        <w:spacing w:after="160"/>
        <w:jc w:val="both"/>
      </w:pPr>
      <w:r>
        <w:t>Stress is a reaction to pressure and can manifest in various ways, affecting both the physical and mental aspects of the human body (</w:t>
      </w:r>
      <w:r w:rsidRPr="00871035">
        <w:t>Yılmaz Koğar and Koğar, 2024</w:t>
      </w:r>
      <w:r>
        <w:t xml:space="preserve">). Stress is a regularly occurring emotion in all aspects of human life, including among students, that affects them academically, </w:t>
      </w:r>
      <w:r>
        <w:lastRenderedPageBreak/>
        <w:t>socially, physically, and emotionally (</w:t>
      </w:r>
      <w:r w:rsidRPr="00871035">
        <w:t>Di Mario et al., 2024</w:t>
      </w:r>
      <w:r>
        <w:t>). Stress is a normal feeling intended to assist a person in managing specific stressful circumstances. In small amounts, it can be productive; otherwise, excessive stress can lead to mental health problems such as depression and anxiety that affect a student’s academic performance (</w:t>
      </w:r>
      <w:r w:rsidRPr="00A82B63">
        <w:t>Öztekin et al., 2025</w:t>
      </w:r>
      <w:r>
        <w:t xml:space="preserve">, </w:t>
      </w:r>
      <w:r w:rsidRPr="00A82B63">
        <w:t>Ribeiro et al., 2018</w:t>
      </w:r>
      <w:r>
        <w:t>). Socioeconomic status includes family income, parental education, parental occupation, and the social class of a family within society (</w:t>
      </w:r>
      <w:r w:rsidRPr="00A82B63">
        <w:t>Erola et al., 2016</w:t>
      </w:r>
      <w:r>
        <w:t xml:space="preserve">). Low socioeconomic status can affect students with cognitive ability, language, memory, </w:t>
      </w:r>
      <w:r w:rsidR="009F3A7B">
        <w:t xml:space="preserve">and </w:t>
      </w:r>
      <w:r>
        <w:t>socioemotional processes, and hence, income and health in later years (</w:t>
      </w:r>
      <w:r w:rsidRPr="00A82B63">
        <w:t>Nja et al., 2022</w:t>
      </w:r>
      <w:r>
        <w:t>). Schools located in low socioeconomic status areas can be compared to lacking the necessary resources for students to progress academically, which can later affect students in their academic life (</w:t>
      </w:r>
      <w:r w:rsidRPr="00A82B63">
        <w:t>Meier-Faust and Watermann, 2024</w:t>
      </w:r>
      <w:r>
        <w:t>). Reasons like this can create stress among students regarding their studies at their undergraduate level. Female students are more likely to experience depression, anxiety, and stress compared to male students (</w:t>
      </w:r>
      <w:r w:rsidRPr="00C40A07">
        <w:t>Gao et al., 2020</w:t>
      </w:r>
      <w:r>
        <w:t>). A study found that undergraduate students have a higher level of stress compared to postgraduate students (</w:t>
      </w:r>
      <w:r w:rsidRPr="00C40A07">
        <w:t>MacKinnon et al., 2024</w:t>
      </w:r>
      <w:r>
        <w:t>).</w:t>
      </w:r>
    </w:p>
    <w:p w14:paraId="43C56611" w14:textId="77777777" w:rsidR="009B7F57" w:rsidRPr="00CF5C0C" w:rsidRDefault="009B7F57" w:rsidP="009B7F57">
      <w:pPr>
        <w:pStyle w:val="Heading3"/>
        <w:spacing w:line="276" w:lineRule="auto"/>
      </w:pPr>
      <w:r>
        <w:t>Motivation</w:t>
      </w:r>
    </w:p>
    <w:p w14:paraId="06E97AD6" w14:textId="76E000D7" w:rsidR="009B7F57" w:rsidRDefault="009B7F57" w:rsidP="009B7F57">
      <w:pPr>
        <w:spacing w:before="240"/>
        <w:jc w:val="both"/>
      </w:pPr>
      <w:r>
        <w:t xml:space="preserve">Student stress is increasing globally and can have significant impacts on both academic and psychological health. Socioeconomic factors have a direct impact on the daily lives of students and greatly contribute to the amount of stress they endure. Identifying stressed students at the outset is difficult because their stress levels are influenced by a range of sociocultural and economic circumstances. Machine learning (ML) allows for the extraction of intricate relationships within complex datasets that might otherwise evade conventional analysis. The study uses ML to analyse socioeconomic data to create a reliable method for identifying levels of stress among students. </w:t>
      </w:r>
      <w:r w:rsidRPr="007D78AE">
        <w:t xml:space="preserve">Many ML models have been introduced to assess the stress of the student based on many factors, but </w:t>
      </w:r>
      <w:r w:rsidR="009F3A7B">
        <w:t>they</w:t>
      </w:r>
      <w:r w:rsidRPr="007D78AE">
        <w:t xml:space="preserve"> don't focus on socioeconomic status. For countries that are developing or underdeveloped, this factor affects a student's stress significantly. Also, we have used data collected from all social statuses of students so that a fair identification can be performed of the stress because of this factor.</w:t>
      </w:r>
    </w:p>
    <w:p w14:paraId="461A235B" w14:textId="77777777" w:rsidR="009B7F57" w:rsidRDefault="009B7F57" w:rsidP="009F3A7B">
      <w:r>
        <w:t>An ML approach is proposed in this paper to identify student stress levels using socioeconomic status (SES) variables. Various ML models were evaluated based on how accurately they predicted student stress based on the analysed data. Ensemble models outperformed other classifiers and revealed their ability to identify subtle patterns and relationships within data on economic information. Certain key SES factors are shown to affect student stress, and the study suggests how predictive modelling can contribute to early intervention efforts. The results support initiatives that use data analysis to promote positive student mental health and enhance educational programs.</w:t>
      </w:r>
    </w:p>
    <w:p w14:paraId="73CB3C10" w14:textId="77777777" w:rsidR="009B7F57" w:rsidRDefault="009B7F57" w:rsidP="009F3A7B">
      <w:r>
        <w:t>To collect and preprocess socioeconomic and stress-related data from students to create a comprehensive dataset for analysis.</w:t>
      </w:r>
    </w:p>
    <w:p w14:paraId="56CC2221" w14:textId="13D3C4E7" w:rsidR="009B7F57" w:rsidRDefault="009B7F57" w:rsidP="009F3A7B">
      <w:r>
        <w:lastRenderedPageBreak/>
        <w:t xml:space="preserve">To evaluate and compare the performance of multiple machine learning models in the accurate classification of student stress levels based on socioeconomic indicators, </w:t>
      </w:r>
      <w:r w:rsidR="009F3A7B">
        <w:t>and</w:t>
      </w:r>
      <w:r>
        <w:t xml:space="preserve"> other factors.</w:t>
      </w:r>
    </w:p>
    <w:p w14:paraId="7046309D" w14:textId="77777777" w:rsidR="009B7F57" w:rsidRDefault="009B7F57" w:rsidP="009F3A7B">
      <w:r>
        <w:t>To identify key socioeconomic factors or other factors influencing student stress and develop a predictive model that can assist educators in early stress detection and intervention planning.</w:t>
      </w:r>
    </w:p>
    <w:p w14:paraId="4FC3F510" w14:textId="77777777" w:rsidR="009B7F57" w:rsidRDefault="009B7F57" w:rsidP="009F3A7B">
      <w:r>
        <w:t>Section 2 outlines the research methodology, including dataset description, sample size, data collection techniques, data preprocessing steps, and ML models used for stress detection and their analysis. Section 3 provides an in-depth analysis of the study’s findings. Section 4 discusses the results obtained from the models and compares their accuracy. Section 5 summarizes the recent trends of this sector of the study. Section 6 concludes the paper by summarizing the key findings and proposing future work directions.</w:t>
      </w:r>
    </w:p>
    <w:p w14:paraId="2B9D54BC" w14:textId="77777777" w:rsidR="009B7F57" w:rsidRDefault="009B7F57" w:rsidP="009B7F57">
      <w:pPr>
        <w:pStyle w:val="Heading2"/>
        <w:jc w:val="both"/>
      </w:pPr>
      <w:r w:rsidRPr="00151817">
        <w:t>Research Method</w:t>
      </w:r>
    </w:p>
    <w:p w14:paraId="4DC875AE" w14:textId="3E358997" w:rsidR="009B7F57" w:rsidRPr="00DE0112" w:rsidRDefault="009B7F57" w:rsidP="009B7F57">
      <w:pPr>
        <w:jc w:val="both"/>
      </w:pPr>
      <w:r w:rsidRPr="007D78AE">
        <w:t xml:space="preserve">This paper identifies the stress level among students through their socioeconomic status. It begins by describing the method used to select participants, followed by the techniques used for data collection and the factors of the dataset. Additionally, this section explains the measurement framework using the PSS-10 (Perceived Stress Scale), details the data preprocessing steps, and presents the </w:t>
      </w:r>
      <w:r>
        <w:t>ML</w:t>
      </w:r>
      <w:r w:rsidR="009F3A7B">
        <w:t xml:space="preserve"> </w:t>
      </w:r>
      <w:r w:rsidRPr="007D78AE">
        <w:t>models used for stress classification and analysis. This section provides a framework for understanding how the study was designed, executed, and evaluated.</w:t>
      </w:r>
    </w:p>
    <w:p w14:paraId="1E5775B2" w14:textId="77777777" w:rsidR="009B7F57" w:rsidRPr="00CF5C0C" w:rsidRDefault="009B7F57" w:rsidP="009B7F57">
      <w:pPr>
        <w:pStyle w:val="Heading3"/>
        <w:spacing w:line="276" w:lineRule="auto"/>
        <w:jc w:val="both"/>
      </w:pPr>
      <w:r>
        <w:t>P</w:t>
      </w:r>
      <w:r w:rsidRPr="00151817">
        <w:t>opulation of this Study</w:t>
      </w:r>
    </w:p>
    <w:p w14:paraId="1C4AED35" w14:textId="77777777" w:rsidR="009B7F57" w:rsidRDefault="009B7F57" w:rsidP="009B7F57">
      <w:pPr>
        <w:spacing w:after="240"/>
        <w:jc w:val="both"/>
      </w:pPr>
      <w:r>
        <w:t>The data for this study were collected from students at three types of universities in Bangladesh: public, private, and national. Students of all genders participated in this survey.</w:t>
      </w:r>
    </w:p>
    <w:p w14:paraId="017ABEEF" w14:textId="77777777" w:rsidR="009B7F57" w:rsidRPr="00CF5C0C" w:rsidRDefault="009B7F57" w:rsidP="009B7F57">
      <w:pPr>
        <w:pStyle w:val="Heading3"/>
        <w:spacing w:line="276" w:lineRule="auto"/>
        <w:jc w:val="both"/>
      </w:pPr>
      <w:r>
        <w:t>S</w:t>
      </w:r>
      <w:r w:rsidRPr="00151817">
        <w:t xml:space="preserve">ample Size &amp; Data </w:t>
      </w:r>
      <w:r>
        <w:t>Collection</w:t>
      </w:r>
    </w:p>
    <w:p w14:paraId="5CFB7E89" w14:textId="77777777" w:rsidR="009B7F57" w:rsidRDefault="009B7F57" w:rsidP="009B7F57">
      <w:pPr>
        <w:spacing w:after="240"/>
        <w:jc w:val="both"/>
      </w:pPr>
      <w:r>
        <w:t>Convenience sampling techniques were used in this study. The survey data was collected via Google Forms, and 150 students from different universities filled out this Google form. Among them, 51.9% were female students, and 49.1% were male students. The questionnaire was divided into two parts. The first part of the questionnaire collects demographic information and comprises a total of 14 questions. The second part of the questionnaire is designed to measure the perceived stress level of a student, and for this purpose, we utilize the PSS-10 (Perceived Stress Scale) scale in this study. This survey was completely anonymous, and the responses were kept confidential.</w:t>
      </w:r>
    </w:p>
    <w:p w14:paraId="373231F3" w14:textId="77777777" w:rsidR="009B7F57" w:rsidRPr="00CF5C0C" w:rsidRDefault="009B7F57" w:rsidP="009B7F57">
      <w:pPr>
        <w:pStyle w:val="Heading3"/>
        <w:spacing w:line="276" w:lineRule="auto"/>
        <w:jc w:val="both"/>
      </w:pPr>
      <w:r>
        <w:t>D</w:t>
      </w:r>
      <w:r w:rsidRPr="00151817">
        <w:t>ata Collection Technique</w:t>
      </w:r>
    </w:p>
    <w:p w14:paraId="1BB316F7" w14:textId="77777777" w:rsidR="009B7F57" w:rsidRDefault="009B7F57" w:rsidP="009B7F57">
      <w:pPr>
        <w:spacing w:after="240"/>
        <w:jc w:val="both"/>
      </w:pPr>
      <w:r>
        <w:t>We carried out a survey among undergraduate students using Google Forms. It had 14 questions, and people were allowed to respond between January and February 2025. The identities of the students were not revealed during the process of collecting the data. Table 1 shows the Demographic Questions in the survey, discusses their impact on student stress, and how it is important to identify student stress.</w:t>
      </w:r>
    </w:p>
    <w:p w14:paraId="4084B37C" w14:textId="77777777" w:rsidR="009B7F57" w:rsidRPr="00CF5C0C" w:rsidRDefault="009B7F57" w:rsidP="009B7F57">
      <w:pPr>
        <w:pStyle w:val="Heading3"/>
        <w:spacing w:line="276" w:lineRule="auto"/>
        <w:jc w:val="both"/>
      </w:pPr>
      <w:r>
        <w:lastRenderedPageBreak/>
        <w:t>D</w:t>
      </w:r>
      <w:r w:rsidRPr="00151817">
        <w:t>ata</w:t>
      </w:r>
      <w:r>
        <w:t>set</w:t>
      </w:r>
    </w:p>
    <w:p w14:paraId="3DE666E7" w14:textId="21C21D1A" w:rsidR="009B7F57" w:rsidRDefault="009B7F57" w:rsidP="009B7F57">
      <w:pPr>
        <w:spacing w:after="240"/>
        <w:jc w:val="both"/>
      </w:pPr>
      <w:r>
        <w:t>The Student_Stress.csv dataset</w:t>
      </w:r>
      <w:r w:rsidR="00696C78">
        <w:t xml:space="preserve"> </w:t>
      </w:r>
      <w:r>
        <w:t>contains raw survey details from university students about their demographics, financial matters, academic situation, and stress levels. Data includes descriptions, classifications, entries with time stamps, and detailed data gathered from questionnaires.  The table of the dataset and the description of the factors are shown in Appendix A.</w:t>
      </w:r>
    </w:p>
    <w:p w14:paraId="4B067100" w14:textId="613A0BE0" w:rsidR="009B7F57" w:rsidRDefault="009B7F57" w:rsidP="009B7F57">
      <w:pPr>
        <w:spacing w:after="240"/>
        <w:jc w:val="both"/>
      </w:pPr>
      <w:r>
        <w:t xml:space="preserve">A table of responses of the students is shown in Appendix B from the Student_Stress.csv raw file, and the first 2 rows of the FinalStudent_Stress.csv file is shown in Appendix C, which has been cleaned and organized from the raw CSV file. For this version, textual data is translated into numbers or categories useful for analysis in machine learning. Unused and redundant entries have been eliminated, and important columns have either been renamed or encoded for gender (0 for male, 1 for female).  </w:t>
      </w:r>
      <w:r w:rsidRPr="00E244B4">
        <w:t>The abbreviations used in Table 1 are as follows: Gen refers to Gender, Rel to Relationship Status, SES to Socioeconomic Status, Fee to Education Fee Provider, Sch to Scholarships, Univ to University Type, Yr to Current Year of Study, CGPA to Cumulative Grade Point Average, Liv to Living Status, Inc to Monthly Family Income, Mem to Family Members, Sleep to Average Sleeping Hours, Tot to Total of the 10 question point</w:t>
      </w:r>
      <w:r>
        <w:t xml:space="preserve"> (a pseudocode is given in Appendix Section D for the calculation of the stress level)</w:t>
      </w:r>
      <w:r w:rsidRPr="00E244B4">
        <w:t>, and Stress to feeling nervous and stressed.</w:t>
      </w:r>
      <w:r>
        <w:t xml:space="preserve"> We’ve included another feature called Stress Level to sort stress scores into different groups.</w:t>
      </w:r>
    </w:p>
    <w:p w14:paraId="5129F8F9" w14:textId="7ACA2633" w:rsidR="009B7F57" w:rsidRPr="00CF5C0C" w:rsidRDefault="009B7F57" w:rsidP="009B7F57">
      <w:pPr>
        <w:pStyle w:val="Heading3"/>
        <w:spacing w:line="276" w:lineRule="auto"/>
        <w:jc w:val="both"/>
      </w:pPr>
      <w:r>
        <w:t>P</w:t>
      </w:r>
      <w:r w:rsidRPr="00151817">
        <w:t>SS-10 (Perceived Stress Scale</w:t>
      </w:r>
      <w:r w:rsidR="00A056B1">
        <w:t>)</w:t>
      </w:r>
    </w:p>
    <w:p w14:paraId="5241387B" w14:textId="443A8884" w:rsidR="009B7F57" w:rsidRDefault="009B7F57" w:rsidP="009B7F57">
      <w:pPr>
        <w:spacing w:after="240"/>
        <w:jc w:val="both"/>
      </w:pPr>
      <w:r>
        <w:t xml:space="preserve">The 10-item Perceived Stress Scale (PSS-10) was created by </w:t>
      </w:r>
      <w:r w:rsidRPr="00046F74">
        <w:t xml:space="preserve">Cohen et al. (CORC, </w:t>
      </w:r>
      <w:r w:rsidR="00046F74" w:rsidRPr="00046F74">
        <w:t>no date</w:t>
      </w:r>
      <w:r w:rsidRPr="00046F74">
        <w:t xml:space="preserve">) </w:t>
      </w:r>
      <w:r>
        <w:t>and is frequently used to measure stress levels in adults and children 12 years of age and older. It assesses how much a person has felt that life is unexpected, out of control, and overwhelming throughout the past month. According to preliminary data, the PSS-10 might make it possible to make insightful comparisons between various racial, ethnic, or linguistic groups. The questions focus on thoughts and feelings throughout the past month. On a five-point scale ranging from “Never” to “Very Often,” respondents are asked how frequently they felt a particular way in each instance. Following that, responses are graded as follows:</w:t>
      </w:r>
    </w:p>
    <w:p w14:paraId="2B20A039" w14:textId="77777777" w:rsidR="009B7F57" w:rsidRDefault="009B7F57" w:rsidP="009B7F57">
      <w:pPr>
        <w:spacing w:after="240"/>
        <w:jc w:val="both"/>
      </w:pPr>
    </w:p>
    <w:p w14:paraId="79E375DE" w14:textId="2C2F3D24" w:rsidR="00732132" w:rsidRPr="00732132" w:rsidRDefault="00732132" w:rsidP="00732132">
      <w:r w:rsidRPr="00732132">
        <w:t xml:space="preserve">Table </w:t>
      </w:r>
      <w:r w:rsidR="00E10EDD">
        <w:t>4</w:t>
      </w:r>
      <w:r w:rsidRPr="00732132">
        <w:t>: Rating Scale for stress level for the 10 questions in the dataset.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9B7F57" w14:paraId="25BA94B7" w14:textId="77777777" w:rsidTr="005C29AD">
        <w:tc>
          <w:tcPr>
            <w:tcW w:w="1803" w:type="dxa"/>
            <w:vAlign w:val="center"/>
          </w:tcPr>
          <w:p w14:paraId="1DAF86DF" w14:textId="77777777" w:rsidR="009B7F57" w:rsidRPr="00F53FDE" w:rsidRDefault="009B7F57" w:rsidP="005C29AD">
            <w:pPr>
              <w:spacing w:after="240"/>
              <w:jc w:val="center"/>
              <w:rPr>
                <w:sz w:val="20"/>
                <w:szCs w:val="20"/>
              </w:rPr>
            </w:pPr>
            <w:r w:rsidRPr="00F53FDE">
              <w:rPr>
                <w:rStyle w:val="Strong"/>
                <w:sz w:val="20"/>
                <w:szCs w:val="20"/>
              </w:rPr>
              <w:t>Never</w:t>
            </w:r>
          </w:p>
        </w:tc>
        <w:tc>
          <w:tcPr>
            <w:tcW w:w="1803" w:type="dxa"/>
            <w:vAlign w:val="center"/>
          </w:tcPr>
          <w:p w14:paraId="71D5DC85" w14:textId="77777777" w:rsidR="009B7F57" w:rsidRPr="00F53FDE" w:rsidRDefault="009B7F57" w:rsidP="005C29AD">
            <w:pPr>
              <w:spacing w:after="240"/>
              <w:jc w:val="center"/>
              <w:rPr>
                <w:sz w:val="20"/>
                <w:szCs w:val="20"/>
              </w:rPr>
            </w:pPr>
            <w:r w:rsidRPr="00F53FDE">
              <w:rPr>
                <w:rStyle w:val="Strong"/>
                <w:sz w:val="20"/>
                <w:szCs w:val="20"/>
              </w:rPr>
              <w:t>Almost never</w:t>
            </w:r>
          </w:p>
        </w:tc>
        <w:tc>
          <w:tcPr>
            <w:tcW w:w="1803" w:type="dxa"/>
            <w:vAlign w:val="center"/>
          </w:tcPr>
          <w:p w14:paraId="3479CD68" w14:textId="77777777" w:rsidR="009B7F57" w:rsidRPr="00F53FDE" w:rsidRDefault="009B7F57" w:rsidP="005C29AD">
            <w:pPr>
              <w:spacing w:after="240"/>
              <w:jc w:val="center"/>
              <w:rPr>
                <w:sz w:val="20"/>
                <w:szCs w:val="20"/>
              </w:rPr>
            </w:pPr>
            <w:r w:rsidRPr="00F53FDE">
              <w:rPr>
                <w:rStyle w:val="Strong"/>
                <w:sz w:val="20"/>
                <w:szCs w:val="20"/>
              </w:rPr>
              <w:t>Sometimes</w:t>
            </w:r>
          </w:p>
        </w:tc>
        <w:tc>
          <w:tcPr>
            <w:tcW w:w="1803" w:type="dxa"/>
            <w:vAlign w:val="center"/>
          </w:tcPr>
          <w:p w14:paraId="3FC9E89F" w14:textId="77777777" w:rsidR="009B7F57" w:rsidRPr="00F53FDE" w:rsidRDefault="009B7F57" w:rsidP="005C29AD">
            <w:pPr>
              <w:spacing w:after="240"/>
              <w:jc w:val="center"/>
              <w:rPr>
                <w:sz w:val="20"/>
                <w:szCs w:val="20"/>
              </w:rPr>
            </w:pPr>
            <w:r w:rsidRPr="00F53FDE">
              <w:rPr>
                <w:rStyle w:val="Strong"/>
                <w:sz w:val="20"/>
                <w:szCs w:val="20"/>
              </w:rPr>
              <w:t>Fairly often</w:t>
            </w:r>
          </w:p>
        </w:tc>
        <w:tc>
          <w:tcPr>
            <w:tcW w:w="1804" w:type="dxa"/>
            <w:vAlign w:val="center"/>
          </w:tcPr>
          <w:p w14:paraId="3FEDED6F" w14:textId="77777777" w:rsidR="009B7F57" w:rsidRPr="00F53FDE" w:rsidRDefault="009B7F57" w:rsidP="005C29AD">
            <w:pPr>
              <w:spacing w:after="240"/>
              <w:jc w:val="center"/>
              <w:rPr>
                <w:sz w:val="20"/>
                <w:szCs w:val="20"/>
              </w:rPr>
            </w:pPr>
            <w:r w:rsidRPr="00F53FDE">
              <w:rPr>
                <w:rStyle w:val="Strong"/>
                <w:sz w:val="20"/>
                <w:szCs w:val="20"/>
              </w:rPr>
              <w:t>Very often</w:t>
            </w:r>
          </w:p>
        </w:tc>
      </w:tr>
      <w:tr w:rsidR="009B7F57" w14:paraId="470434DB" w14:textId="77777777" w:rsidTr="005C29AD">
        <w:tc>
          <w:tcPr>
            <w:tcW w:w="1803" w:type="dxa"/>
            <w:vAlign w:val="center"/>
          </w:tcPr>
          <w:p w14:paraId="01E7FEB6" w14:textId="77777777" w:rsidR="009B7F57" w:rsidRPr="00F53FDE" w:rsidRDefault="009B7F57" w:rsidP="005C29AD">
            <w:pPr>
              <w:spacing w:after="240"/>
              <w:jc w:val="center"/>
              <w:rPr>
                <w:sz w:val="20"/>
                <w:szCs w:val="20"/>
              </w:rPr>
            </w:pPr>
            <w:r w:rsidRPr="00F53FDE">
              <w:rPr>
                <w:sz w:val="20"/>
                <w:szCs w:val="20"/>
              </w:rPr>
              <w:t>0</w:t>
            </w:r>
          </w:p>
        </w:tc>
        <w:tc>
          <w:tcPr>
            <w:tcW w:w="1803" w:type="dxa"/>
            <w:vAlign w:val="center"/>
          </w:tcPr>
          <w:p w14:paraId="3C233182" w14:textId="77777777" w:rsidR="009B7F57" w:rsidRPr="00F53FDE" w:rsidRDefault="009B7F57" w:rsidP="005C29AD">
            <w:pPr>
              <w:spacing w:after="240"/>
              <w:jc w:val="center"/>
              <w:rPr>
                <w:sz w:val="20"/>
                <w:szCs w:val="20"/>
              </w:rPr>
            </w:pPr>
            <w:r w:rsidRPr="00F53FDE">
              <w:rPr>
                <w:sz w:val="20"/>
                <w:szCs w:val="20"/>
              </w:rPr>
              <w:t>1</w:t>
            </w:r>
          </w:p>
        </w:tc>
        <w:tc>
          <w:tcPr>
            <w:tcW w:w="1803" w:type="dxa"/>
            <w:vAlign w:val="center"/>
          </w:tcPr>
          <w:p w14:paraId="2D2F1435" w14:textId="77777777" w:rsidR="009B7F57" w:rsidRPr="00F53FDE" w:rsidRDefault="009B7F57" w:rsidP="005C29AD">
            <w:pPr>
              <w:spacing w:after="240"/>
              <w:jc w:val="center"/>
              <w:rPr>
                <w:sz w:val="20"/>
                <w:szCs w:val="20"/>
              </w:rPr>
            </w:pPr>
            <w:r w:rsidRPr="00F53FDE">
              <w:rPr>
                <w:sz w:val="20"/>
                <w:szCs w:val="20"/>
              </w:rPr>
              <w:t>2</w:t>
            </w:r>
          </w:p>
        </w:tc>
        <w:tc>
          <w:tcPr>
            <w:tcW w:w="1803" w:type="dxa"/>
            <w:vAlign w:val="center"/>
          </w:tcPr>
          <w:p w14:paraId="022706C8" w14:textId="77777777" w:rsidR="009B7F57" w:rsidRPr="00F53FDE" w:rsidRDefault="009B7F57" w:rsidP="005C29AD">
            <w:pPr>
              <w:spacing w:after="240"/>
              <w:jc w:val="center"/>
              <w:rPr>
                <w:sz w:val="20"/>
                <w:szCs w:val="20"/>
              </w:rPr>
            </w:pPr>
            <w:r w:rsidRPr="00F53FDE">
              <w:rPr>
                <w:sz w:val="20"/>
                <w:szCs w:val="20"/>
              </w:rPr>
              <w:t>3</w:t>
            </w:r>
          </w:p>
        </w:tc>
        <w:tc>
          <w:tcPr>
            <w:tcW w:w="1804" w:type="dxa"/>
            <w:vAlign w:val="center"/>
          </w:tcPr>
          <w:p w14:paraId="2E3BCBBF" w14:textId="77777777" w:rsidR="009B7F57" w:rsidRPr="00F53FDE" w:rsidRDefault="009B7F57" w:rsidP="005C29AD">
            <w:pPr>
              <w:spacing w:after="240"/>
              <w:jc w:val="center"/>
              <w:rPr>
                <w:sz w:val="20"/>
                <w:szCs w:val="20"/>
              </w:rPr>
            </w:pPr>
            <w:r w:rsidRPr="00F53FDE">
              <w:rPr>
                <w:sz w:val="20"/>
                <w:szCs w:val="20"/>
              </w:rPr>
              <w:t>4</w:t>
            </w:r>
          </w:p>
        </w:tc>
      </w:tr>
    </w:tbl>
    <w:p w14:paraId="22E9AF98" w14:textId="77777777" w:rsidR="00CC5339" w:rsidRDefault="00CC5339" w:rsidP="00732132">
      <w:pPr>
        <w:spacing w:after="240"/>
        <w:jc w:val="both"/>
      </w:pPr>
    </w:p>
    <w:p w14:paraId="6BFF5FA1" w14:textId="0A275B64" w:rsidR="009B7F57" w:rsidRDefault="009B7F57" w:rsidP="00732132">
      <w:pPr>
        <w:spacing w:after="240"/>
        <w:jc w:val="both"/>
      </w:pPr>
      <w:r>
        <w:t xml:space="preserve">First, the responses to the four positively stated items score (items 4, 5, 7, and 8) 0 =a &gt; b 4; 1 =a &gt; b 3; 2 =a &gt; b 2; 3 =a &gt; b 1; 4 =a &gt; b0, like this. Then add all 10 item scores. Low stress would be defined </w:t>
      </w:r>
      <w:r>
        <w:lastRenderedPageBreak/>
        <w:t>as scores between 0 and 13, while moderate stress would be defined as scores between 14 and 26. High felt stress would be defined as scores between 27 and 40.</w:t>
      </w:r>
    </w:p>
    <w:p w14:paraId="3F04880B" w14:textId="77777777" w:rsidR="009B7F57" w:rsidRPr="00CF5C0C" w:rsidRDefault="009B7F57" w:rsidP="009B7F57">
      <w:pPr>
        <w:pStyle w:val="Heading3"/>
        <w:spacing w:line="276" w:lineRule="auto"/>
        <w:jc w:val="both"/>
      </w:pPr>
      <w:r>
        <w:t>D</w:t>
      </w:r>
      <w:r w:rsidRPr="00B36EC1">
        <w:t>ata Preprocessing</w:t>
      </w:r>
    </w:p>
    <w:p w14:paraId="2BE3DED8" w14:textId="01E5F50C" w:rsidR="009B7F57" w:rsidRDefault="009B7F57" w:rsidP="009B7F57">
      <w:pPr>
        <w:spacing w:after="240"/>
        <w:jc w:val="both"/>
      </w:pPr>
      <w:r>
        <w:t>Steps were taken to clean the data so it could be adequately analysed and used for modelling. The column that displayed time information was excluded, since it provided no data useful for predicting stress levels. At that point, the column names were changed to Gender, Age, Relationship, Socioeconomic Status, and so on for better clarity and understandability. The survey’s ten questions (q1 to q10) were combined into a single score called Total. Stress Level was formed by using a personal Python function on the basis of this score. If the score was 13 or lower, it was ‘Low’, ranging from 14 to 26 was ‘Medium’, and scores of 27 or higher were ‘High’. The Stress Level was created, after which the individual question columns were dropped</w:t>
      </w:r>
      <w:r w:rsidRPr="007D78AE">
        <w:t xml:space="preserve">. The dataset was examined for missing values using functions such as isnull(), and no null entries were present. Similarly, the dataset was checked for duplicate rows using drop_duplicates(), and no repeated records were detected, ensuring that each observation is unique. Categorical fields contained inconsistent text variations and trailing spaces, so these values were standardized manually. Numerical columns were also inspected for abnormal ranges to detect possible outliers. </w:t>
      </w:r>
      <w:r>
        <w:t xml:space="preserve">Finally, the categorical variables were encoded into numbers using label encoding for use in the machine learning algorithms. For instance, Gender has 0 for Male and 1 for Female, and Relationship has 0 for Single and 1 for Married. Furthermore, the same transformations were applied to Socioeconomic Status, Edu_Fee Provider, Scholarships, and other variables. </w:t>
      </w:r>
      <w:r w:rsidRPr="007D78AE">
        <w:t>The dataset was randomly split using train_test_split() into 60% training and 40% testing data (test_size=0.40, random_state=1), with no separate validation set.</w:t>
      </w:r>
    </w:p>
    <w:p w14:paraId="5FE8DDEE" w14:textId="77777777" w:rsidR="009B7F57" w:rsidRPr="00CF5C0C" w:rsidRDefault="009B7F57" w:rsidP="009B7F57">
      <w:pPr>
        <w:pStyle w:val="Heading3"/>
        <w:spacing w:line="276" w:lineRule="auto"/>
        <w:jc w:val="both"/>
      </w:pPr>
      <w:r w:rsidRPr="00B36EC1">
        <w:t>Machine Learning Model Analysis</w:t>
      </w:r>
    </w:p>
    <w:p w14:paraId="0396EF06" w14:textId="713E3D31" w:rsidR="009B7F57" w:rsidRPr="007F7058" w:rsidRDefault="009B7F57" w:rsidP="009B7F57">
      <w:pPr>
        <w:spacing w:after="240"/>
        <w:jc w:val="both"/>
      </w:pPr>
      <w:r w:rsidRPr="007F7058">
        <w:t>The Naive Bayes (NB) classifier is a probabilistic model based on Bayes’ theorem, assuming independence between features (</w:t>
      </w:r>
      <w:r w:rsidRPr="00046F74">
        <w:t>Wickramasinghe and Kalutarage, 2021</w:t>
      </w:r>
      <w:r w:rsidRPr="007F7058">
        <w:t xml:space="preserve">). The Equation 1 predicts the class Ck for a feature vector </w:t>
      </w:r>
      <w:r w:rsidRPr="007F7058">
        <w:rPr>
          <w:b/>
          <w:bCs/>
          <w:i/>
          <w:iCs/>
        </w:rPr>
        <w:t>x</w:t>
      </w:r>
      <w:r w:rsidRPr="007F7058">
        <w:rPr>
          <w:i/>
          <w:iCs/>
        </w:rPr>
        <w:t xml:space="preserve"> = (x1, x2, </w:t>
      </w:r>
      <w:proofErr w:type="gramStart"/>
      <w:r w:rsidRPr="007F7058">
        <w:rPr>
          <w:i/>
          <w:iCs/>
        </w:rPr>
        <w:t>. . . ,</w:t>
      </w:r>
      <w:proofErr w:type="gramEnd"/>
      <w:r w:rsidRPr="007F7058">
        <w:rPr>
          <w:i/>
          <w:iCs/>
        </w:rPr>
        <w:t xml:space="preserve"> xn)</w:t>
      </w:r>
      <w:r w:rsidRPr="007F7058">
        <w:t xml:space="preserve"> by maximizing the posterior probability given by</w:t>
      </w:r>
      <w:r w:rsidR="00E10EDD">
        <w:t>:</w:t>
      </w:r>
    </w:p>
    <w:p w14:paraId="505C5A72" w14:textId="77777777" w:rsidR="009B7F57" w:rsidRPr="00EB3266" w:rsidRDefault="009B7F57" w:rsidP="009B7F57">
      <w:pPr>
        <w:spacing w:after="240"/>
        <w:jc w:val="center"/>
        <w:rPr>
          <w:rFonts w:eastAsiaTheme="minorEastAsia"/>
        </w:rPr>
      </w:pPr>
      <m:oMath>
        <m:r>
          <w:rPr>
            <w:rFonts w:ascii="Cambria Math" w:hAnsi="Cambria Math"/>
          </w:rPr>
          <m:t>P</m:t>
        </m:r>
        <m:d>
          <m:dPr>
            <m:sepChr m:val="∣"/>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k</m:t>
                </m:r>
              </m:sub>
            </m:sSub>
            <m:ctrlPr>
              <w:rPr>
                <w:rFonts w:ascii="Cambria Math" w:hAnsi="Cambria Math"/>
              </w:rPr>
            </m:ctrlPr>
          </m:e>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k</m:t>
                    </m:r>
                  </m:sub>
                </m:sSub>
              </m:e>
            </m:d>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ctrlPr>
                  <w:rPr>
                    <w:rFonts w:ascii="Cambria Math" w:hAnsi="Cambria Math"/>
                    <w:i/>
                  </w:rPr>
                </m:ctrlPr>
              </m:sup>
              <m:e>
                <m:r>
                  <w:rPr>
                    <w:rFonts w:ascii="Cambria Math" w:hAnsi="Cambria Math"/>
                  </w:rPr>
                  <m:t>P</m:t>
                </m:r>
                <m:d>
                  <m:dPr>
                    <m:sep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ctrlPr>
                      <w:rPr>
                        <w:rFonts w:ascii="Cambria Math" w:hAnsi="Cambria Math"/>
                      </w:rPr>
                    </m:ctrlPr>
                  </m:e>
                  <m:e>
                    <m:sSub>
                      <m:sSubPr>
                        <m:ctrlPr>
                          <w:rPr>
                            <w:rFonts w:ascii="Cambria Math" w:hAnsi="Cambria Math"/>
                            <w:i/>
                          </w:rPr>
                        </m:ctrlPr>
                      </m:sSubPr>
                      <m:e>
                        <m:r>
                          <w:rPr>
                            <w:rFonts w:ascii="Cambria Math" w:hAnsi="Cambria Math"/>
                          </w:rPr>
                          <m:t>C</m:t>
                        </m:r>
                        <m:ctrlPr>
                          <w:rPr>
                            <w:rFonts w:ascii="Cambria Math" w:hAnsi="Cambria Math"/>
                          </w:rPr>
                        </m:ctrlPr>
                      </m:e>
                      <m:sub>
                        <m:r>
                          <w:rPr>
                            <w:rFonts w:ascii="Cambria Math" w:hAnsi="Cambria Math"/>
                          </w:rPr>
                          <m:t>k</m:t>
                        </m:r>
                      </m:sub>
                    </m:sSub>
                  </m:e>
                </m:d>
                <m:ctrlPr>
                  <w:rPr>
                    <w:rFonts w:ascii="Cambria Math" w:hAnsi="Cambria Math"/>
                    <w:i/>
                  </w:rPr>
                </m:ctrlPr>
              </m:e>
            </m:nary>
            <m:ctrlPr>
              <w:rPr>
                <w:rFonts w:ascii="Cambria Math" w:hAnsi="Cambria Math"/>
                <w:i/>
              </w:rPr>
            </m:ctrlPr>
          </m:num>
          <m:den>
            <m:r>
              <w:rPr>
                <w:rFonts w:ascii="Cambria Math" w:hAnsi="Cambria Math"/>
              </w:rPr>
              <m:t>P</m:t>
            </m:r>
            <m:d>
              <m:dPr>
                <m:ctrlPr>
                  <w:rPr>
                    <w:rFonts w:ascii="Cambria Math" w:hAnsi="Cambria Math"/>
                    <w:i/>
                  </w:rPr>
                </m:ctrlPr>
              </m:dPr>
              <m:e>
                <m:r>
                  <w:rPr>
                    <w:rFonts w:ascii="Cambria Math" w:hAnsi="Cambria Math"/>
                  </w:rPr>
                  <m:t>x</m:t>
                </m:r>
              </m:e>
            </m:d>
            <m:ctrlPr>
              <w:rPr>
                <w:rFonts w:ascii="Cambria Math" w:hAnsi="Cambria Math"/>
                <w:i/>
              </w:rPr>
            </m:ctrlPr>
          </m:den>
        </m:f>
        <m:r>
          <w:rPr>
            <w:rFonts w:ascii="Cambria Math" w:hAnsi="Cambria Math"/>
          </w:rPr>
          <m:t xml:space="preserve">                                                         </m:t>
        </m:r>
      </m:oMath>
      <w:r>
        <w:rPr>
          <w:rFonts w:eastAsiaTheme="minorEastAsia"/>
        </w:rPr>
        <w:t>1</w:t>
      </w:r>
    </w:p>
    <w:p w14:paraId="0206BA22" w14:textId="33F2D3AD" w:rsidR="009B7F57" w:rsidRPr="003F5971" w:rsidRDefault="009B7F57" w:rsidP="009B7F57">
      <w:pPr>
        <w:spacing w:after="240"/>
        <w:jc w:val="both"/>
      </w:pPr>
      <w:r w:rsidRPr="003F5971">
        <w:t xml:space="preserve">The Random Forest algorithm is an ensemble method that constructs multiple decision trees </w:t>
      </w:r>
      <w:r w:rsidRPr="003F5971">
        <w:rPr>
          <w:i/>
          <w:iCs/>
        </w:rPr>
        <w:t xml:space="preserve">T1, T2, </w:t>
      </w:r>
      <w:proofErr w:type="gramStart"/>
      <w:r w:rsidRPr="003F5971">
        <w:rPr>
          <w:i/>
          <w:iCs/>
        </w:rPr>
        <w:t>. . . ,</w:t>
      </w:r>
      <w:proofErr w:type="gramEnd"/>
      <w:r w:rsidRPr="003F5971">
        <w:t xml:space="preserve"> Tmusing bootstrap samples and random subsets of features </w:t>
      </w:r>
      <w:r>
        <w:t>(</w:t>
      </w:r>
      <w:r w:rsidRPr="00046F74">
        <w:rPr>
          <w:color w:val="000000" w:themeColor="text1"/>
        </w:rPr>
        <w:t>Fawagreh</w:t>
      </w:r>
      <w:r w:rsidR="00046F74">
        <w:rPr>
          <w:color w:val="000000" w:themeColor="text1"/>
        </w:rPr>
        <w:t>, Gaber, and Elyan</w:t>
      </w:r>
      <w:r w:rsidRPr="00046F74">
        <w:rPr>
          <w:color w:val="000000" w:themeColor="text1"/>
        </w:rPr>
        <w:t>, 2014</w:t>
      </w:r>
      <w:r>
        <w:t>)</w:t>
      </w:r>
      <w:r w:rsidRPr="003F5971">
        <w:t>. The final prediction is obtained by majority voting over the individual trees demonstrate in the Equation 2:</w:t>
      </w:r>
    </w:p>
    <w:p w14:paraId="571F6159" w14:textId="77777777" w:rsidR="009B7F57" w:rsidRPr="00EB3266" w:rsidRDefault="009B7F57" w:rsidP="009B7F57">
      <w:pPr>
        <w:spacing w:after="240"/>
        <w:jc w:val="both"/>
        <w:rPr>
          <w:rFonts w:eastAsiaTheme="minorEastAsia"/>
        </w:rPr>
      </w:pPr>
      <m:oMathPara>
        <m:oMath>
          <m:r>
            <w:rPr>
              <w:rFonts w:ascii="Cambria Math" w:hAnsi="Cambria Math"/>
            </w:rPr>
            <m:t>y=</m:t>
          </m:r>
          <m:r>
            <m:rPr>
              <m:nor/>
            </m:rPr>
            <w:rPr>
              <w:rFonts w:ascii="Cambria Math" w:hAnsi="Cambria Math"/>
            </w:rPr>
            <m:t>majority vote</m:t>
          </m:r>
          <m:r>
            <m:rPr>
              <m:lit/>
            </m:rP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m:t>
              </m:r>
            </m:sub>
          </m:sSub>
          <m:d>
            <m:dPr>
              <m:ctrlPr>
                <w:rPr>
                  <w:rFonts w:ascii="Cambria Math" w:hAnsi="Cambria Math"/>
                  <w:i/>
                </w:rPr>
              </m:ctrlPr>
            </m:dPr>
            <m:e>
              <m:r>
                <w:rPr>
                  <w:rFonts w:ascii="Cambria Math" w:hAnsi="Cambria Math"/>
                </w:rPr>
                <m:t>x</m:t>
              </m:r>
            </m:e>
          </m:d>
          <m:r>
            <m:rPr>
              <m:lit/>
            </m:rPr>
            <w:rPr>
              <w:rFonts w:ascii="Cambria Math" w:hAnsi="Cambria Math"/>
            </w:rPr>
            <m:t>}</m:t>
          </m:r>
          <m:r>
            <w:rPr>
              <w:rFonts w:ascii="Cambria Math" w:hAnsi="Cambria Math"/>
            </w:rPr>
            <m:t xml:space="preserve">                                   2</m:t>
          </m:r>
        </m:oMath>
      </m:oMathPara>
    </w:p>
    <w:p w14:paraId="69E6799C" w14:textId="53CCF31D" w:rsidR="009B7F57" w:rsidRDefault="009B7F57" w:rsidP="009B7F57">
      <w:pPr>
        <w:spacing w:after="240"/>
        <w:jc w:val="both"/>
      </w:pPr>
      <w:r>
        <w:lastRenderedPageBreak/>
        <w:t>A Decision Tree (DT) splits the feature space recursively to create homogeneous nodes (</w:t>
      </w:r>
      <w:r w:rsidRPr="00453B7A">
        <w:t>Costa and Pedreira, 2023</w:t>
      </w:r>
      <w:r>
        <w:t>). A common splitting criterion is the Gini impurity, defined in Equation 3</w:t>
      </w:r>
      <w:r w:rsidR="00E10EDD">
        <w:t>:</w:t>
      </w:r>
    </w:p>
    <w:p w14:paraId="49D44431" w14:textId="77777777" w:rsidR="009B7F57" w:rsidRDefault="009B7F57" w:rsidP="009B7F57">
      <w:pPr>
        <w:spacing w:after="240"/>
        <w:jc w:val="center"/>
      </w:pPr>
      <m:oMath>
        <m:r>
          <w:rPr>
            <w:rFonts w:ascii="Cambria Math" w:hAnsi="Cambria Math"/>
          </w:rPr>
          <m:t>Gini=1-</m:t>
        </m:r>
        <m:nary>
          <m:naryPr>
            <m:chr m:val="∑"/>
            <m:ctrlPr>
              <w:rPr>
                <w:rFonts w:ascii="Cambria Math" w:hAnsi="Cambria Math"/>
              </w:rPr>
            </m:ctrlPr>
          </m:naryPr>
          <m:sub>
            <m:r>
              <w:rPr>
                <w:rFonts w:ascii="Cambria Math" w:hAnsi="Cambria Math"/>
              </w:rPr>
              <m:t>k=1</m:t>
            </m:r>
            <m:ctrlPr>
              <w:rPr>
                <w:rFonts w:ascii="Cambria Math" w:hAnsi="Cambria Math"/>
                <w:i/>
              </w:rPr>
            </m:ctrlPr>
          </m:sub>
          <m:sup>
            <m:r>
              <w:rPr>
                <w:rFonts w:ascii="Cambria Math" w:hAnsi="Cambria Math"/>
              </w:rPr>
              <m:t>K</m:t>
            </m:r>
            <m:ctrlPr>
              <w:rPr>
                <w:rFonts w:ascii="Cambria Math" w:hAnsi="Cambria Math"/>
                <w:i/>
              </w:rPr>
            </m:ctrlPr>
          </m:sup>
          <m:e>
            <m:sSubSup>
              <m:sSubSupPr>
                <m:ctrlPr>
                  <w:rPr>
                    <w:rFonts w:ascii="Cambria Math" w:hAnsi="Cambria Math"/>
                    <w:i/>
                  </w:rPr>
                </m:ctrlPr>
              </m:sSubSupPr>
              <m:e>
                <m:r>
                  <w:rPr>
                    <w:rFonts w:ascii="Cambria Math" w:hAnsi="Cambria Math"/>
                  </w:rPr>
                  <m:t>p</m:t>
                </m:r>
              </m:e>
              <m:sub>
                <m:r>
                  <w:rPr>
                    <w:rFonts w:ascii="Cambria Math" w:hAnsi="Cambria Math"/>
                  </w:rPr>
                  <m:t>k</m:t>
                </m:r>
              </m:sub>
              <m:sup>
                <m:r>
                  <w:rPr>
                    <w:rFonts w:ascii="Cambria Math" w:hAnsi="Cambria Math"/>
                  </w:rPr>
                  <m:t>2</m:t>
                </m:r>
              </m:sup>
            </m:sSubSup>
            <m:ctrlPr>
              <w:rPr>
                <w:rFonts w:ascii="Cambria Math" w:hAnsi="Cambria Math"/>
                <w:i/>
              </w:rPr>
            </m:ctrlPr>
          </m:e>
        </m:nary>
        <m:r>
          <w:rPr>
            <w:rFonts w:ascii="Cambria Math" w:hAnsi="Cambria Math"/>
          </w:rPr>
          <m:t xml:space="preserve"> </m:t>
        </m:r>
      </m:oMath>
      <w:r>
        <w:rPr>
          <w:rFonts w:eastAsiaTheme="minorEastAsia"/>
        </w:rPr>
        <w:t xml:space="preserve">                                                                    3</w:t>
      </w:r>
    </w:p>
    <w:p w14:paraId="6F48E291" w14:textId="77777777" w:rsidR="009B7F57" w:rsidRPr="001C6E1F" w:rsidRDefault="009B7F57" w:rsidP="009B7F57">
      <w:pPr>
        <w:spacing w:after="240"/>
        <w:jc w:val="both"/>
      </w:pPr>
      <w:r w:rsidRPr="00B36EC1">
        <w:t xml:space="preserve">where </w:t>
      </w:r>
      <w:r w:rsidRPr="001C6E1F">
        <w:rPr>
          <w:i/>
          <w:iCs/>
        </w:rPr>
        <w:t>p</w:t>
      </w:r>
      <w:r w:rsidRPr="001C6E1F">
        <w:rPr>
          <w:i/>
          <w:iCs/>
          <w:vertAlign w:val="subscript"/>
        </w:rPr>
        <w:t>k</w:t>
      </w:r>
      <w:r w:rsidRPr="00B36EC1">
        <w:t xml:space="preserve"> is the proportion of samples belonging to class </w:t>
      </w:r>
      <w:r w:rsidRPr="001C6E1F">
        <w:rPr>
          <w:i/>
          <w:iCs/>
        </w:rPr>
        <w:t>k</w:t>
      </w:r>
      <w:r w:rsidRPr="00B36EC1">
        <w:t xml:space="preserve"> in a node.</w:t>
      </w:r>
    </w:p>
    <w:p w14:paraId="5A28BB8D" w14:textId="2B358363" w:rsidR="009B7F57" w:rsidRPr="003F5971" w:rsidRDefault="009B7F57" w:rsidP="009B7F57">
      <w:pPr>
        <w:spacing w:after="240"/>
        <w:jc w:val="both"/>
      </w:pPr>
      <w:r w:rsidRPr="003F5971">
        <w:t xml:space="preserve">The CART (Classification and Regression Trees) algorithm is a popular type </w:t>
      </w:r>
      <w:r>
        <w:t>(</w:t>
      </w:r>
      <w:r w:rsidRPr="00EE0FA7">
        <w:t>Cleophas and Zwinderman, 2021</w:t>
      </w:r>
      <w:r w:rsidR="00453B7A" w:rsidRPr="00EE0FA7">
        <w:t>, pp. 383-391</w:t>
      </w:r>
      <w:r>
        <w:t>)</w:t>
      </w:r>
      <w:r w:rsidRPr="003F5971">
        <w:t xml:space="preserve"> of decision tree that builds binary splits by minimizing the weighted Gini impurity in child nodes</w:t>
      </w:r>
      <w:r w:rsidR="00E10EDD">
        <w:t>:</w:t>
      </w:r>
      <w:r w:rsidRPr="003F5971">
        <w:t xml:space="preserve"> </w:t>
      </w:r>
    </w:p>
    <w:p w14:paraId="67AFF932" w14:textId="77777777" w:rsidR="009B7F57" w:rsidRPr="001C6E1F" w:rsidRDefault="00000000" w:rsidP="009B7F57">
      <w:pPr>
        <w:spacing w:after="240"/>
        <w:jc w:val="both"/>
        <w:rPr>
          <w:rFonts w:eastAsiaTheme="minorEastAsia"/>
        </w:rPr>
      </w:pPr>
      <m:oMathPara>
        <m:oMath>
          <m:sSub>
            <m:sSubPr>
              <m:ctrlPr>
                <w:rPr>
                  <w:rFonts w:ascii="Cambria Math" w:hAnsi="Cambria Math"/>
                  <w:i/>
                </w:rPr>
              </m:ctrlPr>
            </m:sSubPr>
            <m:e>
              <m:r>
                <m:rPr>
                  <m:nor/>
                </m:rPr>
                <w:rPr>
                  <w:rFonts w:ascii="Cambria Math" w:hAnsi="Cambria Math"/>
                </w:rPr>
                <m:t>Gini</m:t>
              </m:r>
              <m:ctrlPr>
                <w:rPr>
                  <w:rFonts w:ascii="Cambria Math" w:hAnsi="Cambria Math"/>
                </w:rPr>
              </m:ctrlPr>
            </m:e>
            <m:sub>
              <m:r>
                <m:rPr>
                  <m:nor/>
                </m:rPr>
                <w:rPr>
                  <w:rFonts w:ascii="Cambria Math" w:hAnsi="Cambria Math"/>
                </w:rPr>
                <m:t>split</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m:rPr>
                      <m:nor/>
                    </m:rPr>
                    <w:rPr>
                      <w:rFonts w:ascii="Cambria Math" w:hAnsi="Cambria Math"/>
                    </w:rPr>
                    <m:t>left</m:t>
                  </m:r>
                </m:sub>
              </m:sSub>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sSub>
            <m:sSubPr>
              <m:ctrlPr>
                <w:rPr>
                  <w:rFonts w:ascii="Cambria Math" w:hAnsi="Cambria Math"/>
                  <w:i/>
                </w:rPr>
              </m:ctrlPr>
            </m:sSubPr>
            <m:e>
              <m:r>
                <m:rPr>
                  <m:nor/>
                </m:rPr>
                <w:rPr>
                  <w:rFonts w:ascii="Cambria Math" w:hAnsi="Cambria Math"/>
                </w:rPr>
                <m:t>Gini</m:t>
              </m:r>
            </m:e>
            <m:sub>
              <m:r>
                <m:rPr>
                  <m:nor/>
                </m:rPr>
                <w:rPr>
                  <w:rFonts w:ascii="Cambria Math" w:hAnsi="Cambria Math"/>
                </w:rPr>
                <m:t>left</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m:rPr>
                      <m:nor/>
                    </m:rPr>
                    <w:rPr>
                      <w:rFonts w:ascii="Cambria Math" w:hAnsi="Cambria Math"/>
                    </w:rPr>
                    <m:t>right</m:t>
                  </m:r>
                </m:sub>
              </m:sSub>
              <m:ctrlPr>
                <w:rPr>
                  <w:rFonts w:ascii="Cambria Math" w:hAnsi="Cambria Math"/>
                  <w:i/>
                </w:rPr>
              </m:ctrlPr>
            </m:num>
            <m:den>
              <m:r>
                <w:rPr>
                  <w:rFonts w:ascii="Cambria Math" w:hAnsi="Cambria Math"/>
                </w:rPr>
                <m:t>N</m:t>
              </m:r>
              <m:ctrlPr>
                <w:rPr>
                  <w:rFonts w:ascii="Cambria Math" w:hAnsi="Cambria Math"/>
                  <w:i/>
                </w:rPr>
              </m:ctrlPr>
            </m:den>
          </m:f>
          <m:r>
            <w:rPr>
              <w:rFonts w:ascii="Cambria Math" w:hAnsi="Cambria Math"/>
            </w:rPr>
            <m:t> </m:t>
          </m:r>
          <m:sSub>
            <m:sSubPr>
              <m:ctrlPr>
                <w:rPr>
                  <w:rFonts w:ascii="Cambria Math" w:hAnsi="Cambria Math"/>
                  <w:i/>
                </w:rPr>
              </m:ctrlPr>
            </m:sSubPr>
            <m:e>
              <m:r>
                <m:rPr>
                  <m:nor/>
                </m:rPr>
                <w:rPr>
                  <w:rFonts w:ascii="Cambria Math" w:hAnsi="Cambria Math"/>
                </w:rPr>
                <m:t>Gini</m:t>
              </m:r>
            </m:e>
            <m:sub>
              <m:r>
                <m:rPr>
                  <m:nor/>
                </m:rPr>
                <w:rPr>
                  <w:rFonts w:ascii="Cambria Math" w:hAnsi="Cambria Math"/>
                </w:rPr>
                <m:t>right</m:t>
              </m:r>
            </m:sub>
          </m:sSub>
          <m:r>
            <w:rPr>
              <w:rFonts w:ascii="Cambria Math" w:hAnsi="Cambria Math"/>
            </w:rPr>
            <m:t xml:space="preserve">                                      4</m:t>
          </m:r>
        </m:oMath>
      </m:oMathPara>
    </w:p>
    <w:p w14:paraId="64F7DF5C" w14:textId="77777777" w:rsidR="009B7F57" w:rsidRPr="00637713" w:rsidRDefault="009B7F57" w:rsidP="009B7F57">
      <w:pPr>
        <w:spacing w:after="240"/>
        <w:jc w:val="both"/>
        <w:rPr>
          <w:rFonts w:eastAsiaTheme="minorEastAsia"/>
        </w:rPr>
      </w:pPr>
      <w:r w:rsidRPr="003F5971">
        <w:t xml:space="preserve">where </w:t>
      </w:r>
      <w:r w:rsidRPr="003F5971">
        <w:rPr>
          <w:i/>
          <w:iCs/>
        </w:rPr>
        <w:t>N</w:t>
      </w:r>
      <w:r w:rsidRPr="003F5971">
        <w:rPr>
          <w:i/>
          <w:iCs/>
          <w:vertAlign w:val="subscript"/>
        </w:rPr>
        <w:t>left</w:t>
      </w:r>
      <w:r w:rsidRPr="003F5971">
        <w:t xml:space="preserve"> and </w:t>
      </w:r>
      <w:r w:rsidRPr="003F5971">
        <w:rPr>
          <w:i/>
          <w:iCs/>
        </w:rPr>
        <w:t>N</w:t>
      </w:r>
      <w:r w:rsidRPr="003F5971">
        <w:rPr>
          <w:i/>
          <w:iCs/>
          <w:vertAlign w:val="subscript"/>
        </w:rPr>
        <w:t>right</w:t>
      </w:r>
      <w:r w:rsidRPr="003F5971">
        <w:rPr>
          <w:i/>
          <w:iCs/>
        </w:rPr>
        <w:t xml:space="preserve"> </w:t>
      </w:r>
      <w:r w:rsidRPr="003F5971">
        <w:t>are the number of samples in the left and right nodes, respectively.</w:t>
      </w:r>
    </w:p>
    <w:p w14:paraId="1440B15A" w14:textId="3C01BFF9" w:rsidR="009B7F57" w:rsidRPr="003F5971" w:rsidRDefault="009B7F57" w:rsidP="009B7F57">
      <w:pPr>
        <w:spacing w:after="240"/>
        <w:jc w:val="both"/>
      </w:pPr>
      <w:r w:rsidRPr="003F5971">
        <w:t xml:space="preserve">Logistic Regression (LR) models the probability of a binary outcome using the logistic sigmoid function </w:t>
      </w:r>
      <w:r>
        <w:t>(</w:t>
      </w:r>
      <w:r w:rsidRPr="00EE0FA7">
        <w:t>Irimia-Dieguez et al., 2015</w:t>
      </w:r>
      <w:r>
        <w:t>)</w:t>
      </w:r>
      <w:r w:rsidRPr="003F5971">
        <w:t xml:space="preserve">. Given a linear combination </w:t>
      </w:r>
      <w:proofErr w:type="spellStart"/>
      <w:r w:rsidRPr="003F5971">
        <w:rPr>
          <w:b/>
          <w:bCs/>
          <w:i/>
          <w:iCs/>
        </w:rPr>
        <w:t>w</w:t>
      </w:r>
      <w:r w:rsidRPr="003F5971">
        <w:rPr>
          <w:i/>
          <w:iCs/>
          <w:vertAlign w:val="superscript"/>
        </w:rPr>
        <w:t>T</w:t>
      </w:r>
      <w:r w:rsidRPr="003F5971">
        <w:rPr>
          <w:b/>
          <w:bCs/>
          <w:i/>
          <w:iCs/>
        </w:rPr>
        <w:t>x</w:t>
      </w:r>
      <w:proofErr w:type="spellEnd"/>
      <w:r w:rsidRPr="003F5971">
        <w:rPr>
          <w:i/>
          <w:iCs/>
        </w:rPr>
        <w:t xml:space="preserve"> + b</w:t>
      </w:r>
      <w:r w:rsidRPr="003F5971">
        <w:t>, Equation 5 represents the predicted probability</w:t>
      </w:r>
      <w:r w:rsidR="00E10EDD">
        <w:t>:</w:t>
      </w:r>
    </w:p>
    <w:p w14:paraId="10E096E0" w14:textId="77777777" w:rsidR="009B7F57" w:rsidRPr="00637713" w:rsidRDefault="009B7F57" w:rsidP="009B7F57">
      <w:pPr>
        <w:spacing w:after="240"/>
        <w:jc w:val="center"/>
        <w:rPr>
          <w:rFonts w:eastAsiaTheme="minorEastAsia"/>
        </w:rPr>
      </w:pPr>
      <m:oMath>
        <m:r>
          <w:rPr>
            <w:rFonts w:ascii="Cambria Math" w:hAnsi="Cambria Math"/>
          </w:rPr>
          <m:t>P</m:t>
        </m:r>
        <m:d>
          <m:dPr>
            <m:sepChr m:val="∣"/>
            <m:ctrlPr>
              <w:rPr>
                <w:rFonts w:ascii="Cambria Math" w:hAnsi="Cambria Math"/>
                <w:i/>
              </w:rPr>
            </m:ctrlPr>
          </m:dPr>
          <m:e>
            <m:r>
              <w:rPr>
                <w:rFonts w:ascii="Cambria Math" w:hAnsi="Cambria Math"/>
              </w:rPr>
              <m:t>y=1</m:t>
            </m:r>
            <m:ctrlPr>
              <w:rPr>
                <w:rFonts w:ascii="Cambria Math" w:hAnsi="Cambria Math"/>
              </w:rPr>
            </m:ctrlPr>
          </m:e>
          <m:e>
            <m:r>
              <w:rPr>
                <w:rFonts w:ascii="Cambria Math" w:hAnsi="Cambria Math"/>
              </w:rPr>
              <m:t>x</m:t>
            </m:r>
          </m:e>
        </m:d>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w</m:t>
                        </m:r>
                      </m:e>
                      <m:sup>
                        <m:r>
                          <m:rPr>
                            <m:sty m:val="p"/>
                          </m:rPr>
                          <w:rPr>
                            <w:rFonts w:ascii="Cambria Math" w:hAnsi="Cambria Math"/>
                          </w:rPr>
                          <m:t>⊤</m:t>
                        </m:r>
                      </m:sup>
                    </m:sSup>
                    <m:r>
                      <w:rPr>
                        <w:rFonts w:ascii="Cambria Math" w:hAnsi="Cambria Math"/>
                      </w:rPr>
                      <m:t>x+b</m:t>
                    </m:r>
                  </m:e>
                </m:d>
              </m:sup>
            </m:sSup>
            <m:ctrlPr>
              <w:rPr>
                <w:rFonts w:ascii="Cambria Math" w:hAnsi="Cambria Math"/>
                <w:i/>
              </w:rPr>
            </m:ctrlPr>
          </m:den>
        </m:f>
      </m:oMath>
      <w:r>
        <w:rPr>
          <w:rFonts w:eastAsiaTheme="minorEastAsia"/>
        </w:rPr>
        <w:t xml:space="preserve">                                                    5</w:t>
      </w:r>
    </w:p>
    <w:p w14:paraId="1308C64D" w14:textId="100DCEAC" w:rsidR="009B7F57" w:rsidRDefault="009B7F57" w:rsidP="009B7F57">
      <w:pPr>
        <w:spacing w:after="240"/>
        <w:jc w:val="both"/>
      </w:pPr>
      <w:r>
        <w:t xml:space="preserve">The K-Nearest </w:t>
      </w:r>
      <w:r w:rsidR="00E10EDD">
        <w:t>Neighb</w:t>
      </w:r>
      <w:r w:rsidR="00EE0FA7">
        <w:t>o</w:t>
      </w:r>
      <w:r w:rsidR="00E10EDD">
        <w:t>rs</w:t>
      </w:r>
      <w:r>
        <w:t xml:space="preserve"> (KNN) algorithm classifies (</w:t>
      </w:r>
      <w:r w:rsidRPr="00460B35">
        <w:t>Halder et al., 2024</w:t>
      </w:r>
      <w:r>
        <w:t>)</w:t>
      </w:r>
      <w:r w:rsidR="00460B35" w:rsidRPr="00460B35">
        <w:rPr>
          <w:color w:val="FF0000"/>
        </w:rPr>
        <w:t xml:space="preserve"> </w:t>
      </w:r>
      <w:r>
        <w:t xml:space="preserve">a data point by majority voting among its </w:t>
      </w:r>
      <w:r w:rsidRPr="001C6E1F">
        <w:rPr>
          <w:i/>
          <w:iCs/>
        </w:rPr>
        <w:t>k</w:t>
      </w:r>
      <w:r>
        <w:t xml:space="preserve"> closest </w:t>
      </w:r>
      <w:r w:rsidR="00E10EDD">
        <w:t>neighbors</w:t>
      </w:r>
      <w:r>
        <w:t>, typically using Euclidean distance, shown in Equation 6</w:t>
      </w:r>
      <w:r w:rsidR="00E10EDD">
        <w:t>:</w:t>
      </w:r>
    </w:p>
    <w:p w14:paraId="52AC30EB" w14:textId="77777777" w:rsidR="009B7F57" w:rsidRDefault="009B7F57" w:rsidP="009B7F57">
      <w:pPr>
        <w:spacing w:after="240"/>
        <w:jc w:val="center"/>
      </w:pPr>
      <m:oMath>
        <m:r>
          <w:rPr>
            <w:rFonts w:ascii="Cambria Math" w:hAnsi="Cambria Math"/>
          </w:rPr>
          <m:t>d</m:t>
        </m:r>
        <m:d>
          <m:dPr>
            <m:ctrlPr>
              <w:rPr>
                <w:rFonts w:ascii="Cambria Math" w:hAnsi="Cambria Math"/>
                <w:i/>
              </w:rPr>
            </m:ctrlPr>
          </m:dPr>
          <m:e>
            <m:r>
              <w:rPr>
                <w:rFonts w:ascii="Cambria Math" w:hAnsi="Cambria Math"/>
              </w:rPr>
              <m:t>x,</m:t>
            </m:r>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hAnsi="Cambria Math"/>
          </w:rPr>
          <m:t>=</m:t>
        </m:r>
        <m:rad>
          <m:radPr>
            <m:degHide m:val="1"/>
            <m:ctrlPr>
              <w:rPr>
                <w:rFonts w:ascii="Cambria Math" w:hAnsi="Cambria Math"/>
              </w:rPr>
            </m:ctrlPr>
          </m:radPr>
          <m:deg>
            <m:ctrlPr>
              <w:rPr>
                <w:rFonts w:ascii="Cambria Math" w:hAnsi="Cambria Math"/>
                <w:i/>
              </w:rPr>
            </m:ctrlPr>
          </m:deg>
          <m:e>
            <m:nary>
              <m:naryPr>
                <m:chr m:val="∑"/>
                <m:ctrlPr>
                  <w:rPr>
                    <w:rFonts w:ascii="Cambria Math" w:hAnsi="Cambria Math"/>
                  </w:rPr>
                </m:ctrlPr>
              </m:naryPr>
              <m:sub>
                <m:r>
                  <w:rPr>
                    <w:rFonts w:ascii="Cambria Math" w:hAnsi="Cambria Math"/>
                  </w:rPr>
                  <m:t>i=1</m:t>
                </m:r>
                <m:ctrlPr>
                  <w:rPr>
                    <w:rFonts w:ascii="Cambria Math" w:hAnsi="Cambria Math"/>
                    <w:i/>
                  </w:rPr>
                </m:ctrlPr>
              </m:sub>
              <m:sup>
                <m:r>
                  <w:rPr>
                    <w:rFonts w:ascii="Cambria Math" w:hAnsi="Cambria Math"/>
                  </w:rPr>
                  <m:t>n</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e>
                    </m:d>
                  </m:e>
                  <m:sup>
                    <m:r>
                      <w:rPr>
                        <w:rFonts w:ascii="Cambria Math" w:hAnsi="Cambria Math"/>
                      </w:rPr>
                      <m:t>2</m:t>
                    </m:r>
                  </m:sup>
                </m:sSup>
                <m:ctrlPr>
                  <w:rPr>
                    <w:rFonts w:ascii="Cambria Math" w:hAnsi="Cambria Math"/>
                    <w:i/>
                  </w:rPr>
                </m:ctrlPr>
              </m:e>
            </m:nary>
          </m:e>
        </m:rad>
        <m:r>
          <w:rPr>
            <w:rFonts w:ascii="Cambria Math" w:hAnsi="Cambria Math"/>
          </w:rPr>
          <m:t xml:space="preserve">                                           </m:t>
        </m:r>
      </m:oMath>
      <w:r>
        <w:rPr>
          <w:rFonts w:eastAsiaTheme="minorEastAsia"/>
        </w:rPr>
        <w:t xml:space="preserve">             6</w:t>
      </w:r>
    </w:p>
    <w:p w14:paraId="32DD8302" w14:textId="55714789" w:rsidR="009B7F57" w:rsidRDefault="009B7F57" w:rsidP="009B7F57">
      <w:pPr>
        <w:spacing w:after="240"/>
        <w:jc w:val="both"/>
      </w:pPr>
      <w:r>
        <w:t>Support Vector Machine (SVM) finds the (</w:t>
      </w:r>
      <w:r w:rsidRPr="00135D2C">
        <w:t>Shawe-Taylor and Sun, 2011</w:t>
      </w:r>
      <w:r>
        <w:t>) hyperplane that maximizes the margin between two classes by solving Equation 7</w:t>
      </w:r>
      <w:r w:rsidR="00E10EDD">
        <w:t>:</w:t>
      </w:r>
    </w:p>
    <w:p w14:paraId="76F7C32F" w14:textId="77777777" w:rsidR="009B7F57" w:rsidRPr="0015426D" w:rsidRDefault="00000000" w:rsidP="009B7F57">
      <w:pPr>
        <w:spacing w:after="240"/>
        <w:jc w:val="center"/>
        <w:rPr>
          <w:rFonts w:eastAsiaTheme="minorEastAsia"/>
        </w:rPr>
      </w:pPr>
      <m:oMath>
        <m:func>
          <m:funcPr>
            <m:ctrlPr>
              <w:rPr>
                <w:rFonts w:ascii="Cambria Math" w:eastAsiaTheme="minorEastAsia" w:hAnsi="Cambria Math"/>
                <w:i/>
              </w:rPr>
            </m:ctrlPr>
          </m:funcPr>
          <m:fName>
            <m:r>
              <w:rPr>
                <w:rFonts w:ascii="Cambria Math" w:eastAsiaTheme="minorEastAsia" w:hAnsi="Cambria Math"/>
              </w:rPr>
              <m:t>min</m:t>
            </m:r>
          </m:fName>
          <m:e>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w</m:t>
                    </m:r>
                  </m:e>
                </m:d>
              </m:e>
              <m:sup>
                <m:r>
                  <w:rPr>
                    <w:rFonts w:ascii="Cambria Math" w:eastAsiaTheme="minorEastAsia" w:hAnsi="Cambria Math"/>
                  </w:rPr>
                  <m:t>2</m:t>
                </m:r>
              </m:sup>
            </m:sSup>
          </m:e>
        </m:func>
      </m:oMath>
      <w:r w:rsidR="009B7F57">
        <w:rPr>
          <w:rFonts w:eastAsiaTheme="minorEastAsia"/>
        </w:rPr>
        <w:t xml:space="preserve"> subject to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m:rPr>
                    <m:sty m:val="p"/>
                  </m:rPr>
                  <w:rPr>
                    <w:rFonts w:ascii="Cambria Math" w:eastAsiaTheme="minorEastAsia" w:hAnsi="Cambria Math"/>
                  </w:rPr>
                  <m:t>⊤</m:t>
                </m:r>
              </m:sup>
            </m:sSup>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+b</m:t>
            </m:r>
          </m:e>
        </m:d>
        <m:r>
          <m:rPr>
            <m:sty m:val="p"/>
          </m:rPr>
          <w:rPr>
            <w:rFonts w:ascii="Cambria Math" w:eastAsiaTheme="minorEastAsia" w:hAnsi="Cambria Math"/>
          </w:rPr>
          <m:t>≥</m:t>
        </m:r>
        <m:r>
          <w:rPr>
            <w:rFonts w:ascii="Cambria Math" w:eastAsiaTheme="minorEastAsia" w:hAnsi="Cambria Math"/>
          </w:rPr>
          <m:t>1,</m:t>
        </m:r>
        <m:r>
          <m:rPr>
            <m:sty m:val="p"/>
          </m:rPr>
          <w:rPr>
            <w:rFonts w:ascii="Cambria Math" w:eastAsiaTheme="minorEastAsia" w:hAnsi="Cambria Math"/>
          </w:rPr>
          <m:t> ∀</m:t>
        </m:r>
        <m:r>
          <w:rPr>
            <w:rFonts w:ascii="Cambria Math" w:eastAsiaTheme="minorEastAsia" w:hAnsi="Cambria Math"/>
          </w:rPr>
          <m:t xml:space="preserve">i           </m:t>
        </m:r>
      </m:oMath>
      <w:r w:rsidR="009B7F57">
        <w:rPr>
          <w:rFonts w:eastAsiaTheme="minorEastAsia"/>
        </w:rPr>
        <w:t>7</w:t>
      </w:r>
    </w:p>
    <w:p w14:paraId="1A07CBA7" w14:textId="77777777" w:rsidR="009B7F57" w:rsidRPr="001C6E1F" w:rsidRDefault="009B7F57" w:rsidP="009B7F57">
      <w:pPr>
        <w:spacing w:after="240"/>
        <w:jc w:val="both"/>
      </w:pPr>
      <w:r w:rsidRPr="001C6E1F">
        <w:rPr>
          <w:color w:val="000000" w:themeColor="text1"/>
        </w:rPr>
        <w:t xml:space="preserve">where </w:t>
      </w:r>
      <w:r w:rsidRPr="001C6E1F">
        <w:rPr>
          <w:i/>
          <w:iCs/>
          <w:color w:val="000000" w:themeColor="text1"/>
        </w:rPr>
        <w:t>w</w:t>
      </w:r>
      <w:r w:rsidRPr="001C6E1F">
        <w:rPr>
          <w:color w:val="000000" w:themeColor="text1"/>
        </w:rPr>
        <w:t xml:space="preserve"> is the normal </w:t>
      </w:r>
      <w:r w:rsidRPr="00B36EC1">
        <w:t xml:space="preserve">vector to the hyperplane and </w:t>
      </w:r>
      <w:r w:rsidRPr="001C6E1F">
        <w:rPr>
          <w:i/>
          <w:iCs/>
        </w:rPr>
        <w:t>b</w:t>
      </w:r>
      <w:r w:rsidRPr="00B36EC1">
        <w:t xml:space="preserve"> is the bias term</w:t>
      </w:r>
      <w:r>
        <w:t>.</w:t>
      </w:r>
    </w:p>
    <w:p w14:paraId="381C7699" w14:textId="2F50398E" w:rsidR="009B7F57" w:rsidRPr="00E10EDD" w:rsidRDefault="009B7F57" w:rsidP="009B7F57">
      <w:pPr>
        <w:spacing w:after="240"/>
        <w:jc w:val="both"/>
      </w:pPr>
      <w:r w:rsidRPr="00E10EDD">
        <w:t>AdaBoost is an ensemble method that combines weak classifiers sequentially (Wang, 2012). At each iteration t, it updates the sample weights</w:t>
      </w:r>
      <w:r w:rsidRPr="00E10EDD">
        <w:rPr>
          <w:color w:val="FF0000"/>
        </w:rP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i</m:t>
            </m:r>
          </m:sub>
          <m:sup>
            <m:d>
              <m:dPr>
                <m:ctrlPr>
                  <w:rPr>
                    <w:rFonts w:ascii="Cambria Math" w:hAnsi="Cambria Math"/>
                    <w:i/>
                  </w:rPr>
                </m:ctrlPr>
              </m:dPr>
              <m:e>
                <m:r>
                  <w:rPr>
                    <w:rFonts w:ascii="Cambria Math" w:hAnsi="Cambria Math"/>
                  </w:rPr>
                  <m:t>t</m:t>
                </m:r>
              </m:e>
            </m:d>
          </m:sup>
        </m:sSubSup>
      </m:oMath>
      <w:r w:rsidRPr="00E10EDD">
        <w:t>to emphasize misclassified examples like in Equation 8</w:t>
      </w:r>
      <w:r w:rsidR="00E10EDD" w:rsidRPr="00E10EDD">
        <w:t>:</w:t>
      </w:r>
    </w:p>
    <w:p w14:paraId="36FE9683" w14:textId="77777777" w:rsidR="009B7F57" w:rsidRPr="001C6E1F" w:rsidRDefault="00000000" w:rsidP="009B7F57">
      <w:pPr>
        <w:spacing w:after="24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i</m:t>
            </m:r>
          </m:sub>
          <m:sup>
            <m:d>
              <m:dPr>
                <m:ctrlPr>
                  <w:rPr>
                    <w:rFonts w:ascii="Cambria Math" w:hAnsi="Cambria Math"/>
                    <w:i/>
                  </w:rPr>
                </m:ctrlPr>
              </m:dPr>
              <m:e>
                <m:r>
                  <w:rPr>
                    <w:rFonts w:ascii="Cambria Math" w:hAnsi="Cambria Math"/>
                  </w:rPr>
                  <m:t>t+1</m:t>
                </m:r>
              </m:e>
            </m:d>
          </m:sup>
        </m:sSubSup>
        <m:r>
          <w:rPr>
            <w:rFonts w:ascii="Cambria Math" w:hAnsi="Cambria Math"/>
          </w:rPr>
          <m:t>=</m:t>
        </m:r>
        <m:sSubSup>
          <m:sSubSupPr>
            <m:ctrlPr>
              <w:rPr>
                <w:rFonts w:ascii="Cambria Math" w:hAnsi="Cambria Math"/>
                <w:i/>
              </w:rPr>
            </m:ctrlPr>
          </m:sSubSupPr>
          <m:e>
            <m:r>
              <w:rPr>
                <w:rFonts w:ascii="Cambria Math" w:hAnsi="Cambria Math"/>
              </w:rPr>
              <m:t>w</m:t>
            </m:r>
          </m:e>
          <m:sub>
            <m:r>
              <w:rPr>
                <w:rFonts w:ascii="Cambria Math" w:hAnsi="Cambria Math"/>
              </w:rPr>
              <m:t>i</m:t>
            </m:r>
          </m:sub>
          <m:sup>
            <m:d>
              <m:dPr>
                <m:ctrlPr>
                  <w:rPr>
                    <w:rFonts w:ascii="Cambria Math" w:hAnsi="Cambria Math"/>
                    <w:i/>
                  </w:rPr>
                </m:ctrlPr>
              </m:dPr>
              <m:e>
                <m:r>
                  <w:rPr>
                    <w:rFonts w:ascii="Cambria Math" w:hAnsi="Cambria Math"/>
                  </w:rPr>
                  <m:t>t</m:t>
                </m:r>
              </m:e>
            </m:d>
          </m:sup>
        </m:sSubSup>
        <m:func>
          <m:funcPr>
            <m:ctrlPr>
              <w:rPr>
                <w:rFonts w:ascii="Cambria Math" w:hAnsi="Cambria Math"/>
              </w:rPr>
            </m:ctrlPr>
          </m:funcPr>
          <m:fName>
            <m:r>
              <m:rPr>
                <m:sty m:val="p"/>
              </m:rPr>
              <w:rPr>
                <w:rFonts w:ascii="Cambria Math" w:hAnsi="Cambria Math"/>
              </w:rPr>
              <m:t>exp</m:t>
            </m:r>
            <m:ctrlPr>
              <w:rPr>
                <w:rFonts w:ascii="Cambria Math" w:hAnsi="Cambria Math"/>
                <w:i/>
              </w:rPr>
            </m:ctrlPr>
          </m:fName>
          <m:e>
            <m:r>
              <w:rPr>
                <w:rFonts w:ascii="Cambria Math" w:hAnsi="Cambria Math"/>
              </w:rPr>
              <m:t>\</m:t>
            </m:r>
          </m:e>
        </m:func>
        <m:r>
          <w:rPr>
            <w:rFonts w:ascii="Cambria Math" w:hAnsi="Cambria Math"/>
          </w:rPr>
          <m:t>big</m:t>
        </m:r>
        <m:d>
          <m:dPr>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t</m:t>
                </m:r>
              </m:sub>
            </m:sSub>
            <m:r>
              <w:rPr>
                <w:rFonts w:ascii="Cambria Math" w:hAnsi="Cambria Math"/>
              </w:rPr>
              <m:t> I</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m:t>
                    </m:r>
                  </m:sub>
                </m:sSub>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e>
            </m:d>
            <m:r>
              <w:rPr>
                <w:rFonts w:ascii="Cambria Math" w:hAnsi="Cambria Math"/>
              </w:rPr>
              <m:t>\big</m:t>
            </m:r>
          </m:e>
        </m:d>
      </m:oMath>
      <w:r w:rsidR="009B7F57">
        <w:rPr>
          <w:rFonts w:eastAsiaTheme="minorEastAsia"/>
        </w:rPr>
        <w:t xml:space="preserve">                  8</w:t>
      </w:r>
    </w:p>
    <w:p w14:paraId="5FE0EBA4" w14:textId="77777777" w:rsidR="009B7F57" w:rsidRPr="00637713" w:rsidRDefault="009B7F57" w:rsidP="009B7F57">
      <w:pPr>
        <w:spacing w:after="240"/>
        <w:jc w:val="both"/>
        <w:rPr>
          <w:rFonts w:eastAsiaTheme="minorEastAsia"/>
        </w:rPr>
      </w:pPr>
      <w:r>
        <w:t xml:space="preserve">where </w:t>
      </w:r>
      <w:r w:rsidRPr="001C6E1F">
        <w:rPr>
          <w:i/>
          <w:iCs/>
        </w:rPr>
        <w:t>αt</w:t>
      </w:r>
      <w:r>
        <w:t xml:space="preserve"> is the weight of the </w:t>
      </w:r>
      <w:r w:rsidRPr="001C6E1F">
        <w:rPr>
          <w:i/>
          <w:iCs/>
        </w:rPr>
        <w:t>t-</w:t>
      </w:r>
      <w:proofErr w:type="spellStart"/>
      <w:r w:rsidRPr="001C6E1F">
        <w:rPr>
          <w:i/>
          <w:iCs/>
        </w:rPr>
        <w:t>th</w:t>
      </w:r>
      <w:proofErr w:type="spellEnd"/>
      <w:r w:rsidRPr="001C6E1F">
        <w:rPr>
          <w:i/>
          <w:iCs/>
        </w:rPr>
        <w:t xml:space="preserve"> </w:t>
      </w:r>
      <w:r>
        <w:t xml:space="preserve">classifier and </w:t>
      </w:r>
      <w:r w:rsidRPr="001C6E1F">
        <w:rPr>
          <w:i/>
          <w:iCs/>
        </w:rPr>
        <w:t>I</w:t>
      </w:r>
      <w:r>
        <w:t xml:space="preserve"> is the indicator function.</w:t>
      </w:r>
    </w:p>
    <w:p w14:paraId="52BCDA6E" w14:textId="77777777" w:rsidR="009B7F57" w:rsidRPr="001C6E1F" w:rsidRDefault="009B7F57" w:rsidP="009B7F57">
      <w:pPr>
        <w:jc w:val="both"/>
      </w:pPr>
      <w:r>
        <w:lastRenderedPageBreak/>
        <w:t>Bagging (Bootstrap Aggregating) trains multiple models on different bootstrap samples and aggregates their predictions, reducing variance and overfitting. It is similar to RF but typically without feature randomization (</w:t>
      </w:r>
      <w:r w:rsidRPr="00135D2C">
        <w:t>Kadiyala and Kumar, 2018</w:t>
      </w:r>
      <w:r>
        <w:t>).</w:t>
      </w:r>
    </w:p>
    <w:p w14:paraId="32147E5C" w14:textId="2343CF36" w:rsidR="009B7F57" w:rsidRPr="00C57127" w:rsidRDefault="009B7F57" w:rsidP="009B7F57">
      <w:pPr>
        <w:jc w:val="both"/>
        <w:rPr>
          <w:color w:val="000000" w:themeColor="text1"/>
        </w:rPr>
      </w:pPr>
      <w:r w:rsidRPr="00C57127">
        <w:rPr>
          <w:color w:val="000000" w:themeColor="text1"/>
        </w:rPr>
        <w:t>Finally, Gradient Boosting builds models sequentially by fitting the residual errors of previous models (</w:t>
      </w:r>
      <w:r w:rsidRPr="00135D2C">
        <w:t>Bentéjac</w:t>
      </w:r>
      <w:r w:rsidR="00135D2C" w:rsidRPr="00135D2C">
        <w:t>, Csörgő, and Martínez-Muñoz</w:t>
      </w:r>
      <w:r w:rsidRPr="00135D2C">
        <w:t>, 2021</w:t>
      </w:r>
      <w:r w:rsidRPr="00C57127">
        <w:rPr>
          <w:color w:val="000000" w:themeColor="text1"/>
        </w:rPr>
        <w:t xml:space="preserve">). At iteration </w:t>
      </w:r>
      <w:r w:rsidRPr="00C57127">
        <w:rPr>
          <w:i/>
          <w:iCs/>
          <w:color w:val="000000" w:themeColor="text1"/>
        </w:rPr>
        <w:t>t</w:t>
      </w:r>
      <w:r w:rsidRPr="00C57127">
        <w:rPr>
          <w:color w:val="000000" w:themeColor="text1"/>
        </w:rPr>
        <w:t xml:space="preserve">, the model is updated as </w:t>
      </w:r>
      <w:r>
        <w:rPr>
          <w:color w:val="000000" w:themeColor="text1"/>
        </w:rPr>
        <w:t xml:space="preserve">in </w:t>
      </w:r>
      <w:r w:rsidRPr="00C57127">
        <w:rPr>
          <w:color w:val="000000" w:themeColor="text1"/>
        </w:rPr>
        <w:t>Equation 9</w:t>
      </w:r>
      <w:r w:rsidR="00E10EDD">
        <w:rPr>
          <w:color w:val="000000" w:themeColor="text1"/>
        </w:rPr>
        <w:t>:</w:t>
      </w:r>
    </w:p>
    <w:p w14:paraId="57406570" w14:textId="77777777" w:rsidR="009B7F57" w:rsidRPr="001C6E1F" w:rsidRDefault="00000000" w:rsidP="009B7F57">
      <w:pPr>
        <w:spacing w:after="240"/>
        <w:jc w:val="center"/>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t</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t-1</m:t>
            </m:r>
          </m:sub>
        </m:sSub>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ν⋅</m:t>
        </m:r>
        <m:sSub>
          <m:sSubPr>
            <m:ctrlPr>
              <w:rPr>
                <w:rFonts w:ascii="Cambria Math" w:hAnsi="Cambria Math"/>
                <w:i/>
              </w:rPr>
            </m:ctrlPr>
          </m:sSubPr>
          <m:e>
            <m:r>
              <w:rPr>
                <w:rFonts w:ascii="Cambria Math" w:hAnsi="Cambria Math"/>
              </w:rPr>
              <m:t>h</m:t>
            </m:r>
            <m:ctrlPr>
              <w:rPr>
                <w:rFonts w:ascii="Cambria Math" w:hAnsi="Cambria Math"/>
              </w:rPr>
            </m:ctrlPr>
          </m:e>
          <m:sub>
            <m:r>
              <w:rPr>
                <w:rFonts w:ascii="Cambria Math" w:hAnsi="Cambria Math"/>
              </w:rPr>
              <m:t>t</m:t>
            </m:r>
          </m:sub>
        </m:sSub>
        <m:d>
          <m:dPr>
            <m:ctrlPr>
              <w:rPr>
                <w:rFonts w:ascii="Cambria Math" w:hAnsi="Cambria Math"/>
                <w:i/>
              </w:rPr>
            </m:ctrlPr>
          </m:dPr>
          <m:e>
            <m:r>
              <w:rPr>
                <w:rFonts w:ascii="Cambria Math" w:hAnsi="Cambria Math"/>
              </w:rPr>
              <m:t>x</m:t>
            </m:r>
          </m:e>
        </m:d>
      </m:oMath>
      <w:r w:rsidR="009B7F57">
        <w:rPr>
          <w:rFonts w:eastAsiaTheme="minorEastAsia"/>
        </w:rPr>
        <w:t xml:space="preserve">                                              9</w:t>
      </w:r>
    </w:p>
    <w:p w14:paraId="5C80679B" w14:textId="77777777" w:rsidR="009B7F57" w:rsidRDefault="009B7F57" w:rsidP="009B7F57">
      <w:pPr>
        <w:spacing w:after="240"/>
        <w:jc w:val="both"/>
      </w:pPr>
      <w:r w:rsidRPr="003F5971">
        <w:t xml:space="preserve">where </w:t>
      </w:r>
      <w:proofErr w:type="spellStart"/>
      <w:r w:rsidRPr="003F5971">
        <w:rPr>
          <w:i/>
          <w:iCs/>
        </w:rPr>
        <w:t>ht</w:t>
      </w:r>
      <w:proofErr w:type="spellEnd"/>
      <w:r w:rsidRPr="003F5971">
        <w:rPr>
          <w:i/>
          <w:iCs/>
        </w:rPr>
        <w:t xml:space="preserve">(x) </w:t>
      </w:r>
      <w:r w:rsidRPr="003F5971">
        <w:t xml:space="preserve">approximates the negative gradient of the loss function with respect to </w:t>
      </w:r>
      <w:r w:rsidRPr="003F5971">
        <w:rPr>
          <w:i/>
          <w:iCs/>
        </w:rPr>
        <w:t>F</w:t>
      </w:r>
      <w:r w:rsidRPr="003F5971">
        <w:rPr>
          <w:i/>
          <w:iCs/>
          <w:vertAlign w:val="subscript"/>
        </w:rPr>
        <w:t>t−1</w:t>
      </w:r>
      <w:r w:rsidRPr="003F5971">
        <w:t xml:space="preserve">, and </w:t>
      </w:r>
      <w:r w:rsidRPr="003F5971">
        <w:rPr>
          <w:i/>
          <w:iCs/>
        </w:rPr>
        <w:t>ν</w:t>
      </w:r>
      <w:r w:rsidRPr="003F5971">
        <w:t xml:space="preserve"> is the learning rate controlling the step size.</w:t>
      </w:r>
    </w:p>
    <w:p w14:paraId="4513910E" w14:textId="77777777" w:rsidR="009B7F57" w:rsidRPr="001463E9" w:rsidRDefault="009B7F57" w:rsidP="009B7F57">
      <w:pPr>
        <w:pStyle w:val="Heading2"/>
      </w:pPr>
      <w:r>
        <w:t>Results</w:t>
      </w:r>
      <w:r w:rsidRPr="00F076B3">
        <w:t xml:space="preserve"> and Discussion</w:t>
      </w:r>
    </w:p>
    <w:p w14:paraId="06194B95" w14:textId="5ABBF26E" w:rsidR="009B7F57" w:rsidRDefault="009B7F57" w:rsidP="009B7F57">
      <w:pPr>
        <w:spacing w:after="240"/>
        <w:jc w:val="both"/>
      </w:pPr>
      <w:r w:rsidRPr="00B62E33">
        <w:t>Comparisons between ML models were conducted based on their accuracy, precision, recall, and F1-score, as shown in Table 5. Models including Decision Tree, CART, AdaBoost, Bagging, and Gradient Boosting achieved the highest performance with an accuracy of 0.9792. Random Forest also shows an accuracy of 0.9375. In contrast, simpler models such as Naive Bayes and K-Nearest Neighbors performed poorly, achieving accuracies of 0.3958 and 0.5417. Logistic Regression (0.6667) and Support Vector Machines (0.5625) achieved moderate accuracy, suggesting limited suitability for modelling stress when relationships are highly nonlinear. To further investigate the specific influence of socioeconomic factors, a separate experiment was conducted using only socioeconomic features. As shown in Table 6, model performance decreased significantly, with the highest-performing model achieving only 46% accuracy. This indicates that stress levels cannot fully depend on socioeconomic factors alone, and that behavioural, academic, and psychological factors play a significant role too.</w:t>
      </w:r>
    </w:p>
    <w:p w14:paraId="48A265D8" w14:textId="740C97A7" w:rsidR="00E10EDD" w:rsidRPr="00E10EDD" w:rsidRDefault="00E10EDD" w:rsidP="00E10EDD">
      <w:r w:rsidRPr="00E10EDD">
        <w:t xml:space="preserve">Table </w:t>
      </w:r>
      <w:r>
        <w:t>5</w:t>
      </w:r>
      <w:r w:rsidRPr="00E10EDD">
        <w:t>: Metrics of all Factor Models</w:t>
      </w:r>
    </w:p>
    <w:tbl>
      <w:tblPr>
        <w:tblStyle w:val="PlainTable2"/>
        <w:tblW w:w="0" w:type="auto"/>
        <w:jc w:val="center"/>
        <w:tblLook w:val="04A0" w:firstRow="1" w:lastRow="0" w:firstColumn="1" w:lastColumn="0" w:noHBand="0" w:noVBand="1"/>
      </w:tblPr>
      <w:tblGrid>
        <w:gridCol w:w="2240"/>
        <w:gridCol w:w="1004"/>
        <w:gridCol w:w="993"/>
        <w:gridCol w:w="766"/>
        <w:gridCol w:w="809"/>
      </w:tblGrid>
      <w:tr w:rsidR="009B7F57" w:rsidRPr="0050420B" w14:paraId="5F865501" w14:textId="77777777" w:rsidTr="00E10E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7547CE" w14:textId="77777777" w:rsidR="009B7F57" w:rsidRPr="0050420B" w:rsidRDefault="009B7F57" w:rsidP="005C29AD">
            <w:pPr>
              <w:spacing w:after="240"/>
              <w:jc w:val="center"/>
              <w:rPr>
                <w:rFonts w:eastAsiaTheme="minorEastAsia"/>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Model</w:t>
            </w:r>
          </w:p>
        </w:tc>
        <w:tc>
          <w:tcPr>
            <w:tcW w:w="0" w:type="auto"/>
            <w:hideMark/>
          </w:tcPr>
          <w:p w14:paraId="155077EA" w14:textId="77777777" w:rsidR="009B7F57" w:rsidRPr="0050420B" w:rsidRDefault="009B7F57" w:rsidP="005C29AD">
            <w:pPr>
              <w:spacing w:after="240"/>
              <w:jc w:val="center"/>
              <w:cnfStyle w:val="100000000000" w:firstRow="1"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Accuracy</w:t>
            </w:r>
          </w:p>
        </w:tc>
        <w:tc>
          <w:tcPr>
            <w:tcW w:w="0" w:type="auto"/>
            <w:hideMark/>
          </w:tcPr>
          <w:p w14:paraId="4B1509D3" w14:textId="77777777" w:rsidR="009B7F57" w:rsidRPr="0050420B" w:rsidRDefault="009B7F57" w:rsidP="005C29AD">
            <w:pPr>
              <w:spacing w:after="240"/>
              <w:jc w:val="center"/>
              <w:cnfStyle w:val="100000000000" w:firstRow="1"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Precision</w:t>
            </w:r>
          </w:p>
        </w:tc>
        <w:tc>
          <w:tcPr>
            <w:tcW w:w="0" w:type="auto"/>
            <w:hideMark/>
          </w:tcPr>
          <w:p w14:paraId="0126B7E0" w14:textId="77777777" w:rsidR="009B7F57" w:rsidRPr="0050420B" w:rsidRDefault="009B7F57" w:rsidP="005C29AD">
            <w:pPr>
              <w:spacing w:after="240"/>
              <w:jc w:val="center"/>
              <w:cnfStyle w:val="100000000000" w:firstRow="1"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Recall</w:t>
            </w:r>
          </w:p>
        </w:tc>
        <w:tc>
          <w:tcPr>
            <w:tcW w:w="809" w:type="dxa"/>
            <w:hideMark/>
          </w:tcPr>
          <w:p w14:paraId="4568C625" w14:textId="77777777" w:rsidR="009B7F57" w:rsidRPr="0050420B" w:rsidRDefault="009B7F57" w:rsidP="005C29AD">
            <w:pPr>
              <w:spacing w:after="240"/>
              <w:jc w:val="center"/>
              <w:cnfStyle w:val="100000000000" w:firstRow="1"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F1-Score</w:t>
            </w:r>
          </w:p>
        </w:tc>
      </w:tr>
      <w:tr w:rsidR="009B7F57" w:rsidRPr="0050420B" w14:paraId="1BFEEA84" w14:textId="77777777" w:rsidTr="00E10E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77EB51"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NB (Naive Bayes)</w:t>
            </w:r>
          </w:p>
        </w:tc>
        <w:tc>
          <w:tcPr>
            <w:tcW w:w="0" w:type="auto"/>
            <w:hideMark/>
          </w:tcPr>
          <w:p w14:paraId="768B681A"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0.3958</w:t>
            </w:r>
          </w:p>
        </w:tc>
        <w:tc>
          <w:tcPr>
            <w:tcW w:w="0" w:type="auto"/>
            <w:hideMark/>
          </w:tcPr>
          <w:p w14:paraId="5D2599F1"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0.3481</w:t>
            </w:r>
          </w:p>
        </w:tc>
        <w:tc>
          <w:tcPr>
            <w:tcW w:w="0" w:type="auto"/>
            <w:hideMark/>
          </w:tcPr>
          <w:p w14:paraId="068F8CFE"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0.3395</w:t>
            </w:r>
          </w:p>
        </w:tc>
        <w:tc>
          <w:tcPr>
            <w:tcW w:w="809" w:type="dxa"/>
            <w:hideMark/>
          </w:tcPr>
          <w:p w14:paraId="4C20A8F7"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0.2243</w:t>
            </w:r>
          </w:p>
        </w:tc>
      </w:tr>
      <w:tr w:rsidR="009B7F57" w:rsidRPr="0050420B" w14:paraId="5A747D91" w14:textId="77777777" w:rsidTr="00E10E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779B2E"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Random Forest</w:t>
            </w:r>
          </w:p>
        </w:tc>
        <w:tc>
          <w:tcPr>
            <w:tcW w:w="0" w:type="auto"/>
            <w:hideMark/>
          </w:tcPr>
          <w:p w14:paraId="1088E34B"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0.9375</w:t>
            </w:r>
          </w:p>
        </w:tc>
        <w:tc>
          <w:tcPr>
            <w:tcW w:w="0" w:type="auto"/>
            <w:hideMark/>
          </w:tcPr>
          <w:p w14:paraId="6E8474D5"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0.7982</w:t>
            </w:r>
          </w:p>
        </w:tc>
        <w:tc>
          <w:tcPr>
            <w:tcW w:w="0" w:type="auto"/>
            <w:hideMark/>
          </w:tcPr>
          <w:p w14:paraId="6A82FF3F"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0.7593</w:t>
            </w:r>
          </w:p>
        </w:tc>
        <w:tc>
          <w:tcPr>
            <w:tcW w:w="809" w:type="dxa"/>
            <w:hideMark/>
          </w:tcPr>
          <w:p w14:paraId="3E86F512"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0.7730</w:t>
            </w:r>
          </w:p>
        </w:tc>
      </w:tr>
      <w:tr w:rsidR="009B7F57" w:rsidRPr="0050420B" w14:paraId="015E4622" w14:textId="77777777" w:rsidTr="00E10E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020F33"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Decision Tree (DT)</w:t>
            </w:r>
          </w:p>
        </w:tc>
        <w:tc>
          <w:tcPr>
            <w:tcW w:w="0" w:type="auto"/>
            <w:hideMark/>
          </w:tcPr>
          <w:p w14:paraId="640DE41A"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0.9792</w:t>
            </w:r>
          </w:p>
        </w:tc>
        <w:tc>
          <w:tcPr>
            <w:tcW w:w="0" w:type="auto"/>
            <w:hideMark/>
          </w:tcPr>
          <w:p w14:paraId="03F4ABB7"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0.9167</w:t>
            </w:r>
          </w:p>
        </w:tc>
        <w:tc>
          <w:tcPr>
            <w:tcW w:w="0" w:type="auto"/>
            <w:hideMark/>
          </w:tcPr>
          <w:p w14:paraId="5C6C3F08"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0.9815</w:t>
            </w:r>
          </w:p>
        </w:tc>
        <w:tc>
          <w:tcPr>
            <w:tcW w:w="809" w:type="dxa"/>
            <w:hideMark/>
          </w:tcPr>
          <w:p w14:paraId="3FBAEE8C"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0.9429</w:t>
            </w:r>
          </w:p>
        </w:tc>
      </w:tr>
      <w:tr w:rsidR="009B7F57" w:rsidRPr="0050420B" w14:paraId="6972B043" w14:textId="77777777" w:rsidTr="00E10E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B52E97"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CART</w:t>
            </w:r>
          </w:p>
        </w:tc>
        <w:tc>
          <w:tcPr>
            <w:tcW w:w="0" w:type="auto"/>
            <w:hideMark/>
          </w:tcPr>
          <w:p w14:paraId="79C91F16"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0.9792</w:t>
            </w:r>
          </w:p>
        </w:tc>
        <w:tc>
          <w:tcPr>
            <w:tcW w:w="0" w:type="auto"/>
            <w:hideMark/>
          </w:tcPr>
          <w:p w14:paraId="33BA783B"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0.9167</w:t>
            </w:r>
          </w:p>
        </w:tc>
        <w:tc>
          <w:tcPr>
            <w:tcW w:w="0" w:type="auto"/>
            <w:hideMark/>
          </w:tcPr>
          <w:p w14:paraId="13A33A97"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0.9815</w:t>
            </w:r>
          </w:p>
        </w:tc>
        <w:tc>
          <w:tcPr>
            <w:tcW w:w="809" w:type="dxa"/>
            <w:hideMark/>
          </w:tcPr>
          <w:p w14:paraId="780B6D72"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0.9429</w:t>
            </w:r>
          </w:p>
        </w:tc>
      </w:tr>
      <w:tr w:rsidR="009B7F57" w:rsidRPr="0050420B" w14:paraId="222B3BFB" w14:textId="77777777" w:rsidTr="00E10E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E0F24C"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Logistic Regression (LR)</w:t>
            </w:r>
          </w:p>
        </w:tc>
        <w:tc>
          <w:tcPr>
            <w:tcW w:w="0" w:type="auto"/>
            <w:hideMark/>
          </w:tcPr>
          <w:p w14:paraId="23BC4665"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0.8125</w:t>
            </w:r>
          </w:p>
        </w:tc>
        <w:tc>
          <w:tcPr>
            <w:tcW w:w="0" w:type="auto"/>
            <w:hideMark/>
          </w:tcPr>
          <w:p w14:paraId="08E5630B"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0.5344</w:t>
            </w:r>
          </w:p>
        </w:tc>
        <w:tc>
          <w:tcPr>
            <w:tcW w:w="0" w:type="auto"/>
            <w:hideMark/>
          </w:tcPr>
          <w:p w14:paraId="63154202"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0.5741</w:t>
            </w:r>
          </w:p>
        </w:tc>
        <w:tc>
          <w:tcPr>
            <w:tcW w:w="809" w:type="dxa"/>
            <w:hideMark/>
          </w:tcPr>
          <w:p w14:paraId="41923C97"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0.5527</w:t>
            </w:r>
          </w:p>
        </w:tc>
      </w:tr>
      <w:tr w:rsidR="009B7F57" w:rsidRPr="0050420B" w14:paraId="03F8D9F3" w14:textId="77777777" w:rsidTr="00E10E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A8DED4"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KNN</w:t>
            </w:r>
          </w:p>
        </w:tc>
        <w:tc>
          <w:tcPr>
            <w:tcW w:w="0" w:type="auto"/>
            <w:hideMark/>
          </w:tcPr>
          <w:p w14:paraId="3C795244"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0.5417</w:t>
            </w:r>
          </w:p>
        </w:tc>
        <w:tc>
          <w:tcPr>
            <w:tcW w:w="0" w:type="auto"/>
            <w:hideMark/>
          </w:tcPr>
          <w:p w14:paraId="1555E03C"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0.3817</w:t>
            </w:r>
          </w:p>
        </w:tc>
        <w:tc>
          <w:tcPr>
            <w:tcW w:w="0" w:type="auto"/>
            <w:hideMark/>
          </w:tcPr>
          <w:p w14:paraId="1A8815FF"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0.3580</w:t>
            </w:r>
          </w:p>
        </w:tc>
        <w:tc>
          <w:tcPr>
            <w:tcW w:w="809" w:type="dxa"/>
            <w:hideMark/>
          </w:tcPr>
          <w:p w14:paraId="71C093F4"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0.3632</w:t>
            </w:r>
          </w:p>
        </w:tc>
      </w:tr>
      <w:tr w:rsidR="009B7F57" w:rsidRPr="0050420B" w14:paraId="6CFBDF1D" w14:textId="77777777" w:rsidTr="00E10E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CDFEBD"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SVM</w:t>
            </w:r>
          </w:p>
        </w:tc>
        <w:tc>
          <w:tcPr>
            <w:tcW w:w="0" w:type="auto"/>
            <w:hideMark/>
          </w:tcPr>
          <w:p w14:paraId="05B29319"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0.5625</w:t>
            </w:r>
          </w:p>
        </w:tc>
        <w:tc>
          <w:tcPr>
            <w:tcW w:w="0" w:type="auto"/>
            <w:hideMark/>
          </w:tcPr>
          <w:p w14:paraId="2EC1D211"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0.1875</w:t>
            </w:r>
          </w:p>
        </w:tc>
        <w:tc>
          <w:tcPr>
            <w:tcW w:w="0" w:type="auto"/>
            <w:hideMark/>
          </w:tcPr>
          <w:p w14:paraId="5CA4A18D"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0.3333</w:t>
            </w:r>
          </w:p>
        </w:tc>
        <w:tc>
          <w:tcPr>
            <w:tcW w:w="809" w:type="dxa"/>
            <w:hideMark/>
          </w:tcPr>
          <w:p w14:paraId="32D69416"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0.2400</w:t>
            </w:r>
          </w:p>
        </w:tc>
      </w:tr>
      <w:tr w:rsidR="009B7F57" w:rsidRPr="0050420B" w14:paraId="7C1C6F53" w14:textId="77777777" w:rsidTr="00E10E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AB548C"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lastRenderedPageBreak/>
              <w:t>AdaBoost</w:t>
            </w:r>
          </w:p>
        </w:tc>
        <w:tc>
          <w:tcPr>
            <w:tcW w:w="0" w:type="auto"/>
            <w:hideMark/>
          </w:tcPr>
          <w:p w14:paraId="68D73FD2"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0.9792</w:t>
            </w:r>
          </w:p>
        </w:tc>
        <w:tc>
          <w:tcPr>
            <w:tcW w:w="0" w:type="auto"/>
            <w:hideMark/>
          </w:tcPr>
          <w:p w14:paraId="24B847A3"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0.9167</w:t>
            </w:r>
          </w:p>
        </w:tc>
        <w:tc>
          <w:tcPr>
            <w:tcW w:w="0" w:type="auto"/>
            <w:hideMark/>
          </w:tcPr>
          <w:p w14:paraId="4CA104B7"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0.9815</w:t>
            </w:r>
          </w:p>
        </w:tc>
        <w:tc>
          <w:tcPr>
            <w:tcW w:w="809" w:type="dxa"/>
            <w:hideMark/>
          </w:tcPr>
          <w:p w14:paraId="583ECBC7"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0.9429</w:t>
            </w:r>
          </w:p>
        </w:tc>
      </w:tr>
      <w:tr w:rsidR="009B7F57" w:rsidRPr="0050420B" w14:paraId="78A7A9BB" w14:textId="77777777" w:rsidTr="00E10E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E7C1C7"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Bagging</w:t>
            </w:r>
          </w:p>
        </w:tc>
        <w:tc>
          <w:tcPr>
            <w:tcW w:w="0" w:type="auto"/>
            <w:hideMark/>
          </w:tcPr>
          <w:p w14:paraId="7B01EE98"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0.9792</w:t>
            </w:r>
          </w:p>
        </w:tc>
        <w:tc>
          <w:tcPr>
            <w:tcW w:w="0" w:type="auto"/>
            <w:hideMark/>
          </w:tcPr>
          <w:p w14:paraId="142B2E5D"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0.9167</w:t>
            </w:r>
          </w:p>
        </w:tc>
        <w:tc>
          <w:tcPr>
            <w:tcW w:w="0" w:type="auto"/>
            <w:hideMark/>
          </w:tcPr>
          <w:p w14:paraId="579E640D"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0.9815</w:t>
            </w:r>
          </w:p>
        </w:tc>
        <w:tc>
          <w:tcPr>
            <w:tcW w:w="809" w:type="dxa"/>
            <w:hideMark/>
          </w:tcPr>
          <w:p w14:paraId="72711E63" w14:textId="77777777" w:rsidR="009B7F57" w:rsidRPr="007D78AE" w:rsidRDefault="009B7F57" w:rsidP="005C29AD">
            <w:pPr>
              <w:spacing w:after="240"/>
              <w:jc w:val="cente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0.9429</w:t>
            </w:r>
          </w:p>
        </w:tc>
      </w:tr>
      <w:tr w:rsidR="009B7F57" w:rsidRPr="0050420B" w14:paraId="4C84CCB9" w14:textId="77777777" w:rsidTr="00E10EDD">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276F2E" w14:textId="77777777" w:rsidR="009B7F57" w:rsidRPr="007D78AE" w:rsidRDefault="009B7F57" w:rsidP="005C29AD">
            <w:pPr>
              <w:spacing w:after="240"/>
              <w:jc w:val="center"/>
              <w:rPr>
                <w:rFonts w:eastAsiaTheme="minorEastAsia"/>
                <w:b w:val="0"/>
                <w:bCs w:val="0"/>
                <w:kern w:val="2"/>
                <w:sz w:val="20"/>
                <w:szCs w:val="20"/>
                <w:lang w:val="en-US" w:eastAsia="zh-CN"/>
                <w14:ligatures w14:val="standardContextual"/>
              </w:rPr>
            </w:pPr>
            <w:r w:rsidRPr="0050420B">
              <w:rPr>
                <w:rFonts w:eastAsiaTheme="minorEastAsia"/>
                <w:kern w:val="2"/>
                <w:sz w:val="20"/>
                <w:szCs w:val="20"/>
                <w:lang w:val="en-US" w:eastAsia="zh-CN"/>
                <w14:ligatures w14:val="standardContextual"/>
              </w:rPr>
              <w:t>Gradient Boosting</w:t>
            </w:r>
          </w:p>
        </w:tc>
        <w:tc>
          <w:tcPr>
            <w:tcW w:w="0" w:type="auto"/>
            <w:hideMark/>
          </w:tcPr>
          <w:p w14:paraId="2AE1287B"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0.9792</w:t>
            </w:r>
          </w:p>
        </w:tc>
        <w:tc>
          <w:tcPr>
            <w:tcW w:w="0" w:type="auto"/>
            <w:hideMark/>
          </w:tcPr>
          <w:p w14:paraId="1ADAB853"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0.9167</w:t>
            </w:r>
          </w:p>
        </w:tc>
        <w:tc>
          <w:tcPr>
            <w:tcW w:w="0" w:type="auto"/>
            <w:hideMark/>
          </w:tcPr>
          <w:p w14:paraId="53DE001F"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0.9815</w:t>
            </w:r>
          </w:p>
        </w:tc>
        <w:tc>
          <w:tcPr>
            <w:tcW w:w="809" w:type="dxa"/>
            <w:hideMark/>
          </w:tcPr>
          <w:p w14:paraId="06B79968" w14:textId="77777777" w:rsidR="009B7F57" w:rsidRPr="007D78AE" w:rsidRDefault="009B7F57" w:rsidP="005C29AD">
            <w:pPr>
              <w:spacing w:after="240"/>
              <w:jc w:val="cente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lang w:val="en-US" w:eastAsia="zh-CN"/>
                <w14:ligatures w14:val="standardContextual"/>
              </w:rPr>
            </w:pPr>
            <w:r w:rsidRPr="007D78AE">
              <w:rPr>
                <w:rFonts w:eastAsiaTheme="minorEastAsia"/>
                <w:kern w:val="2"/>
                <w:sz w:val="20"/>
                <w:szCs w:val="20"/>
                <w:lang w:val="en-US" w:eastAsia="zh-CN"/>
                <w14:ligatures w14:val="standardContextual"/>
              </w:rPr>
              <w:t>0.9429</w:t>
            </w:r>
          </w:p>
        </w:tc>
      </w:tr>
    </w:tbl>
    <w:p w14:paraId="1DAEB9EA" w14:textId="2B495B8E" w:rsidR="009B7F57" w:rsidRDefault="009B7F57" w:rsidP="009B7F57">
      <w:pPr>
        <w:spacing w:after="240"/>
        <w:jc w:val="center"/>
      </w:pPr>
    </w:p>
    <w:p w14:paraId="1E6C31B4" w14:textId="0F6DE192" w:rsidR="00E10EDD" w:rsidRDefault="00E10EDD" w:rsidP="00E10EDD">
      <w:r w:rsidRPr="00E10EDD">
        <w:t xml:space="preserve">Table </w:t>
      </w:r>
      <w:r>
        <w:t>6</w:t>
      </w:r>
      <w:r w:rsidRPr="00E10EDD">
        <w:t>: Random Forest Model Metrics for SES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8"/>
        <w:gridCol w:w="4508"/>
      </w:tblGrid>
      <w:tr w:rsidR="00CC5339" w14:paraId="24493234" w14:textId="77777777" w:rsidTr="00CC5339">
        <w:tc>
          <w:tcPr>
            <w:tcW w:w="4508" w:type="dxa"/>
          </w:tcPr>
          <w:p w14:paraId="384D2BB4" w14:textId="10892794" w:rsidR="00CC5339" w:rsidRPr="00CC5339" w:rsidRDefault="00CC5339" w:rsidP="00CC5339">
            <w:pPr>
              <w:jc w:val="center"/>
              <w:rPr>
                <w:b/>
                <w:bCs/>
              </w:rPr>
            </w:pPr>
            <w:r w:rsidRPr="00CC5339">
              <w:rPr>
                <w:b/>
                <w:bCs/>
              </w:rPr>
              <w:t>Metric</w:t>
            </w:r>
          </w:p>
        </w:tc>
        <w:tc>
          <w:tcPr>
            <w:tcW w:w="4508" w:type="dxa"/>
          </w:tcPr>
          <w:p w14:paraId="039272C2" w14:textId="39AF72DA" w:rsidR="00CC5339" w:rsidRPr="00CC5339" w:rsidRDefault="00CC5339" w:rsidP="00CC5339">
            <w:pPr>
              <w:jc w:val="center"/>
              <w:rPr>
                <w:b/>
                <w:bCs/>
              </w:rPr>
            </w:pPr>
            <w:r w:rsidRPr="00CC5339">
              <w:rPr>
                <w:b/>
                <w:bCs/>
              </w:rPr>
              <w:t>Score</w:t>
            </w:r>
          </w:p>
        </w:tc>
      </w:tr>
      <w:tr w:rsidR="00CC5339" w14:paraId="121F3174" w14:textId="77777777" w:rsidTr="00CC5339">
        <w:tc>
          <w:tcPr>
            <w:tcW w:w="4508" w:type="dxa"/>
          </w:tcPr>
          <w:p w14:paraId="2717B16F" w14:textId="3E395EBE" w:rsidR="00CC5339" w:rsidRPr="00CC5339" w:rsidRDefault="00CC5339" w:rsidP="00CC5339">
            <w:pPr>
              <w:jc w:val="center"/>
              <w:rPr>
                <w:b/>
                <w:bCs/>
              </w:rPr>
            </w:pPr>
            <w:r w:rsidRPr="00CC5339">
              <w:rPr>
                <w:b/>
                <w:bCs/>
              </w:rPr>
              <w:t>Accuracy</w:t>
            </w:r>
          </w:p>
        </w:tc>
        <w:tc>
          <w:tcPr>
            <w:tcW w:w="4508" w:type="dxa"/>
          </w:tcPr>
          <w:p w14:paraId="52FEC02C" w14:textId="4CE005AB" w:rsidR="00CC5339" w:rsidRPr="00CC5339" w:rsidRDefault="00CC5339" w:rsidP="00CC5339">
            <w:pPr>
              <w:jc w:val="center"/>
              <w:rPr>
                <w:b/>
                <w:bCs/>
              </w:rPr>
            </w:pPr>
            <w:r w:rsidRPr="00CC5339">
              <w:rPr>
                <w:b/>
                <w:bCs/>
              </w:rPr>
              <w:t>0.46</w:t>
            </w:r>
          </w:p>
        </w:tc>
      </w:tr>
      <w:tr w:rsidR="00CC5339" w14:paraId="74217BB4" w14:textId="77777777" w:rsidTr="00CC5339">
        <w:tc>
          <w:tcPr>
            <w:tcW w:w="4508" w:type="dxa"/>
          </w:tcPr>
          <w:p w14:paraId="51B8DDF8" w14:textId="0BAED41D" w:rsidR="00CC5339" w:rsidRPr="00CC5339" w:rsidRDefault="00CC5339" w:rsidP="00CC5339">
            <w:pPr>
              <w:jc w:val="center"/>
              <w:rPr>
                <w:b/>
                <w:bCs/>
              </w:rPr>
            </w:pPr>
            <w:r w:rsidRPr="00CC5339">
              <w:rPr>
                <w:b/>
                <w:bCs/>
              </w:rPr>
              <w:t>Recall</w:t>
            </w:r>
          </w:p>
        </w:tc>
        <w:tc>
          <w:tcPr>
            <w:tcW w:w="4508" w:type="dxa"/>
          </w:tcPr>
          <w:p w14:paraId="3C286117" w14:textId="1C220BC1" w:rsidR="00CC5339" w:rsidRPr="00CC5339" w:rsidRDefault="00CC5339" w:rsidP="00CC5339">
            <w:pPr>
              <w:jc w:val="center"/>
              <w:rPr>
                <w:b/>
                <w:bCs/>
              </w:rPr>
            </w:pPr>
            <w:r w:rsidRPr="00CC5339">
              <w:rPr>
                <w:b/>
                <w:bCs/>
              </w:rPr>
              <w:t>0.46</w:t>
            </w:r>
          </w:p>
        </w:tc>
      </w:tr>
      <w:tr w:rsidR="00CC5339" w14:paraId="689754D1" w14:textId="77777777" w:rsidTr="00CC5339">
        <w:tc>
          <w:tcPr>
            <w:tcW w:w="4508" w:type="dxa"/>
          </w:tcPr>
          <w:p w14:paraId="4393AC1D" w14:textId="08CC70D0" w:rsidR="00CC5339" w:rsidRPr="00CC5339" w:rsidRDefault="00CC5339" w:rsidP="00CC5339">
            <w:pPr>
              <w:jc w:val="center"/>
              <w:rPr>
                <w:b/>
                <w:bCs/>
              </w:rPr>
            </w:pPr>
            <w:r w:rsidRPr="00CC5339">
              <w:rPr>
                <w:b/>
                <w:bCs/>
              </w:rPr>
              <w:t>F1-Score</w:t>
            </w:r>
          </w:p>
        </w:tc>
        <w:tc>
          <w:tcPr>
            <w:tcW w:w="4508" w:type="dxa"/>
          </w:tcPr>
          <w:p w14:paraId="133EBAF7" w14:textId="157DACFA" w:rsidR="00CC5339" w:rsidRPr="00CC5339" w:rsidRDefault="00CC5339" w:rsidP="00CC5339">
            <w:pPr>
              <w:jc w:val="center"/>
              <w:rPr>
                <w:b/>
                <w:bCs/>
              </w:rPr>
            </w:pPr>
            <w:r w:rsidRPr="00CC5339">
              <w:rPr>
                <w:b/>
                <w:bCs/>
              </w:rPr>
              <w:t>0.36</w:t>
            </w:r>
          </w:p>
        </w:tc>
      </w:tr>
      <w:tr w:rsidR="00CC5339" w14:paraId="6436A110" w14:textId="77777777" w:rsidTr="00CC5339">
        <w:tc>
          <w:tcPr>
            <w:tcW w:w="4508" w:type="dxa"/>
          </w:tcPr>
          <w:p w14:paraId="109DD3E2" w14:textId="5F7B8223" w:rsidR="00CC5339" w:rsidRPr="00CC5339" w:rsidRDefault="00CC5339" w:rsidP="00CC5339">
            <w:pPr>
              <w:jc w:val="center"/>
              <w:rPr>
                <w:b/>
                <w:bCs/>
              </w:rPr>
            </w:pPr>
            <w:r w:rsidRPr="00CC5339">
              <w:rPr>
                <w:b/>
                <w:bCs/>
              </w:rPr>
              <w:t>Precision</w:t>
            </w:r>
          </w:p>
        </w:tc>
        <w:tc>
          <w:tcPr>
            <w:tcW w:w="4508" w:type="dxa"/>
          </w:tcPr>
          <w:p w14:paraId="11D6458B" w14:textId="64C07FB6" w:rsidR="00CC5339" w:rsidRPr="00CC5339" w:rsidRDefault="00CC5339" w:rsidP="00CC5339">
            <w:pPr>
              <w:jc w:val="center"/>
              <w:rPr>
                <w:b/>
                <w:bCs/>
              </w:rPr>
            </w:pPr>
            <w:r w:rsidRPr="00CC5339">
              <w:rPr>
                <w:b/>
                <w:bCs/>
              </w:rPr>
              <w:t>0.36</w:t>
            </w:r>
          </w:p>
        </w:tc>
      </w:tr>
    </w:tbl>
    <w:p w14:paraId="64D13267" w14:textId="77777777" w:rsidR="00E10EDD" w:rsidRDefault="00E10EDD" w:rsidP="009B7F57">
      <w:pPr>
        <w:pStyle w:val="Heading2"/>
      </w:pPr>
    </w:p>
    <w:p w14:paraId="761572A1" w14:textId="7C65B4AC" w:rsidR="009B7F57" w:rsidRDefault="009B7F57" w:rsidP="009B7F57">
      <w:pPr>
        <w:pStyle w:val="Heading2"/>
      </w:pPr>
      <w:r>
        <w:t xml:space="preserve">Analysis of All Factors vs Socioeconomic Factors </w:t>
      </w:r>
    </w:p>
    <w:p w14:paraId="2FDB7D81" w14:textId="3B30AE14" w:rsidR="009B7F57" w:rsidRDefault="009B7F57" w:rsidP="009B7F57">
      <w:pPr>
        <w:jc w:val="both"/>
      </w:pPr>
      <w:r>
        <w:t xml:space="preserve">Models trained using the complete feature set achieved high classification accuracy, with tree-based models such as Decision Tree, CART, AdaBoost, and Bagging achieving 97.92% accuracy. The feature importance plot (Figure </w:t>
      </w:r>
      <w:r w:rsidR="00303E7B">
        <w:t>2</w:t>
      </w:r>
      <w:r>
        <w:t xml:space="preserve">) highlights that the Total stress score contributed the most to classification, followed by academic and lifestyle attributes such as CGPA, Sleeping Hours, and Family Income. This outcome is expected because the Total score is derived from stress-related questionnaire responses and therefore strongly shows students' perceived stress levels. These findings indicate that when stress-related behavioural factors are all included, ML models can classify stress accurately. Evaluation of the socioeconomic factors, a secondary experiment was conducted using only socioeconomic features. The SES-only Random Forest model achieved an accuracy of 46%, significantly lower than the full-feature model. The feature importance results (Figure </w:t>
      </w:r>
      <w:r w:rsidR="00303E7B">
        <w:t>1</w:t>
      </w:r>
      <w:r>
        <w:t>) indicate that Family Income was the strongest socioeconomic predictor, followed by Living Status and Socioeconomic Class, while the fee provider had comparatively less influence. This demonstrates that socioeconomic conditions contribute to stress, but stress doesn't depend only on the SES factors.</w:t>
      </w:r>
    </w:p>
    <w:p w14:paraId="32202C11" w14:textId="77777777" w:rsidR="00303E7B" w:rsidRDefault="00303E7B" w:rsidP="009B7F57">
      <w:pPr>
        <w:jc w:val="both"/>
      </w:pPr>
    </w:p>
    <w:p w14:paraId="28ECA09A" w14:textId="77777777" w:rsidR="00303E7B" w:rsidRDefault="00303E7B" w:rsidP="009B7F57">
      <w:pPr>
        <w:jc w:val="both"/>
      </w:pPr>
    </w:p>
    <w:p w14:paraId="2DB2FE9E" w14:textId="727A5310" w:rsidR="00303E7B" w:rsidRPr="00303E7B" w:rsidRDefault="00303E7B" w:rsidP="00303E7B">
      <w:r w:rsidRPr="00303E7B">
        <w:t xml:space="preserve">Figure </w:t>
      </w:r>
      <w:r w:rsidRPr="00303E7B">
        <w:fldChar w:fldCharType="begin"/>
      </w:r>
      <w:r w:rsidRPr="00303E7B">
        <w:instrText xml:space="preserve"> SEQ Figure \* ARABIC </w:instrText>
      </w:r>
      <w:r w:rsidRPr="00303E7B">
        <w:fldChar w:fldCharType="separate"/>
      </w:r>
      <w:r w:rsidR="00AD0A85">
        <w:rPr>
          <w:noProof/>
        </w:rPr>
        <w:t>1</w:t>
      </w:r>
      <w:r w:rsidRPr="00303E7B">
        <w:fldChar w:fldCharType="end"/>
      </w:r>
      <w:r w:rsidRPr="00303E7B">
        <w:t>: Feature importance for SES-only model</w:t>
      </w:r>
    </w:p>
    <w:p w14:paraId="126A90D0" w14:textId="77777777" w:rsidR="009B7F57" w:rsidRDefault="009B7F57" w:rsidP="009B7F57">
      <w:pPr>
        <w:jc w:val="center"/>
        <w:rPr>
          <w:noProof/>
        </w:rPr>
      </w:pPr>
      <w:r>
        <w:rPr>
          <w:noProof/>
        </w:rPr>
        <w:lastRenderedPageBreak/>
        <w:drawing>
          <wp:inline distT="0" distB="0" distL="0" distR="0" wp14:anchorId="5FF07446" wp14:editId="1981CFD5">
            <wp:extent cx="5144286" cy="2920102"/>
            <wp:effectExtent l="0" t="0" r="0" b="0"/>
            <wp:docPr id="273472783" name="Picture 1" descr="Horizontal bar chart titled ‘Feature Importance (SES-Only Model)’ showing the relative importance of socioeconomic features. Family_Income is the most influential feature by a large margin (approximately 0.75). Socioeconomic_Status and Living_Status have much smaller but similar importance values (around 0.10 each). Edu_Fee_Provider has the lowest importance (around 0.04). The x-axis represents importance, and the y-axis lists the socioeconomic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72783" name="Picture 1" descr="Horizontal bar chart titled ‘Feature Importance (SES-Only Model)’ showing the relative importance of socioeconomic features. Family_Income is the most influential feature by a large margin (approximately 0.75). Socioeconomic_Status and Living_Status have much smaller but similar importance values (around 0.10 each). Edu_Fee_Provider has the lowest importance (around 0.04). The x-axis represents importance, and the y-axis lists the socioeconomic features."/>
                    <pic:cNvPicPr/>
                  </pic:nvPicPr>
                  <pic:blipFill rotWithShape="1">
                    <a:blip r:embed="rId8">
                      <a:extLst>
                        <a:ext uri="{28A0092B-C50C-407E-A947-70E740481C1C}">
                          <a14:useLocalDpi xmlns:a14="http://schemas.microsoft.com/office/drawing/2010/main" val="0"/>
                        </a:ext>
                      </a:extLst>
                    </a:blip>
                    <a:srcRect r="8930"/>
                    <a:stretch>
                      <a:fillRect/>
                    </a:stretch>
                  </pic:blipFill>
                  <pic:spPr bwMode="auto">
                    <a:xfrm>
                      <a:off x="0" y="0"/>
                      <a:ext cx="5159992" cy="2929017"/>
                    </a:xfrm>
                    <a:prstGeom prst="rect">
                      <a:avLst/>
                    </a:prstGeom>
                    <a:ln>
                      <a:noFill/>
                    </a:ln>
                    <a:extLst>
                      <a:ext uri="{53640926-AAD7-44D8-BBD7-CCE9431645EC}">
                        <a14:shadowObscured xmlns:a14="http://schemas.microsoft.com/office/drawing/2010/main"/>
                      </a:ext>
                    </a:extLst>
                  </pic:spPr>
                </pic:pic>
              </a:graphicData>
            </a:graphic>
          </wp:inline>
        </w:drawing>
      </w:r>
    </w:p>
    <w:p w14:paraId="329B19C5" w14:textId="7A823C06" w:rsidR="00303E7B" w:rsidRPr="00303E7B" w:rsidRDefault="00303E7B" w:rsidP="00303E7B">
      <w:r w:rsidRPr="00303E7B">
        <w:t xml:space="preserve">Figure </w:t>
      </w:r>
      <w:r w:rsidRPr="00303E7B">
        <w:fldChar w:fldCharType="begin"/>
      </w:r>
      <w:r w:rsidRPr="00303E7B">
        <w:instrText xml:space="preserve"> SEQ Figure \* ARABIC </w:instrText>
      </w:r>
      <w:r w:rsidRPr="00303E7B">
        <w:fldChar w:fldCharType="separate"/>
      </w:r>
      <w:r w:rsidR="00AD0A85">
        <w:rPr>
          <w:noProof/>
        </w:rPr>
        <w:t>2</w:t>
      </w:r>
      <w:r w:rsidRPr="00303E7B">
        <w:fldChar w:fldCharType="end"/>
      </w:r>
      <w:r w:rsidRPr="00303E7B">
        <w:t>: Feature importance for full-feature model</w:t>
      </w:r>
    </w:p>
    <w:p w14:paraId="1D4231F6" w14:textId="77777777" w:rsidR="009B7F57" w:rsidRDefault="009B7F57" w:rsidP="009B7F57">
      <w:pPr>
        <w:jc w:val="center"/>
      </w:pPr>
      <w:r>
        <w:rPr>
          <w:noProof/>
        </w:rPr>
        <w:drawing>
          <wp:inline distT="0" distB="0" distL="0" distR="0" wp14:anchorId="53E71E51" wp14:editId="0F3F0969">
            <wp:extent cx="5391560" cy="2963160"/>
            <wp:effectExtent l="0" t="0" r="0" b="8890"/>
            <wp:docPr id="2052106595" name="Picture 2" descr="Horizontal bar chart titled ‘Feature Importance (Random Forest)’ showing the relative importance of multiple features. The feature labelled ‘Total’ is by far the most important (approximately 0.58). Family_Income, CGPA, and Sleeping_Hours show moderate importance (roughly 0.08–0.10). Features such as Family_Member, Living_Status, Current_Year, University_Type, Scholarships, Socioeconomic_Status, Age, and Gender have low importance, while Relationship and Edu_Fee_Provider contribute negligibly. The x-axis represents importance, and the y-axis lists all 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06595" name="Picture 2" descr="Horizontal bar chart titled ‘Feature Importance (Random Forest)’ showing the relative importance of multiple features. The feature labelled ‘Total’ is by far the most important (approximately 0.58). Family_Income, CGPA, and Sleeping_Hours show moderate importance (roughly 0.08–0.10). Features such as Family_Member, Living_Status, Current_Year, University_Type, Scholarships, Socioeconomic_Status, Age, and Gender have low importance, while Relationship and Edu_Fee_Provider contribute negligibly. The x-axis represents importance, and the y-axis lists all features."/>
                    <pic:cNvPicPr/>
                  </pic:nvPicPr>
                  <pic:blipFill rotWithShape="1">
                    <a:blip r:embed="rId9">
                      <a:extLst>
                        <a:ext uri="{28A0092B-C50C-407E-A947-70E740481C1C}">
                          <a14:useLocalDpi xmlns:a14="http://schemas.microsoft.com/office/drawing/2010/main" val="0"/>
                        </a:ext>
                      </a:extLst>
                    </a:blip>
                    <a:srcRect r="2149"/>
                    <a:stretch>
                      <a:fillRect/>
                    </a:stretch>
                  </pic:blipFill>
                  <pic:spPr bwMode="auto">
                    <a:xfrm>
                      <a:off x="0" y="0"/>
                      <a:ext cx="5409024" cy="2972758"/>
                    </a:xfrm>
                    <a:prstGeom prst="rect">
                      <a:avLst/>
                    </a:prstGeom>
                    <a:ln>
                      <a:noFill/>
                    </a:ln>
                    <a:extLst>
                      <a:ext uri="{53640926-AAD7-44D8-BBD7-CCE9431645EC}">
                        <a14:shadowObscured xmlns:a14="http://schemas.microsoft.com/office/drawing/2010/main"/>
                      </a:ext>
                    </a:extLst>
                  </pic:spPr>
                </pic:pic>
              </a:graphicData>
            </a:graphic>
          </wp:inline>
        </w:drawing>
      </w:r>
    </w:p>
    <w:p w14:paraId="42B5FF76" w14:textId="77777777" w:rsidR="009B7F57" w:rsidRPr="001463E9" w:rsidRDefault="009B7F57" w:rsidP="009B7F57">
      <w:pPr>
        <w:pStyle w:val="Heading2"/>
      </w:pPr>
      <w:r w:rsidRPr="00F076B3">
        <w:t>Recent Research Trends</w:t>
      </w:r>
    </w:p>
    <w:p w14:paraId="5B162EB4" w14:textId="2111D961" w:rsidR="009B7F57" w:rsidRDefault="009B7F57" w:rsidP="009B7F57">
      <w:pPr>
        <w:spacing w:after="240"/>
        <w:jc w:val="both"/>
      </w:pPr>
      <w:r>
        <w:t xml:space="preserve">Table </w:t>
      </w:r>
      <w:r w:rsidR="00D44C28">
        <w:t>7</w:t>
      </w:r>
      <w:r>
        <w:t xml:space="preserve"> shows a comparison of several 2024 and 2025 experiments that applied ML and DL models to diverse data. The great majority of the datasets were gathered by participants, except for one that was taken from a public source. There is a big range in the dataset sizes seen, from just 1,602 entries to over 61,000. When measured by accuracy, performance metrics do change, but the best results are reported as 91.1% when using both ML and DL models on a public data set. Alternatively, an ML model alone on a dataset gathered by us achieved 66.2% accuracy, but a DL model on another set collected by us achieved 88%. They show how the kind of data, the amount, and the way it’s modelled matter for predictive performance.</w:t>
      </w:r>
    </w:p>
    <w:p w14:paraId="4600BBF2" w14:textId="28621891" w:rsidR="00D44C28" w:rsidRPr="00D44C28" w:rsidRDefault="00D44C28" w:rsidP="00D44C28">
      <w:r w:rsidRPr="00D44C28">
        <w:lastRenderedPageBreak/>
        <w:t xml:space="preserve">Table </w:t>
      </w:r>
      <w:r>
        <w:t>7</w:t>
      </w:r>
      <w:r w:rsidRPr="00D44C28">
        <w:t>: Summary of datasets and model performance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51"/>
        <w:gridCol w:w="1559"/>
        <w:gridCol w:w="1559"/>
        <w:gridCol w:w="1134"/>
        <w:gridCol w:w="1503"/>
      </w:tblGrid>
      <w:tr w:rsidR="009B7F57" w:rsidRPr="00D44C28" w14:paraId="42D27A8C" w14:textId="77777777" w:rsidTr="005C29AD">
        <w:tc>
          <w:tcPr>
            <w:tcW w:w="2410" w:type="dxa"/>
            <w:vAlign w:val="center"/>
          </w:tcPr>
          <w:p w14:paraId="7D0A8B40" w14:textId="77777777" w:rsidR="009B7F57" w:rsidRPr="00D44C28" w:rsidRDefault="009B7F57" w:rsidP="005C29AD">
            <w:pPr>
              <w:spacing w:after="240"/>
              <w:jc w:val="center"/>
            </w:pPr>
            <w:r w:rsidRPr="00D44C28">
              <w:rPr>
                <w:rStyle w:val="Strong"/>
              </w:rPr>
              <w:t>Ref</w:t>
            </w:r>
          </w:p>
        </w:tc>
        <w:tc>
          <w:tcPr>
            <w:tcW w:w="851" w:type="dxa"/>
            <w:vAlign w:val="center"/>
          </w:tcPr>
          <w:p w14:paraId="188D0A9E" w14:textId="77777777" w:rsidR="009B7F57" w:rsidRPr="00D44C28" w:rsidRDefault="009B7F57" w:rsidP="005C29AD">
            <w:pPr>
              <w:spacing w:after="240"/>
              <w:jc w:val="center"/>
            </w:pPr>
            <w:r w:rsidRPr="00D44C28">
              <w:rPr>
                <w:rStyle w:val="Strong"/>
              </w:rPr>
              <w:t>Year</w:t>
            </w:r>
          </w:p>
        </w:tc>
        <w:tc>
          <w:tcPr>
            <w:tcW w:w="1559" w:type="dxa"/>
            <w:vAlign w:val="center"/>
          </w:tcPr>
          <w:p w14:paraId="75DD0651" w14:textId="77777777" w:rsidR="009B7F57" w:rsidRPr="00D44C28" w:rsidRDefault="009B7F57" w:rsidP="005C29AD">
            <w:pPr>
              <w:spacing w:after="240"/>
              <w:jc w:val="center"/>
            </w:pPr>
            <w:r w:rsidRPr="00D44C28">
              <w:rPr>
                <w:rStyle w:val="Strong"/>
              </w:rPr>
              <w:t>Dataset</w:t>
            </w:r>
          </w:p>
        </w:tc>
        <w:tc>
          <w:tcPr>
            <w:tcW w:w="1559" w:type="dxa"/>
            <w:vAlign w:val="center"/>
          </w:tcPr>
          <w:p w14:paraId="3B485719" w14:textId="77777777" w:rsidR="009B7F57" w:rsidRPr="00D44C28" w:rsidRDefault="009B7F57" w:rsidP="005C29AD">
            <w:pPr>
              <w:spacing w:after="240"/>
              <w:jc w:val="center"/>
            </w:pPr>
            <w:r w:rsidRPr="00D44C28">
              <w:rPr>
                <w:rStyle w:val="Strong"/>
              </w:rPr>
              <w:t>ML/DL Model</w:t>
            </w:r>
          </w:p>
        </w:tc>
        <w:tc>
          <w:tcPr>
            <w:tcW w:w="1134" w:type="dxa"/>
            <w:vAlign w:val="center"/>
          </w:tcPr>
          <w:p w14:paraId="614235B8" w14:textId="77777777" w:rsidR="009B7F57" w:rsidRPr="00D44C28" w:rsidRDefault="009B7F57" w:rsidP="005C29AD">
            <w:pPr>
              <w:spacing w:after="240"/>
              <w:jc w:val="center"/>
            </w:pPr>
            <w:r w:rsidRPr="00D44C28">
              <w:rPr>
                <w:rStyle w:val="Strong"/>
              </w:rPr>
              <w:t>Data Size</w:t>
            </w:r>
          </w:p>
        </w:tc>
        <w:tc>
          <w:tcPr>
            <w:tcW w:w="1503" w:type="dxa"/>
            <w:vAlign w:val="center"/>
          </w:tcPr>
          <w:p w14:paraId="4413B34D" w14:textId="77777777" w:rsidR="009B7F57" w:rsidRPr="00D44C28" w:rsidRDefault="009B7F57" w:rsidP="005C29AD">
            <w:pPr>
              <w:spacing w:after="240"/>
              <w:jc w:val="center"/>
            </w:pPr>
            <w:r w:rsidRPr="00D44C28">
              <w:rPr>
                <w:rStyle w:val="Strong"/>
              </w:rPr>
              <w:t>Accuracy (%)</w:t>
            </w:r>
          </w:p>
        </w:tc>
      </w:tr>
      <w:tr w:rsidR="009B7F57" w:rsidRPr="00D44C28" w14:paraId="0F04FA53" w14:textId="77777777" w:rsidTr="005C29AD">
        <w:tc>
          <w:tcPr>
            <w:tcW w:w="2410" w:type="dxa"/>
            <w:vAlign w:val="center"/>
          </w:tcPr>
          <w:p w14:paraId="1FB42414" w14:textId="77777777" w:rsidR="009B7F57" w:rsidRPr="00D44C28" w:rsidRDefault="009B7F57" w:rsidP="005C29AD">
            <w:pPr>
              <w:spacing w:after="240"/>
              <w:jc w:val="center"/>
            </w:pPr>
            <w:r w:rsidRPr="00D44C28">
              <w:t>(Kong et al., 2025)</w:t>
            </w:r>
          </w:p>
        </w:tc>
        <w:tc>
          <w:tcPr>
            <w:tcW w:w="851" w:type="dxa"/>
            <w:vAlign w:val="center"/>
          </w:tcPr>
          <w:p w14:paraId="5CD8D739" w14:textId="77777777" w:rsidR="009B7F57" w:rsidRPr="00D44C28" w:rsidRDefault="009B7F57" w:rsidP="005C29AD">
            <w:pPr>
              <w:spacing w:after="240"/>
              <w:jc w:val="center"/>
            </w:pPr>
            <w:r w:rsidRPr="00D44C28">
              <w:t>2025</w:t>
            </w:r>
          </w:p>
        </w:tc>
        <w:tc>
          <w:tcPr>
            <w:tcW w:w="1559" w:type="dxa"/>
            <w:vAlign w:val="center"/>
          </w:tcPr>
          <w:p w14:paraId="05C59C3F" w14:textId="77777777" w:rsidR="009B7F57" w:rsidRPr="00D44C28" w:rsidRDefault="009B7F57" w:rsidP="005C29AD">
            <w:pPr>
              <w:spacing w:after="240"/>
              <w:jc w:val="center"/>
            </w:pPr>
            <w:r w:rsidRPr="00D44C28">
              <w:t>Own collected</w:t>
            </w:r>
          </w:p>
        </w:tc>
        <w:tc>
          <w:tcPr>
            <w:tcW w:w="1559" w:type="dxa"/>
            <w:vAlign w:val="center"/>
          </w:tcPr>
          <w:p w14:paraId="0907DE01" w14:textId="77777777" w:rsidR="009B7F57" w:rsidRPr="00D44C28" w:rsidRDefault="009B7F57" w:rsidP="005C29AD">
            <w:pPr>
              <w:spacing w:after="240"/>
              <w:jc w:val="center"/>
            </w:pPr>
            <w:r w:rsidRPr="00D44C28">
              <w:t>ML</w:t>
            </w:r>
          </w:p>
        </w:tc>
        <w:tc>
          <w:tcPr>
            <w:tcW w:w="1134" w:type="dxa"/>
            <w:vAlign w:val="center"/>
          </w:tcPr>
          <w:p w14:paraId="0DDC79EC" w14:textId="77777777" w:rsidR="009B7F57" w:rsidRPr="00D44C28" w:rsidRDefault="009B7F57" w:rsidP="005C29AD">
            <w:pPr>
              <w:spacing w:after="240"/>
              <w:jc w:val="center"/>
            </w:pPr>
            <w:r w:rsidRPr="00D44C28">
              <w:t>3,281</w:t>
            </w:r>
          </w:p>
        </w:tc>
        <w:tc>
          <w:tcPr>
            <w:tcW w:w="1503" w:type="dxa"/>
            <w:vAlign w:val="center"/>
          </w:tcPr>
          <w:p w14:paraId="5E3E16FE" w14:textId="77777777" w:rsidR="009B7F57" w:rsidRPr="00D44C28" w:rsidRDefault="009B7F57" w:rsidP="005C29AD">
            <w:pPr>
              <w:spacing w:after="240"/>
              <w:jc w:val="center"/>
            </w:pPr>
            <w:r w:rsidRPr="00D44C28">
              <w:t>66.2</w:t>
            </w:r>
          </w:p>
        </w:tc>
      </w:tr>
      <w:tr w:rsidR="009B7F57" w:rsidRPr="00D44C28" w14:paraId="0C5C2EF9" w14:textId="77777777" w:rsidTr="005C29AD">
        <w:tc>
          <w:tcPr>
            <w:tcW w:w="2410" w:type="dxa"/>
            <w:vAlign w:val="center"/>
          </w:tcPr>
          <w:p w14:paraId="4D03F2C8" w14:textId="77777777" w:rsidR="009B7F57" w:rsidRPr="00D44C28" w:rsidRDefault="009B7F57" w:rsidP="005C29AD">
            <w:pPr>
              <w:spacing w:after="240"/>
              <w:jc w:val="center"/>
            </w:pPr>
            <w:r w:rsidRPr="00D44C28">
              <w:t>(Ma, 2025)</w:t>
            </w:r>
          </w:p>
        </w:tc>
        <w:tc>
          <w:tcPr>
            <w:tcW w:w="851" w:type="dxa"/>
            <w:vAlign w:val="center"/>
          </w:tcPr>
          <w:p w14:paraId="2B85B813" w14:textId="77777777" w:rsidR="009B7F57" w:rsidRPr="00D44C28" w:rsidRDefault="009B7F57" w:rsidP="005C29AD">
            <w:pPr>
              <w:spacing w:after="240"/>
              <w:jc w:val="center"/>
            </w:pPr>
            <w:r w:rsidRPr="00D44C28">
              <w:t>2025</w:t>
            </w:r>
          </w:p>
        </w:tc>
        <w:tc>
          <w:tcPr>
            <w:tcW w:w="1559" w:type="dxa"/>
            <w:vAlign w:val="center"/>
          </w:tcPr>
          <w:p w14:paraId="43F38D70" w14:textId="77777777" w:rsidR="009B7F57" w:rsidRPr="00D44C28" w:rsidRDefault="009B7F57" w:rsidP="005C29AD">
            <w:pPr>
              <w:spacing w:after="240"/>
              <w:jc w:val="center"/>
            </w:pPr>
            <w:r w:rsidRPr="00D44C28">
              <w:t>Own collected</w:t>
            </w:r>
          </w:p>
        </w:tc>
        <w:tc>
          <w:tcPr>
            <w:tcW w:w="1559" w:type="dxa"/>
            <w:vAlign w:val="center"/>
          </w:tcPr>
          <w:p w14:paraId="7185E809" w14:textId="77777777" w:rsidR="009B7F57" w:rsidRPr="00D44C28" w:rsidRDefault="009B7F57" w:rsidP="005C29AD">
            <w:pPr>
              <w:spacing w:after="240"/>
              <w:jc w:val="center"/>
            </w:pPr>
            <w:r w:rsidRPr="00D44C28">
              <w:t>DL</w:t>
            </w:r>
          </w:p>
        </w:tc>
        <w:tc>
          <w:tcPr>
            <w:tcW w:w="1134" w:type="dxa"/>
            <w:vAlign w:val="center"/>
          </w:tcPr>
          <w:p w14:paraId="3923A61E" w14:textId="77777777" w:rsidR="009B7F57" w:rsidRPr="00D44C28" w:rsidRDefault="009B7F57" w:rsidP="005C29AD">
            <w:pPr>
              <w:spacing w:after="240"/>
              <w:jc w:val="center"/>
            </w:pPr>
            <w:r w:rsidRPr="00D44C28">
              <w:t>–</w:t>
            </w:r>
          </w:p>
        </w:tc>
        <w:tc>
          <w:tcPr>
            <w:tcW w:w="1503" w:type="dxa"/>
            <w:vAlign w:val="center"/>
          </w:tcPr>
          <w:p w14:paraId="27A8A8B0" w14:textId="77777777" w:rsidR="009B7F57" w:rsidRPr="00D44C28" w:rsidRDefault="009B7F57" w:rsidP="005C29AD">
            <w:pPr>
              <w:spacing w:after="240"/>
              <w:jc w:val="center"/>
            </w:pPr>
            <w:r w:rsidRPr="00D44C28">
              <w:t>88</w:t>
            </w:r>
          </w:p>
        </w:tc>
      </w:tr>
      <w:tr w:rsidR="009B7F57" w:rsidRPr="00D44C28" w14:paraId="71822A1F" w14:textId="77777777" w:rsidTr="005C29AD">
        <w:tc>
          <w:tcPr>
            <w:tcW w:w="2410" w:type="dxa"/>
            <w:vAlign w:val="center"/>
          </w:tcPr>
          <w:p w14:paraId="4782C16D" w14:textId="77777777" w:rsidR="009B7F57" w:rsidRPr="00D44C28" w:rsidRDefault="009B7F57" w:rsidP="005C29AD">
            <w:pPr>
              <w:spacing w:after="240"/>
              <w:jc w:val="center"/>
            </w:pPr>
            <w:r w:rsidRPr="00D44C28">
              <w:t>(Al Masud et al., 2025)</w:t>
            </w:r>
          </w:p>
        </w:tc>
        <w:tc>
          <w:tcPr>
            <w:tcW w:w="851" w:type="dxa"/>
            <w:vAlign w:val="center"/>
          </w:tcPr>
          <w:p w14:paraId="7E434A8F" w14:textId="77777777" w:rsidR="009B7F57" w:rsidRPr="00D44C28" w:rsidRDefault="009B7F57" w:rsidP="005C29AD">
            <w:pPr>
              <w:spacing w:after="240"/>
              <w:jc w:val="center"/>
            </w:pPr>
            <w:r w:rsidRPr="00D44C28">
              <w:t>2025</w:t>
            </w:r>
          </w:p>
        </w:tc>
        <w:tc>
          <w:tcPr>
            <w:tcW w:w="1559" w:type="dxa"/>
            <w:vAlign w:val="center"/>
          </w:tcPr>
          <w:p w14:paraId="76905997" w14:textId="77777777" w:rsidR="009B7F57" w:rsidRPr="00D44C28" w:rsidRDefault="009B7F57" w:rsidP="005C29AD">
            <w:pPr>
              <w:spacing w:after="240"/>
              <w:jc w:val="center"/>
            </w:pPr>
            <w:r w:rsidRPr="00D44C28">
              <w:t>Public Dataset</w:t>
            </w:r>
          </w:p>
        </w:tc>
        <w:tc>
          <w:tcPr>
            <w:tcW w:w="1559" w:type="dxa"/>
            <w:vAlign w:val="center"/>
          </w:tcPr>
          <w:p w14:paraId="1AC9E99F" w14:textId="77777777" w:rsidR="009B7F57" w:rsidRPr="00D44C28" w:rsidRDefault="009B7F57" w:rsidP="005C29AD">
            <w:pPr>
              <w:spacing w:after="240"/>
              <w:jc w:val="center"/>
            </w:pPr>
            <w:r w:rsidRPr="00D44C28">
              <w:t>ML and DL</w:t>
            </w:r>
          </w:p>
        </w:tc>
        <w:tc>
          <w:tcPr>
            <w:tcW w:w="1134" w:type="dxa"/>
            <w:vAlign w:val="center"/>
          </w:tcPr>
          <w:p w14:paraId="4F1444AA" w14:textId="77777777" w:rsidR="009B7F57" w:rsidRPr="00D44C28" w:rsidRDefault="009B7F57" w:rsidP="005C29AD">
            <w:pPr>
              <w:spacing w:after="240"/>
              <w:jc w:val="center"/>
            </w:pPr>
            <w:r w:rsidRPr="00D44C28">
              <w:t>1,602</w:t>
            </w:r>
          </w:p>
        </w:tc>
        <w:tc>
          <w:tcPr>
            <w:tcW w:w="1503" w:type="dxa"/>
            <w:vAlign w:val="center"/>
          </w:tcPr>
          <w:p w14:paraId="579B07AC" w14:textId="77777777" w:rsidR="009B7F57" w:rsidRPr="00D44C28" w:rsidRDefault="009B7F57" w:rsidP="005C29AD">
            <w:pPr>
              <w:spacing w:after="240"/>
              <w:jc w:val="center"/>
            </w:pPr>
            <w:r w:rsidRPr="00D44C28">
              <w:t>91.1</w:t>
            </w:r>
          </w:p>
        </w:tc>
      </w:tr>
    </w:tbl>
    <w:p w14:paraId="1C8B39F2" w14:textId="77777777" w:rsidR="009B7F57" w:rsidRPr="001463E9" w:rsidRDefault="009B7F57" w:rsidP="009B7F57">
      <w:pPr>
        <w:pStyle w:val="Heading2"/>
      </w:pPr>
      <w:r w:rsidRPr="00F076B3">
        <w:t>Conclusion &amp; Future Work</w:t>
      </w:r>
    </w:p>
    <w:p w14:paraId="243AA8B8" w14:textId="77504E55" w:rsidR="009B7F57" w:rsidRDefault="009B7F57" w:rsidP="009B7F57">
      <w:pPr>
        <w:spacing w:after="240"/>
        <w:jc w:val="both"/>
      </w:pPr>
      <w:r>
        <w:t xml:space="preserve">The study examined different ML models to determine if SES could be used to predict stress levels among students. Ensemble-based models, specifically Decision Trees, CART, AdaBoost, Bagging, and Gradient Boosting, had the most accurate results (97.92%). Their effectiveness suggests that they are well-suited for discovering intricate relationships and patterns present in the data. However, Naive Bayes and K-Nearest </w:t>
      </w:r>
      <w:r w:rsidR="00D44C28">
        <w:t>Neighbors</w:t>
      </w:r>
      <w:r>
        <w:t xml:space="preserve"> models were less effective because they require specific data characteristics and are more heavily influenced by variable distributions. These results highlight the potential for ML to aid in gaining psychological and educational understanding, as well as help identify groups of students at risk due to their socioeconomic factors to some level. Early warning signs of distress from these models enable teachers and counsellors to take necessary actions to protect students’ emotional health. Future research could incorporate cross-validation, tuning hyperparameters, and computing metrics like precision, recall, and F1 score to improve performance assessment.</w:t>
      </w:r>
    </w:p>
    <w:p w14:paraId="79677055" w14:textId="77777777" w:rsidR="009B7F57" w:rsidRDefault="009B7F57" w:rsidP="009B7F57">
      <w:pPr>
        <w:pStyle w:val="Heading2"/>
      </w:pPr>
      <w:r>
        <w:t>Appendix</w:t>
      </w:r>
    </w:p>
    <w:p w14:paraId="41EF343E" w14:textId="155932E2" w:rsidR="00800F2A" w:rsidRPr="00800F2A" w:rsidRDefault="00800F2A" w:rsidP="00800F2A">
      <w:r w:rsidRPr="00800F2A">
        <w:t>A: Table 1: Demographic Questions and Description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6"/>
        <w:gridCol w:w="2678"/>
        <w:gridCol w:w="5902"/>
      </w:tblGrid>
      <w:tr w:rsidR="009B7F57" w14:paraId="129A5672" w14:textId="77777777" w:rsidTr="005C29AD">
        <w:tc>
          <w:tcPr>
            <w:tcW w:w="436" w:type="dxa"/>
            <w:vAlign w:val="center"/>
          </w:tcPr>
          <w:p w14:paraId="06D15F9F" w14:textId="77777777" w:rsidR="009B7F57" w:rsidRPr="00EB44CA" w:rsidRDefault="009B7F57" w:rsidP="005C29AD">
            <w:pPr>
              <w:spacing w:after="240"/>
              <w:rPr>
                <w:b/>
                <w:bCs/>
                <w:sz w:val="20"/>
                <w:szCs w:val="20"/>
              </w:rPr>
            </w:pPr>
            <w:r w:rsidRPr="00EB44CA">
              <w:rPr>
                <w:b/>
                <w:bCs/>
                <w:sz w:val="20"/>
                <w:szCs w:val="20"/>
              </w:rPr>
              <w:t>#</w:t>
            </w:r>
          </w:p>
        </w:tc>
        <w:tc>
          <w:tcPr>
            <w:tcW w:w="2678" w:type="dxa"/>
            <w:vAlign w:val="center"/>
          </w:tcPr>
          <w:p w14:paraId="294E0F42" w14:textId="77777777" w:rsidR="009B7F57" w:rsidRPr="00EB44CA" w:rsidRDefault="009B7F57" w:rsidP="005C29AD">
            <w:pPr>
              <w:spacing w:after="240"/>
              <w:rPr>
                <w:b/>
                <w:bCs/>
                <w:sz w:val="20"/>
                <w:szCs w:val="20"/>
              </w:rPr>
            </w:pPr>
            <w:r w:rsidRPr="00EB44CA">
              <w:rPr>
                <w:rStyle w:val="Strong"/>
                <w:sz w:val="20"/>
                <w:szCs w:val="20"/>
              </w:rPr>
              <w:t>Demographic Question</w:t>
            </w:r>
          </w:p>
        </w:tc>
        <w:tc>
          <w:tcPr>
            <w:tcW w:w="5902" w:type="dxa"/>
            <w:vAlign w:val="center"/>
          </w:tcPr>
          <w:p w14:paraId="32AC2F2B" w14:textId="77777777" w:rsidR="009B7F57" w:rsidRPr="00EB44CA" w:rsidRDefault="009B7F57" w:rsidP="005C29AD">
            <w:pPr>
              <w:spacing w:after="240"/>
              <w:rPr>
                <w:b/>
                <w:bCs/>
                <w:sz w:val="20"/>
                <w:szCs w:val="20"/>
              </w:rPr>
            </w:pPr>
            <w:r w:rsidRPr="00EB44CA">
              <w:rPr>
                <w:rStyle w:val="Strong"/>
                <w:sz w:val="20"/>
                <w:szCs w:val="20"/>
              </w:rPr>
              <w:t>Description</w:t>
            </w:r>
          </w:p>
        </w:tc>
      </w:tr>
      <w:tr w:rsidR="009B7F57" w14:paraId="40E2E28D" w14:textId="77777777" w:rsidTr="005C29AD">
        <w:tc>
          <w:tcPr>
            <w:tcW w:w="436" w:type="dxa"/>
            <w:vAlign w:val="center"/>
          </w:tcPr>
          <w:p w14:paraId="45F31460" w14:textId="77777777" w:rsidR="009B7F57" w:rsidRPr="00EB44CA" w:rsidRDefault="009B7F57" w:rsidP="005C29AD">
            <w:pPr>
              <w:spacing w:after="240"/>
              <w:rPr>
                <w:sz w:val="20"/>
                <w:szCs w:val="20"/>
              </w:rPr>
            </w:pPr>
            <w:r w:rsidRPr="00EB44CA">
              <w:rPr>
                <w:sz w:val="20"/>
                <w:szCs w:val="20"/>
              </w:rPr>
              <w:t>1</w:t>
            </w:r>
          </w:p>
        </w:tc>
        <w:tc>
          <w:tcPr>
            <w:tcW w:w="2678" w:type="dxa"/>
            <w:vAlign w:val="center"/>
          </w:tcPr>
          <w:p w14:paraId="19619339" w14:textId="77777777" w:rsidR="009B7F57" w:rsidRPr="00EB44CA" w:rsidRDefault="009B7F57" w:rsidP="005C29AD">
            <w:pPr>
              <w:spacing w:after="240"/>
              <w:rPr>
                <w:sz w:val="20"/>
                <w:szCs w:val="20"/>
              </w:rPr>
            </w:pPr>
            <w:r w:rsidRPr="00EB44CA">
              <w:rPr>
                <w:sz w:val="20"/>
                <w:szCs w:val="20"/>
              </w:rPr>
              <w:t>Gender</w:t>
            </w:r>
          </w:p>
        </w:tc>
        <w:tc>
          <w:tcPr>
            <w:tcW w:w="5902" w:type="dxa"/>
            <w:vAlign w:val="center"/>
          </w:tcPr>
          <w:p w14:paraId="4F59BE35" w14:textId="77777777" w:rsidR="009B7F57" w:rsidRPr="00EB44CA" w:rsidRDefault="009B7F57" w:rsidP="005C29AD">
            <w:pPr>
              <w:spacing w:after="240"/>
              <w:rPr>
                <w:sz w:val="20"/>
                <w:szCs w:val="20"/>
              </w:rPr>
            </w:pPr>
            <w:r w:rsidRPr="00EB44CA">
              <w:rPr>
                <w:sz w:val="20"/>
                <w:szCs w:val="20"/>
              </w:rPr>
              <w:t>Gender roles, support networks, and cultural expectations affect stress.</w:t>
            </w:r>
          </w:p>
        </w:tc>
      </w:tr>
      <w:tr w:rsidR="009B7F57" w14:paraId="5305B044" w14:textId="77777777" w:rsidTr="005C29AD">
        <w:tc>
          <w:tcPr>
            <w:tcW w:w="436" w:type="dxa"/>
            <w:vAlign w:val="center"/>
          </w:tcPr>
          <w:p w14:paraId="5B1A1942" w14:textId="77777777" w:rsidR="009B7F57" w:rsidRPr="00EB44CA" w:rsidRDefault="009B7F57" w:rsidP="005C29AD">
            <w:pPr>
              <w:spacing w:after="240"/>
              <w:rPr>
                <w:sz w:val="20"/>
                <w:szCs w:val="20"/>
              </w:rPr>
            </w:pPr>
            <w:r w:rsidRPr="00EB44CA">
              <w:rPr>
                <w:sz w:val="20"/>
                <w:szCs w:val="20"/>
              </w:rPr>
              <w:t>2</w:t>
            </w:r>
          </w:p>
        </w:tc>
        <w:tc>
          <w:tcPr>
            <w:tcW w:w="2678" w:type="dxa"/>
            <w:vAlign w:val="center"/>
          </w:tcPr>
          <w:p w14:paraId="1347D13F" w14:textId="77777777" w:rsidR="009B7F57" w:rsidRPr="00EB44CA" w:rsidRDefault="009B7F57" w:rsidP="005C29AD">
            <w:pPr>
              <w:spacing w:after="240"/>
              <w:rPr>
                <w:sz w:val="20"/>
                <w:szCs w:val="20"/>
              </w:rPr>
            </w:pPr>
            <w:r w:rsidRPr="00EB44CA">
              <w:rPr>
                <w:sz w:val="20"/>
                <w:szCs w:val="20"/>
              </w:rPr>
              <w:t>Age</w:t>
            </w:r>
          </w:p>
        </w:tc>
        <w:tc>
          <w:tcPr>
            <w:tcW w:w="5902" w:type="dxa"/>
            <w:vAlign w:val="center"/>
          </w:tcPr>
          <w:p w14:paraId="45331050" w14:textId="38A3E604" w:rsidR="009B7F57" w:rsidRPr="00EB44CA" w:rsidRDefault="009B7F57" w:rsidP="005C29AD">
            <w:pPr>
              <w:spacing w:after="240"/>
              <w:rPr>
                <w:sz w:val="20"/>
                <w:szCs w:val="20"/>
              </w:rPr>
            </w:pPr>
            <w:r w:rsidRPr="00EB44CA">
              <w:rPr>
                <w:sz w:val="20"/>
                <w:szCs w:val="20"/>
              </w:rPr>
              <w:t>Different age groups face unique hurdles</w:t>
            </w:r>
            <w:r w:rsidR="00D44C28">
              <w:rPr>
                <w:sz w:val="20"/>
                <w:szCs w:val="20"/>
              </w:rPr>
              <w:t>:</w:t>
            </w:r>
            <w:r w:rsidRPr="00EB44CA">
              <w:rPr>
                <w:sz w:val="20"/>
                <w:szCs w:val="20"/>
              </w:rPr>
              <w:t xml:space="preserve"> older students worry about graduation and employment, younger </w:t>
            </w:r>
            <w:r>
              <w:rPr>
                <w:sz w:val="20"/>
                <w:szCs w:val="20"/>
              </w:rPr>
              <w:t xml:space="preserve">students </w:t>
            </w:r>
            <w:r w:rsidRPr="00EB44CA">
              <w:rPr>
                <w:sz w:val="20"/>
                <w:szCs w:val="20"/>
              </w:rPr>
              <w:t>about independence.</w:t>
            </w:r>
          </w:p>
        </w:tc>
      </w:tr>
      <w:tr w:rsidR="009B7F57" w14:paraId="6301AB69" w14:textId="77777777" w:rsidTr="005C29AD">
        <w:tc>
          <w:tcPr>
            <w:tcW w:w="436" w:type="dxa"/>
            <w:vAlign w:val="center"/>
          </w:tcPr>
          <w:p w14:paraId="1C480D6D" w14:textId="77777777" w:rsidR="009B7F57" w:rsidRPr="00EB44CA" w:rsidRDefault="009B7F57" w:rsidP="005C29AD">
            <w:pPr>
              <w:spacing w:after="240"/>
              <w:rPr>
                <w:sz w:val="20"/>
                <w:szCs w:val="20"/>
              </w:rPr>
            </w:pPr>
            <w:r w:rsidRPr="00EB44CA">
              <w:rPr>
                <w:sz w:val="20"/>
                <w:szCs w:val="20"/>
              </w:rPr>
              <w:t>3</w:t>
            </w:r>
          </w:p>
        </w:tc>
        <w:tc>
          <w:tcPr>
            <w:tcW w:w="2678" w:type="dxa"/>
            <w:vAlign w:val="center"/>
          </w:tcPr>
          <w:p w14:paraId="1337D795" w14:textId="77777777" w:rsidR="009B7F57" w:rsidRPr="00EB44CA" w:rsidRDefault="009B7F57" w:rsidP="005C29AD">
            <w:pPr>
              <w:spacing w:after="240"/>
              <w:rPr>
                <w:sz w:val="20"/>
                <w:szCs w:val="20"/>
              </w:rPr>
            </w:pPr>
            <w:r w:rsidRPr="00EB44CA">
              <w:rPr>
                <w:sz w:val="20"/>
                <w:szCs w:val="20"/>
              </w:rPr>
              <w:t>Relationship Status</w:t>
            </w:r>
          </w:p>
        </w:tc>
        <w:tc>
          <w:tcPr>
            <w:tcW w:w="5902" w:type="dxa"/>
            <w:vAlign w:val="center"/>
          </w:tcPr>
          <w:p w14:paraId="60561F75" w14:textId="580F0E08" w:rsidR="009B7F57" w:rsidRPr="00EB44CA" w:rsidRDefault="009B7F57" w:rsidP="005C29AD">
            <w:pPr>
              <w:spacing w:after="240"/>
              <w:rPr>
                <w:sz w:val="20"/>
                <w:szCs w:val="20"/>
              </w:rPr>
            </w:pPr>
            <w:r w:rsidRPr="00EB44CA">
              <w:rPr>
                <w:sz w:val="20"/>
                <w:szCs w:val="20"/>
              </w:rPr>
              <w:t xml:space="preserve">Relationship status influences </w:t>
            </w:r>
            <w:r w:rsidR="00D44C28" w:rsidRPr="00EB44CA">
              <w:rPr>
                <w:sz w:val="20"/>
                <w:szCs w:val="20"/>
              </w:rPr>
              <w:t>stress:</w:t>
            </w:r>
            <w:r w:rsidRPr="00EB44CA">
              <w:rPr>
                <w:sz w:val="20"/>
                <w:szCs w:val="20"/>
              </w:rPr>
              <w:t xml:space="preserve"> partnerships can bring emotional support or relational stress.</w:t>
            </w:r>
          </w:p>
        </w:tc>
      </w:tr>
      <w:tr w:rsidR="009B7F57" w14:paraId="4E16D86E" w14:textId="77777777" w:rsidTr="005C29AD">
        <w:tc>
          <w:tcPr>
            <w:tcW w:w="436" w:type="dxa"/>
            <w:vAlign w:val="center"/>
          </w:tcPr>
          <w:p w14:paraId="5219C82A" w14:textId="77777777" w:rsidR="009B7F57" w:rsidRPr="00EB44CA" w:rsidRDefault="009B7F57" w:rsidP="005C29AD">
            <w:pPr>
              <w:spacing w:after="240"/>
              <w:rPr>
                <w:sz w:val="20"/>
                <w:szCs w:val="20"/>
              </w:rPr>
            </w:pPr>
            <w:r w:rsidRPr="00EB44CA">
              <w:rPr>
                <w:sz w:val="20"/>
                <w:szCs w:val="20"/>
              </w:rPr>
              <w:t>4</w:t>
            </w:r>
          </w:p>
        </w:tc>
        <w:tc>
          <w:tcPr>
            <w:tcW w:w="2678" w:type="dxa"/>
            <w:vAlign w:val="center"/>
          </w:tcPr>
          <w:p w14:paraId="4220D81D" w14:textId="77777777" w:rsidR="009B7F57" w:rsidRPr="00EB44CA" w:rsidRDefault="009B7F57" w:rsidP="005C29AD">
            <w:pPr>
              <w:spacing w:after="240"/>
              <w:rPr>
                <w:sz w:val="20"/>
                <w:szCs w:val="20"/>
              </w:rPr>
            </w:pPr>
            <w:r w:rsidRPr="00EB44CA">
              <w:rPr>
                <w:sz w:val="20"/>
                <w:szCs w:val="20"/>
              </w:rPr>
              <w:t>Socioeconomic Status</w:t>
            </w:r>
          </w:p>
        </w:tc>
        <w:tc>
          <w:tcPr>
            <w:tcW w:w="5902" w:type="dxa"/>
            <w:vAlign w:val="center"/>
          </w:tcPr>
          <w:p w14:paraId="010F96BF" w14:textId="77777777" w:rsidR="009B7F57" w:rsidRPr="00EB44CA" w:rsidRDefault="009B7F57" w:rsidP="005C29AD">
            <w:pPr>
              <w:spacing w:after="240"/>
              <w:rPr>
                <w:sz w:val="20"/>
                <w:szCs w:val="20"/>
              </w:rPr>
            </w:pPr>
            <w:r w:rsidRPr="00EB44CA">
              <w:rPr>
                <w:sz w:val="20"/>
                <w:szCs w:val="20"/>
              </w:rPr>
              <w:t>Financial security impacts stress, especially worries about resources, living costs, and tuition.</w:t>
            </w:r>
          </w:p>
        </w:tc>
      </w:tr>
      <w:tr w:rsidR="009B7F57" w14:paraId="56A7FFAA" w14:textId="77777777" w:rsidTr="005C29AD">
        <w:tc>
          <w:tcPr>
            <w:tcW w:w="436" w:type="dxa"/>
            <w:vAlign w:val="center"/>
          </w:tcPr>
          <w:p w14:paraId="5D79D2E5" w14:textId="77777777" w:rsidR="009B7F57" w:rsidRPr="00EB44CA" w:rsidRDefault="009B7F57" w:rsidP="005C29AD">
            <w:pPr>
              <w:spacing w:after="240"/>
              <w:rPr>
                <w:sz w:val="20"/>
                <w:szCs w:val="20"/>
              </w:rPr>
            </w:pPr>
            <w:r w:rsidRPr="00EB44CA">
              <w:rPr>
                <w:sz w:val="20"/>
                <w:szCs w:val="20"/>
              </w:rPr>
              <w:t>5</w:t>
            </w:r>
          </w:p>
        </w:tc>
        <w:tc>
          <w:tcPr>
            <w:tcW w:w="2678" w:type="dxa"/>
            <w:vAlign w:val="center"/>
          </w:tcPr>
          <w:p w14:paraId="259C85D1" w14:textId="77777777" w:rsidR="009B7F57" w:rsidRPr="00EB44CA" w:rsidRDefault="009B7F57" w:rsidP="005C29AD">
            <w:pPr>
              <w:spacing w:after="240"/>
              <w:rPr>
                <w:sz w:val="20"/>
                <w:szCs w:val="20"/>
              </w:rPr>
            </w:pPr>
            <w:r w:rsidRPr="00EB44CA">
              <w:rPr>
                <w:sz w:val="20"/>
                <w:szCs w:val="20"/>
              </w:rPr>
              <w:t>Education Fee Provider</w:t>
            </w:r>
          </w:p>
        </w:tc>
        <w:tc>
          <w:tcPr>
            <w:tcW w:w="5902" w:type="dxa"/>
            <w:vAlign w:val="center"/>
          </w:tcPr>
          <w:p w14:paraId="00C6689D" w14:textId="77777777" w:rsidR="009B7F57" w:rsidRPr="00EB44CA" w:rsidRDefault="009B7F57" w:rsidP="005C29AD">
            <w:pPr>
              <w:spacing w:after="240"/>
              <w:rPr>
                <w:sz w:val="20"/>
                <w:szCs w:val="20"/>
              </w:rPr>
            </w:pPr>
            <w:r w:rsidRPr="00EB44CA">
              <w:rPr>
                <w:sz w:val="20"/>
                <w:szCs w:val="20"/>
              </w:rPr>
              <w:t>Paying education fees can cause additional stress.</w:t>
            </w:r>
          </w:p>
        </w:tc>
      </w:tr>
      <w:tr w:rsidR="009B7F57" w14:paraId="3E9661F9" w14:textId="77777777" w:rsidTr="005C29AD">
        <w:tc>
          <w:tcPr>
            <w:tcW w:w="436" w:type="dxa"/>
            <w:vAlign w:val="center"/>
          </w:tcPr>
          <w:p w14:paraId="0607F22E" w14:textId="77777777" w:rsidR="009B7F57" w:rsidRPr="00EB44CA" w:rsidRDefault="009B7F57" w:rsidP="005C29AD">
            <w:pPr>
              <w:spacing w:after="240"/>
              <w:rPr>
                <w:sz w:val="20"/>
                <w:szCs w:val="20"/>
              </w:rPr>
            </w:pPr>
            <w:r w:rsidRPr="00EB44CA">
              <w:rPr>
                <w:sz w:val="20"/>
                <w:szCs w:val="20"/>
              </w:rPr>
              <w:lastRenderedPageBreak/>
              <w:t>6</w:t>
            </w:r>
          </w:p>
        </w:tc>
        <w:tc>
          <w:tcPr>
            <w:tcW w:w="2678" w:type="dxa"/>
            <w:vAlign w:val="center"/>
          </w:tcPr>
          <w:p w14:paraId="79E29058" w14:textId="77777777" w:rsidR="009B7F57" w:rsidRPr="00EB44CA" w:rsidRDefault="009B7F57" w:rsidP="005C29AD">
            <w:pPr>
              <w:spacing w:after="240"/>
              <w:rPr>
                <w:sz w:val="20"/>
                <w:szCs w:val="20"/>
              </w:rPr>
            </w:pPr>
            <w:r w:rsidRPr="00EB44CA">
              <w:rPr>
                <w:sz w:val="20"/>
                <w:szCs w:val="20"/>
              </w:rPr>
              <w:t>Scholarships</w:t>
            </w:r>
          </w:p>
        </w:tc>
        <w:tc>
          <w:tcPr>
            <w:tcW w:w="5902" w:type="dxa"/>
            <w:vAlign w:val="center"/>
          </w:tcPr>
          <w:p w14:paraId="03C884AC" w14:textId="0062593E" w:rsidR="009B7F57" w:rsidRPr="00EB44CA" w:rsidRDefault="009B7F57" w:rsidP="005C29AD">
            <w:pPr>
              <w:spacing w:after="240"/>
              <w:rPr>
                <w:sz w:val="20"/>
                <w:szCs w:val="20"/>
              </w:rPr>
            </w:pPr>
            <w:r w:rsidRPr="00EB44CA">
              <w:rPr>
                <w:sz w:val="20"/>
                <w:szCs w:val="20"/>
              </w:rPr>
              <w:t>Lack of scholarships causes financial distress</w:t>
            </w:r>
            <w:r w:rsidR="00D44C28">
              <w:rPr>
                <w:sz w:val="20"/>
                <w:szCs w:val="20"/>
              </w:rPr>
              <w:t>:</w:t>
            </w:r>
            <w:r w:rsidRPr="00EB44CA">
              <w:rPr>
                <w:sz w:val="20"/>
                <w:szCs w:val="20"/>
              </w:rPr>
              <w:t xml:space="preserve"> scholarships may increase performance pressure.</w:t>
            </w:r>
          </w:p>
        </w:tc>
      </w:tr>
      <w:tr w:rsidR="009B7F57" w14:paraId="649B737E" w14:textId="77777777" w:rsidTr="005C29AD">
        <w:tc>
          <w:tcPr>
            <w:tcW w:w="436" w:type="dxa"/>
            <w:vAlign w:val="center"/>
          </w:tcPr>
          <w:p w14:paraId="2A395CBC" w14:textId="77777777" w:rsidR="009B7F57" w:rsidRPr="00EB44CA" w:rsidRDefault="009B7F57" w:rsidP="005C29AD">
            <w:pPr>
              <w:spacing w:after="240"/>
              <w:rPr>
                <w:sz w:val="20"/>
                <w:szCs w:val="20"/>
              </w:rPr>
            </w:pPr>
            <w:r w:rsidRPr="00EB44CA">
              <w:rPr>
                <w:sz w:val="20"/>
                <w:szCs w:val="20"/>
              </w:rPr>
              <w:t>7</w:t>
            </w:r>
          </w:p>
        </w:tc>
        <w:tc>
          <w:tcPr>
            <w:tcW w:w="2678" w:type="dxa"/>
            <w:vAlign w:val="center"/>
          </w:tcPr>
          <w:p w14:paraId="75A75283" w14:textId="77777777" w:rsidR="009B7F57" w:rsidRPr="00EB44CA" w:rsidRDefault="009B7F57" w:rsidP="005C29AD">
            <w:pPr>
              <w:spacing w:after="240"/>
              <w:rPr>
                <w:sz w:val="20"/>
                <w:szCs w:val="20"/>
              </w:rPr>
            </w:pPr>
            <w:r w:rsidRPr="00EB44CA">
              <w:rPr>
                <w:sz w:val="20"/>
                <w:szCs w:val="20"/>
              </w:rPr>
              <w:t>University Type</w:t>
            </w:r>
          </w:p>
        </w:tc>
        <w:tc>
          <w:tcPr>
            <w:tcW w:w="5902" w:type="dxa"/>
            <w:vAlign w:val="center"/>
          </w:tcPr>
          <w:p w14:paraId="2F1570F7" w14:textId="77777777" w:rsidR="009B7F57" w:rsidRPr="00EB44CA" w:rsidRDefault="009B7F57" w:rsidP="005C29AD">
            <w:pPr>
              <w:spacing w:after="240"/>
              <w:rPr>
                <w:sz w:val="20"/>
                <w:szCs w:val="20"/>
              </w:rPr>
            </w:pPr>
            <w:r w:rsidRPr="00EB44CA">
              <w:rPr>
                <w:sz w:val="20"/>
                <w:szCs w:val="20"/>
              </w:rPr>
              <w:t>Resources, atmosphere, and financial aid differ between public and private colleges.</w:t>
            </w:r>
          </w:p>
        </w:tc>
      </w:tr>
      <w:tr w:rsidR="009B7F57" w14:paraId="01E3DC7D" w14:textId="77777777" w:rsidTr="005C29AD">
        <w:tc>
          <w:tcPr>
            <w:tcW w:w="436" w:type="dxa"/>
            <w:vAlign w:val="center"/>
          </w:tcPr>
          <w:p w14:paraId="3AAA98B8" w14:textId="77777777" w:rsidR="009B7F57" w:rsidRPr="00EB44CA" w:rsidRDefault="009B7F57" w:rsidP="005C29AD">
            <w:pPr>
              <w:spacing w:after="240"/>
              <w:rPr>
                <w:sz w:val="20"/>
                <w:szCs w:val="20"/>
              </w:rPr>
            </w:pPr>
            <w:r w:rsidRPr="00EB44CA">
              <w:rPr>
                <w:sz w:val="20"/>
                <w:szCs w:val="20"/>
              </w:rPr>
              <w:t>8</w:t>
            </w:r>
          </w:p>
        </w:tc>
        <w:tc>
          <w:tcPr>
            <w:tcW w:w="2678" w:type="dxa"/>
            <w:vAlign w:val="center"/>
          </w:tcPr>
          <w:p w14:paraId="3DB18C8E" w14:textId="77777777" w:rsidR="009B7F57" w:rsidRPr="00EB44CA" w:rsidRDefault="009B7F57" w:rsidP="005C29AD">
            <w:pPr>
              <w:spacing w:after="240"/>
              <w:rPr>
                <w:sz w:val="20"/>
                <w:szCs w:val="20"/>
              </w:rPr>
            </w:pPr>
            <w:r w:rsidRPr="00EB44CA">
              <w:rPr>
                <w:sz w:val="20"/>
                <w:szCs w:val="20"/>
              </w:rPr>
              <w:t>Current Year of Study</w:t>
            </w:r>
          </w:p>
        </w:tc>
        <w:tc>
          <w:tcPr>
            <w:tcW w:w="5902" w:type="dxa"/>
            <w:vAlign w:val="center"/>
          </w:tcPr>
          <w:p w14:paraId="5F6A08E3" w14:textId="7772CAC9" w:rsidR="009B7F57" w:rsidRPr="00EB44CA" w:rsidRDefault="009B7F57" w:rsidP="005C29AD">
            <w:pPr>
              <w:spacing w:after="240"/>
              <w:rPr>
                <w:sz w:val="20"/>
                <w:szCs w:val="20"/>
              </w:rPr>
            </w:pPr>
            <w:r w:rsidRPr="00EB44CA">
              <w:rPr>
                <w:sz w:val="20"/>
                <w:szCs w:val="20"/>
              </w:rPr>
              <w:t>Stress varies by year</w:t>
            </w:r>
            <w:r w:rsidR="00D44C28">
              <w:rPr>
                <w:sz w:val="20"/>
                <w:szCs w:val="20"/>
              </w:rPr>
              <w:t>:</w:t>
            </w:r>
            <w:r w:rsidRPr="00EB44CA">
              <w:rPr>
                <w:sz w:val="20"/>
                <w:szCs w:val="20"/>
              </w:rPr>
              <w:t xml:space="preserve"> adjustment stress in first year, graduation or career stress in final year.</w:t>
            </w:r>
          </w:p>
        </w:tc>
      </w:tr>
      <w:tr w:rsidR="009B7F57" w14:paraId="3E3E13F9" w14:textId="77777777" w:rsidTr="005C29AD">
        <w:tc>
          <w:tcPr>
            <w:tcW w:w="436" w:type="dxa"/>
            <w:vAlign w:val="center"/>
          </w:tcPr>
          <w:p w14:paraId="1D8E49BB" w14:textId="77777777" w:rsidR="009B7F57" w:rsidRPr="00EB44CA" w:rsidRDefault="009B7F57" w:rsidP="005C29AD">
            <w:pPr>
              <w:spacing w:after="240"/>
              <w:rPr>
                <w:sz w:val="20"/>
                <w:szCs w:val="20"/>
              </w:rPr>
            </w:pPr>
            <w:r w:rsidRPr="00EB44CA">
              <w:rPr>
                <w:sz w:val="20"/>
                <w:szCs w:val="20"/>
              </w:rPr>
              <w:t>9</w:t>
            </w:r>
          </w:p>
        </w:tc>
        <w:tc>
          <w:tcPr>
            <w:tcW w:w="2678" w:type="dxa"/>
            <w:vAlign w:val="center"/>
          </w:tcPr>
          <w:p w14:paraId="76AF45C0" w14:textId="77777777" w:rsidR="009B7F57" w:rsidRPr="00EB44CA" w:rsidRDefault="009B7F57" w:rsidP="005C29AD">
            <w:pPr>
              <w:spacing w:after="240"/>
              <w:rPr>
                <w:sz w:val="20"/>
                <w:szCs w:val="20"/>
              </w:rPr>
            </w:pPr>
            <w:r w:rsidRPr="00EB44CA">
              <w:rPr>
                <w:sz w:val="20"/>
                <w:szCs w:val="20"/>
              </w:rPr>
              <w:t>CGPA</w:t>
            </w:r>
          </w:p>
        </w:tc>
        <w:tc>
          <w:tcPr>
            <w:tcW w:w="5902" w:type="dxa"/>
            <w:vAlign w:val="center"/>
          </w:tcPr>
          <w:p w14:paraId="3D13DE25" w14:textId="77777777" w:rsidR="009B7F57" w:rsidRPr="00EB44CA" w:rsidRDefault="009B7F57" w:rsidP="005C29AD">
            <w:pPr>
              <w:spacing w:after="240"/>
              <w:rPr>
                <w:sz w:val="20"/>
                <w:szCs w:val="20"/>
              </w:rPr>
            </w:pPr>
            <w:r w:rsidRPr="00EB44CA">
              <w:rPr>
                <w:sz w:val="20"/>
                <w:szCs w:val="20"/>
              </w:rPr>
              <w:t>Academic pressure to maintain grades corresponds with stress.</w:t>
            </w:r>
          </w:p>
        </w:tc>
      </w:tr>
      <w:tr w:rsidR="009B7F57" w14:paraId="3569F327" w14:textId="77777777" w:rsidTr="005C29AD">
        <w:tc>
          <w:tcPr>
            <w:tcW w:w="436" w:type="dxa"/>
            <w:vAlign w:val="center"/>
          </w:tcPr>
          <w:p w14:paraId="6E910BD3" w14:textId="77777777" w:rsidR="009B7F57" w:rsidRPr="00EB44CA" w:rsidRDefault="009B7F57" w:rsidP="005C29AD">
            <w:pPr>
              <w:spacing w:after="240"/>
              <w:rPr>
                <w:sz w:val="20"/>
                <w:szCs w:val="20"/>
              </w:rPr>
            </w:pPr>
            <w:r w:rsidRPr="00EB44CA">
              <w:rPr>
                <w:sz w:val="20"/>
                <w:szCs w:val="20"/>
              </w:rPr>
              <w:t>10</w:t>
            </w:r>
          </w:p>
        </w:tc>
        <w:tc>
          <w:tcPr>
            <w:tcW w:w="2678" w:type="dxa"/>
            <w:vAlign w:val="center"/>
          </w:tcPr>
          <w:p w14:paraId="4D7F8BB9" w14:textId="77777777" w:rsidR="009B7F57" w:rsidRPr="00EB44CA" w:rsidRDefault="009B7F57" w:rsidP="005C29AD">
            <w:pPr>
              <w:spacing w:after="240"/>
              <w:rPr>
                <w:sz w:val="20"/>
                <w:szCs w:val="20"/>
              </w:rPr>
            </w:pPr>
            <w:r w:rsidRPr="00EB44CA">
              <w:rPr>
                <w:sz w:val="20"/>
                <w:szCs w:val="20"/>
              </w:rPr>
              <w:t>Living Status</w:t>
            </w:r>
          </w:p>
        </w:tc>
        <w:tc>
          <w:tcPr>
            <w:tcW w:w="5902" w:type="dxa"/>
            <w:vAlign w:val="center"/>
          </w:tcPr>
          <w:p w14:paraId="31200B9A" w14:textId="1B85BCF2" w:rsidR="009B7F57" w:rsidRPr="00EB44CA" w:rsidRDefault="009B7F57" w:rsidP="005C29AD">
            <w:pPr>
              <w:spacing w:after="240"/>
              <w:rPr>
                <w:sz w:val="20"/>
                <w:szCs w:val="20"/>
              </w:rPr>
            </w:pPr>
            <w:r w:rsidRPr="00EB44CA">
              <w:rPr>
                <w:sz w:val="20"/>
                <w:szCs w:val="20"/>
              </w:rPr>
              <w:t>Living alone may cause loneliness</w:t>
            </w:r>
            <w:r w:rsidR="00D44C28">
              <w:rPr>
                <w:sz w:val="20"/>
                <w:szCs w:val="20"/>
              </w:rPr>
              <w:t>:</w:t>
            </w:r>
            <w:r w:rsidRPr="00EB44CA">
              <w:rPr>
                <w:sz w:val="20"/>
                <w:szCs w:val="20"/>
              </w:rPr>
              <w:t xml:space="preserve"> sharing space may reduce privacy or stability.</w:t>
            </w:r>
          </w:p>
        </w:tc>
      </w:tr>
      <w:tr w:rsidR="009B7F57" w14:paraId="631B0029" w14:textId="77777777" w:rsidTr="005C29AD">
        <w:tc>
          <w:tcPr>
            <w:tcW w:w="436" w:type="dxa"/>
            <w:vAlign w:val="center"/>
          </w:tcPr>
          <w:p w14:paraId="3CA201B3" w14:textId="77777777" w:rsidR="009B7F57" w:rsidRPr="00EB44CA" w:rsidRDefault="009B7F57" w:rsidP="005C29AD">
            <w:pPr>
              <w:spacing w:after="240"/>
              <w:rPr>
                <w:sz w:val="20"/>
                <w:szCs w:val="20"/>
              </w:rPr>
            </w:pPr>
            <w:r w:rsidRPr="00EB44CA">
              <w:rPr>
                <w:sz w:val="20"/>
                <w:szCs w:val="20"/>
              </w:rPr>
              <w:t>11</w:t>
            </w:r>
          </w:p>
        </w:tc>
        <w:tc>
          <w:tcPr>
            <w:tcW w:w="2678" w:type="dxa"/>
            <w:vAlign w:val="center"/>
          </w:tcPr>
          <w:p w14:paraId="2E280466" w14:textId="77777777" w:rsidR="009B7F57" w:rsidRPr="00EB44CA" w:rsidRDefault="009B7F57" w:rsidP="005C29AD">
            <w:pPr>
              <w:spacing w:after="240"/>
              <w:rPr>
                <w:sz w:val="20"/>
                <w:szCs w:val="20"/>
              </w:rPr>
            </w:pPr>
            <w:r w:rsidRPr="00EB44CA">
              <w:rPr>
                <w:sz w:val="20"/>
                <w:szCs w:val="20"/>
              </w:rPr>
              <w:t>Family Income</w:t>
            </w:r>
          </w:p>
        </w:tc>
        <w:tc>
          <w:tcPr>
            <w:tcW w:w="5902" w:type="dxa"/>
            <w:vAlign w:val="center"/>
          </w:tcPr>
          <w:p w14:paraId="503D84C3" w14:textId="77777777" w:rsidR="009B7F57" w:rsidRPr="00EB44CA" w:rsidRDefault="009B7F57" w:rsidP="005C29AD">
            <w:pPr>
              <w:spacing w:after="240"/>
              <w:rPr>
                <w:sz w:val="20"/>
                <w:szCs w:val="20"/>
              </w:rPr>
            </w:pPr>
            <w:r w:rsidRPr="00EB44CA">
              <w:rPr>
                <w:sz w:val="20"/>
                <w:szCs w:val="20"/>
              </w:rPr>
              <w:t>Lower income limits access to resources, increasing stress.</w:t>
            </w:r>
          </w:p>
        </w:tc>
      </w:tr>
      <w:tr w:rsidR="009B7F57" w14:paraId="252B93A7" w14:textId="77777777" w:rsidTr="005C29AD">
        <w:tc>
          <w:tcPr>
            <w:tcW w:w="436" w:type="dxa"/>
            <w:vAlign w:val="center"/>
          </w:tcPr>
          <w:p w14:paraId="1DE1FE23" w14:textId="77777777" w:rsidR="009B7F57" w:rsidRPr="00EB44CA" w:rsidRDefault="009B7F57" w:rsidP="005C29AD">
            <w:pPr>
              <w:spacing w:after="240"/>
              <w:rPr>
                <w:sz w:val="20"/>
                <w:szCs w:val="20"/>
              </w:rPr>
            </w:pPr>
            <w:r w:rsidRPr="00EB44CA">
              <w:rPr>
                <w:sz w:val="20"/>
                <w:szCs w:val="20"/>
              </w:rPr>
              <w:t>12</w:t>
            </w:r>
          </w:p>
        </w:tc>
        <w:tc>
          <w:tcPr>
            <w:tcW w:w="2678" w:type="dxa"/>
            <w:vAlign w:val="center"/>
          </w:tcPr>
          <w:p w14:paraId="01DF4502" w14:textId="77777777" w:rsidR="009B7F57" w:rsidRPr="00EB44CA" w:rsidRDefault="009B7F57" w:rsidP="005C29AD">
            <w:pPr>
              <w:spacing w:after="240"/>
              <w:rPr>
                <w:sz w:val="20"/>
                <w:szCs w:val="20"/>
              </w:rPr>
            </w:pPr>
            <w:r w:rsidRPr="00EB44CA">
              <w:rPr>
                <w:sz w:val="20"/>
                <w:szCs w:val="20"/>
              </w:rPr>
              <w:t>Family Members</w:t>
            </w:r>
          </w:p>
        </w:tc>
        <w:tc>
          <w:tcPr>
            <w:tcW w:w="5902" w:type="dxa"/>
            <w:vAlign w:val="center"/>
          </w:tcPr>
          <w:p w14:paraId="6D670B5B" w14:textId="77777777" w:rsidR="009B7F57" w:rsidRPr="00EB44CA" w:rsidRDefault="009B7F57" w:rsidP="005C29AD">
            <w:pPr>
              <w:spacing w:after="240"/>
              <w:rPr>
                <w:sz w:val="20"/>
                <w:szCs w:val="20"/>
              </w:rPr>
            </w:pPr>
            <w:r w:rsidRPr="00EB44CA">
              <w:rPr>
                <w:sz w:val="20"/>
                <w:szCs w:val="20"/>
              </w:rPr>
              <w:t>Family size affects financial obligations and support networks.</w:t>
            </w:r>
          </w:p>
        </w:tc>
      </w:tr>
      <w:tr w:rsidR="009B7F57" w14:paraId="24692DE6" w14:textId="77777777" w:rsidTr="005C29AD">
        <w:tc>
          <w:tcPr>
            <w:tcW w:w="436" w:type="dxa"/>
            <w:vAlign w:val="center"/>
          </w:tcPr>
          <w:p w14:paraId="13CC4650" w14:textId="77777777" w:rsidR="009B7F57" w:rsidRPr="00EB44CA" w:rsidRDefault="009B7F57" w:rsidP="005C29AD">
            <w:pPr>
              <w:spacing w:after="240"/>
              <w:rPr>
                <w:sz w:val="20"/>
                <w:szCs w:val="20"/>
              </w:rPr>
            </w:pPr>
            <w:r w:rsidRPr="00EB44CA">
              <w:rPr>
                <w:sz w:val="20"/>
                <w:szCs w:val="20"/>
              </w:rPr>
              <w:t>13</w:t>
            </w:r>
          </w:p>
        </w:tc>
        <w:tc>
          <w:tcPr>
            <w:tcW w:w="2678" w:type="dxa"/>
            <w:vAlign w:val="center"/>
          </w:tcPr>
          <w:p w14:paraId="1EB219F8" w14:textId="77777777" w:rsidR="009B7F57" w:rsidRPr="00EB44CA" w:rsidRDefault="009B7F57" w:rsidP="005C29AD">
            <w:pPr>
              <w:spacing w:after="240"/>
              <w:rPr>
                <w:sz w:val="20"/>
                <w:szCs w:val="20"/>
              </w:rPr>
            </w:pPr>
            <w:r w:rsidRPr="00EB44CA">
              <w:rPr>
                <w:sz w:val="20"/>
                <w:szCs w:val="20"/>
              </w:rPr>
              <w:t>Chronic Illness</w:t>
            </w:r>
          </w:p>
        </w:tc>
        <w:tc>
          <w:tcPr>
            <w:tcW w:w="5902" w:type="dxa"/>
            <w:vAlign w:val="center"/>
          </w:tcPr>
          <w:p w14:paraId="319B0DB2" w14:textId="77777777" w:rsidR="009B7F57" w:rsidRPr="00EB44CA" w:rsidRDefault="009B7F57" w:rsidP="005C29AD">
            <w:pPr>
              <w:spacing w:after="240"/>
              <w:rPr>
                <w:sz w:val="20"/>
                <w:szCs w:val="20"/>
              </w:rPr>
            </w:pPr>
            <w:r w:rsidRPr="00EB44CA">
              <w:rPr>
                <w:sz w:val="20"/>
                <w:szCs w:val="20"/>
              </w:rPr>
              <w:t>Managing health and academics is stressful with chronic conditions.</w:t>
            </w:r>
          </w:p>
        </w:tc>
      </w:tr>
      <w:tr w:rsidR="009B7F57" w14:paraId="65CE1A0A" w14:textId="77777777" w:rsidTr="005C29AD">
        <w:tc>
          <w:tcPr>
            <w:tcW w:w="436" w:type="dxa"/>
            <w:vAlign w:val="center"/>
          </w:tcPr>
          <w:p w14:paraId="721287ED" w14:textId="77777777" w:rsidR="009B7F57" w:rsidRPr="00EB44CA" w:rsidRDefault="009B7F57" w:rsidP="005C29AD">
            <w:pPr>
              <w:spacing w:after="240"/>
              <w:rPr>
                <w:sz w:val="20"/>
                <w:szCs w:val="20"/>
              </w:rPr>
            </w:pPr>
            <w:r w:rsidRPr="00EB44CA">
              <w:rPr>
                <w:sz w:val="20"/>
                <w:szCs w:val="20"/>
              </w:rPr>
              <w:t>14</w:t>
            </w:r>
          </w:p>
        </w:tc>
        <w:tc>
          <w:tcPr>
            <w:tcW w:w="2678" w:type="dxa"/>
            <w:vAlign w:val="center"/>
          </w:tcPr>
          <w:p w14:paraId="4BF571DA" w14:textId="77777777" w:rsidR="009B7F57" w:rsidRPr="00EB44CA" w:rsidRDefault="009B7F57" w:rsidP="005C29AD">
            <w:pPr>
              <w:spacing w:after="240"/>
              <w:rPr>
                <w:sz w:val="20"/>
                <w:szCs w:val="20"/>
              </w:rPr>
            </w:pPr>
            <w:r w:rsidRPr="00EB44CA">
              <w:rPr>
                <w:sz w:val="20"/>
                <w:szCs w:val="20"/>
              </w:rPr>
              <w:t>Sleeping Hours</w:t>
            </w:r>
          </w:p>
        </w:tc>
        <w:tc>
          <w:tcPr>
            <w:tcW w:w="5902" w:type="dxa"/>
            <w:vAlign w:val="center"/>
          </w:tcPr>
          <w:p w14:paraId="221DA19F" w14:textId="77777777" w:rsidR="009B7F57" w:rsidRPr="00EB44CA" w:rsidRDefault="009B7F57" w:rsidP="005C29AD">
            <w:pPr>
              <w:spacing w:after="240"/>
              <w:rPr>
                <w:sz w:val="20"/>
                <w:szCs w:val="20"/>
              </w:rPr>
            </w:pPr>
            <w:r w:rsidRPr="00EB44CA">
              <w:rPr>
                <w:sz w:val="20"/>
                <w:szCs w:val="20"/>
              </w:rPr>
              <w:t>Poor sleep worsens anxiety and coping.</w:t>
            </w:r>
          </w:p>
        </w:tc>
      </w:tr>
    </w:tbl>
    <w:p w14:paraId="2EC9E433" w14:textId="77777777" w:rsidR="009B7F57" w:rsidRDefault="009B7F57" w:rsidP="009B7F57"/>
    <w:p w14:paraId="66DFC9BF" w14:textId="33847DD3" w:rsidR="00800F2A" w:rsidRPr="00800F2A" w:rsidRDefault="00800F2A" w:rsidP="00800F2A">
      <w:r w:rsidRPr="00800F2A">
        <w:t>B:  Transposed View of First Two Responses (Raw Dataset)</w:t>
      </w:r>
    </w:p>
    <w:tbl>
      <w:tblPr>
        <w:tblStyle w:val="TableGrid"/>
        <w:tblW w:w="0" w:type="auto"/>
        <w:tblLook w:val="04A0" w:firstRow="1" w:lastRow="0" w:firstColumn="1" w:lastColumn="0" w:noHBand="0" w:noVBand="1"/>
      </w:tblPr>
      <w:tblGrid>
        <w:gridCol w:w="3005"/>
        <w:gridCol w:w="3005"/>
        <w:gridCol w:w="3006"/>
      </w:tblGrid>
      <w:tr w:rsidR="009B7F57" w14:paraId="38AA6F26" w14:textId="77777777" w:rsidTr="005C29AD">
        <w:tc>
          <w:tcPr>
            <w:tcW w:w="3005" w:type="dxa"/>
            <w:tcBorders>
              <w:left w:val="nil"/>
              <w:right w:val="nil"/>
            </w:tcBorders>
            <w:vAlign w:val="center"/>
          </w:tcPr>
          <w:p w14:paraId="608923CB" w14:textId="77777777" w:rsidR="009B7F57" w:rsidRPr="00EB44CA" w:rsidRDefault="009B7F57" w:rsidP="005C29AD">
            <w:pPr>
              <w:spacing w:after="240"/>
              <w:rPr>
                <w:sz w:val="20"/>
                <w:szCs w:val="20"/>
              </w:rPr>
            </w:pPr>
            <w:r w:rsidRPr="00EB44CA">
              <w:rPr>
                <w:rStyle w:val="Strong"/>
                <w:sz w:val="20"/>
                <w:szCs w:val="20"/>
              </w:rPr>
              <w:t>Question</w:t>
            </w:r>
          </w:p>
        </w:tc>
        <w:tc>
          <w:tcPr>
            <w:tcW w:w="3005" w:type="dxa"/>
            <w:tcBorders>
              <w:left w:val="nil"/>
              <w:right w:val="nil"/>
            </w:tcBorders>
            <w:vAlign w:val="center"/>
          </w:tcPr>
          <w:p w14:paraId="082F1FE1" w14:textId="77777777" w:rsidR="009B7F57" w:rsidRPr="00EB44CA" w:rsidRDefault="009B7F57" w:rsidP="005C29AD">
            <w:pPr>
              <w:spacing w:after="240"/>
              <w:jc w:val="center"/>
              <w:rPr>
                <w:sz w:val="20"/>
                <w:szCs w:val="20"/>
              </w:rPr>
            </w:pPr>
            <w:r w:rsidRPr="00EB44CA">
              <w:rPr>
                <w:rStyle w:val="Strong"/>
                <w:sz w:val="20"/>
                <w:szCs w:val="20"/>
              </w:rPr>
              <w:t>Respondent 1</w:t>
            </w:r>
          </w:p>
        </w:tc>
        <w:tc>
          <w:tcPr>
            <w:tcW w:w="3006" w:type="dxa"/>
            <w:tcBorders>
              <w:left w:val="nil"/>
              <w:right w:val="nil"/>
            </w:tcBorders>
            <w:vAlign w:val="center"/>
          </w:tcPr>
          <w:p w14:paraId="12E6BB41" w14:textId="77777777" w:rsidR="009B7F57" w:rsidRPr="00EB44CA" w:rsidRDefault="009B7F57" w:rsidP="005C29AD">
            <w:pPr>
              <w:spacing w:after="240"/>
              <w:jc w:val="center"/>
              <w:rPr>
                <w:sz w:val="20"/>
                <w:szCs w:val="20"/>
              </w:rPr>
            </w:pPr>
            <w:r w:rsidRPr="00EB44CA">
              <w:rPr>
                <w:rStyle w:val="Strong"/>
                <w:sz w:val="20"/>
                <w:szCs w:val="20"/>
              </w:rPr>
              <w:t>Respondent 2</w:t>
            </w:r>
          </w:p>
        </w:tc>
      </w:tr>
      <w:tr w:rsidR="009B7F57" w14:paraId="5AC4DB62" w14:textId="77777777" w:rsidTr="005C29AD">
        <w:tc>
          <w:tcPr>
            <w:tcW w:w="3005" w:type="dxa"/>
            <w:tcBorders>
              <w:left w:val="nil"/>
              <w:right w:val="nil"/>
            </w:tcBorders>
            <w:vAlign w:val="center"/>
          </w:tcPr>
          <w:p w14:paraId="7D76EA08" w14:textId="77777777" w:rsidR="009B7F57" w:rsidRPr="00EB44CA" w:rsidRDefault="009B7F57" w:rsidP="005C29AD">
            <w:pPr>
              <w:spacing w:after="240"/>
              <w:rPr>
                <w:sz w:val="20"/>
                <w:szCs w:val="20"/>
              </w:rPr>
            </w:pPr>
            <w:r w:rsidRPr="00EB44CA">
              <w:rPr>
                <w:sz w:val="20"/>
                <w:szCs w:val="20"/>
              </w:rPr>
              <w:t>Timestamp</w:t>
            </w:r>
          </w:p>
        </w:tc>
        <w:tc>
          <w:tcPr>
            <w:tcW w:w="3005" w:type="dxa"/>
            <w:tcBorders>
              <w:left w:val="nil"/>
              <w:right w:val="nil"/>
            </w:tcBorders>
            <w:vAlign w:val="center"/>
          </w:tcPr>
          <w:p w14:paraId="55FD1DF4" w14:textId="77777777" w:rsidR="009B7F57" w:rsidRPr="00EB44CA" w:rsidRDefault="009B7F57" w:rsidP="005C29AD">
            <w:pPr>
              <w:spacing w:after="240"/>
              <w:jc w:val="center"/>
              <w:rPr>
                <w:sz w:val="20"/>
                <w:szCs w:val="20"/>
              </w:rPr>
            </w:pPr>
            <w:r w:rsidRPr="00EB44CA">
              <w:rPr>
                <w:sz w:val="20"/>
                <w:szCs w:val="20"/>
              </w:rPr>
              <w:t>2024/06/19 12:01:02 AM GMT+6</w:t>
            </w:r>
          </w:p>
        </w:tc>
        <w:tc>
          <w:tcPr>
            <w:tcW w:w="3006" w:type="dxa"/>
            <w:tcBorders>
              <w:left w:val="nil"/>
              <w:right w:val="nil"/>
            </w:tcBorders>
            <w:vAlign w:val="center"/>
          </w:tcPr>
          <w:p w14:paraId="6A730CF4" w14:textId="77777777" w:rsidR="009B7F57" w:rsidRPr="00EB44CA" w:rsidRDefault="009B7F57" w:rsidP="005C29AD">
            <w:pPr>
              <w:spacing w:after="240"/>
              <w:jc w:val="center"/>
              <w:rPr>
                <w:sz w:val="20"/>
                <w:szCs w:val="20"/>
              </w:rPr>
            </w:pPr>
            <w:r w:rsidRPr="00EB44CA">
              <w:rPr>
                <w:sz w:val="20"/>
                <w:szCs w:val="20"/>
              </w:rPr>
              <w:t>2024/06/19 7:40:02 PM GMT+6</w:t>
            </w:r>
          </w:p>
        </w:tc>
      </w:tr>
      <w:tr w:rsidR="009B7F57" w14:paraId="35008E11" w14:textId="77777777" w:rsidTr="005C29AD">
        <w:tc>
          <w:tcPr>
            <w:tcW w:w="3005" w:type="dxa"/>
            <w:tcBorders>
              <w:left w:val="nil"/>
              <w:right w:val="nil"/>
            </w:tcBorders>
            <w:vAlign w:val="center"/>
          </w:tcPr>
          <w:p w14:paraId="4D212A46" w14:textId="77777777" w:rsidR="009B7F57" w:rsidRPr="00EB44CA" w:rsidRDefault="009B7F57" w:rsidP="005C29AD">
            <w:pPr>
              <w:spacing w:after="240"/>
              <w:rPr>
                <w:sz w:val="20"/>
                <w:szCs w:val="20"/>
              </w:rPr>
            </w:pPr>
            <w:r w:rsidRPr="00EB44CA">
              <w:rPr>
                <w:sz w:val="20"/>
                <w:szCs w:val="20"/>
              </w:rPr>
              <w:t>Gender</w:t>
            </w:r>
          </w:p>
        </w:tc>
        <w:tc>
          <w:tcPr>
            <w:tcW w:w="3005" w:type="dxa"/>
            <w:tcBorders>
              <w:left w:val="nil"/>
              <w:right w:val="nil"/>
            </w:tcBorders>
            <w:vAlign w:val="center"/>
          </w:tcPr>
          <w:p w14:paraId="0C5F99F2" w14:textId="77777777" w:rsidR="009B7F57" w:rsidRPr="00EB44CA" w:rsidRDefault="009B7F57" w:rsidP="005C29AD">
            <w:pPr>
              <w:spacing w:after="240"/>
              <w:jc w:val="center"/>
              <w:rPr>
                <w:sz w:val="20"/>
                <w:szCs w:val="20"/>
              </w:rPr>
            </w:pPr>
            <w:r w:rsidRPr="00EB44CA">
              <w:rPr>
                <w:sz w:val="20"/>
                <w:szCs w:val="20"/>
              </w:rPr>
              <w:t>Male</w:t>
            </w:r>
          </w:p>
        </w:tc>
        <w:tc>
          <w:tcPr>
            <w:tcW w:w="3006" w:type="dxa"/>
            <w:tcBorders>
              <w:left w:val="nil"/>
              <w:right w:val="nil"/>
            </w:tcBorders>
            <w:vAlign w:val="center"/>
          </w:tcPr>
          <w:p w14:paraId="4AA19C93" w14:textId="77777777" w:rsidR="009B7F57" w:rsidRPr="00EB44CA" w:rsidRDefault="009B7F57" w:rsidP="005C29AD">
            <w:pPr>
              <w:spacing w:after="240"/>
              <w:jc w:val="center"/>
              <w:rPr>
                <w:sz w:val="20"/>
                <w:szCs w:val="20"/>
              </w:rPr>
            </w:pPr>
            <w:r w:rsidRPr="00EB44CA">
              <w:rPr>
                <w:sz w:val="20"/>
                <w:szCs w:val="20"/>
              </w:rPr>
              <w:t>Female</w:t>
            </w:r>
          </w:p>
        </w:tc>
      </w:tr>
      <w:tr w:rsidR="009B7F57" w14:paraId="7E44D15F" w14:textId="77777777" w:rsidTr="005C29AD">
        <w:tc>
          <w:tcPr>
            <w:tcW w:w="3005" w:type="dxa"/>
            <w:tcBorders>
              <w:left w:val="nil"/>
              <w:right w:val="nil"/>
            </w:tcBorders>
            <w:vAlign w:val="center"/>
          </w:tcPr>
          <w:p w14:paraId="7156F3C5" w14:textId="77777777" w:rsidR="009B7F57" w:rsidRPr="00EB44CA" w:rsidRDefault="009B7F57" w:rsidP="005C29AD">
            <w:pPr>
              <w:spacing w:after="240"/>
              <w:rPr>
                <w:sz w:val="20"/>
                <w:szCs w:val="20"/>
              </w:rPr>
            </w:pPr>
            <w:r w:rsidRPr="00EB44CA">
              <w:rPr>
                <w:sz w:val="20"/>
                <w:szCs w:val="20"/>
              </w:rPr>
              <w:t>Age</w:t>
            </w:r>
          </w:p>
        </w:tc>
        <w:tc>
          <w:tcPr>
            <w:tcW w:w="3005" w:type="dxa"/>
            <w:tcBorders>
              <w:left w:val="nil"/>
              <w:right w:val="nil"/>
            </w:tcBorders>
            <w:vAlign w:val="center"/>
          </w:tcPr>
          <w:p w14:paraId="2FD2C55A" w14:textId="77777777" w:rsidR="009B7F57" w:rsidRPr="00EB44CA" w:rsidRDefault="009B7F57" w:rsidP="005C29AD">
            <w:pPr>
              <w:spacing w:after="240"/>
              <w:jc w:val="center"/>
              <w:rPr>
                <w:sz w:val="20"/>
                <w:szCs w:val="20"/>
              </w:rPr>
            </w:pPr>
            <w:r w:rsidRPr="00EB44CA">
              <w:rPr>
                <w:sz w:val="20"/>
                <w:szCs w:val="20"/>
              </w:rPr>
              <w:t>24</w:t>
            </w:r>
          </w:p>
        </w:tc>
        <w:tc>
          <w:tcPr>
            <w:tcW w:w="3006" w:type="dxa"/>
            <w:tcBorders>
              <w:left w:val="nil"/>
              <w:right w:val="nil"/>
            </w:tcBorders>
            <w:vAlign w:val="center"/>
          </w:tcPr>
          <w:p w14:paraId="43E9E00B" w14:textId="77777777" w:rsidR="009B7F57" w:rsidRPr="00EB44CA" w:rsidRDefault="009B7F57" w:rsidP="005C29AD">
            <w:pPr>
              <w:spacing w:after="240"/>
              <w:jc w:val="center"/>
              <w:rPr>
                <w:sz w:val="20"/>
                <w:szCs w:val="20"/>
              </w:rPr>
            </w:pPr>
            <w:r w:rsidRPr="00EB44CA">
              <w:rPr>
                <w:sz w:val="20"/>
                <w:szCs w:val="20"/>
              </w:rPr>
              <w:t>24</w:t>
            </w:r>
          </w:p>
        </w:tc>
      </w:tr>
      <w:tr w:rsidR="009B7F57" w14:paraId="51623215" w14:textId="77777777" w:rsidTr="005C29AD">
        <w:tc>
          <w:tcPr>
            <w:tcW w:w="3005" w:type="dxa"/>
            <w:tcBorders>
              <w:left w:val="nil"/>
              <w:right w:val="nil"/>
            </w:tcBorders>
            <w:vAlign w:val="center"/>
          </w:tcPr>
          <w:p w14:paraId="31211F60" w14:textId="77777777" w:rsidR="009B7F57" w:rsidRPr="00EB44CA" w:rsidRDefault="009B7F57" w:rsidP="005C29AD">
            <w:pPr>
              <w:spacing w:after="240"/>
              <w:rPr>
                <w:sz w:val="20"/>
                <w:szCs w:val="20"/>
              </w:rPr>
            </w:pPr>
            <w:r w:rsidRPr="00EB44CA">
              <w:rPr>
                <w:sz w:val="20"/>
                <w:szCs w:val="20"/>
              </w:rPr>
              <w:t>Relationship Status</w:t>
            </w:r>
          </w:p>
        </w:tc>
        <w:tc>
          <w:tcPr>
            <w:tcW w:w="3005" w:type="dxa"/>
            <w:tcBorders>
              <w:left w:val="nil"/>
              <w:right w:val="nil"/>
            </w:tcBorders>
            <w:vAlign w:val="center"/>
          </w:tcPr>
          <w:p w14:paraId="5EBD7513" w14:textId="77777777" w:rsidR="009B7F57" w:rsidRPr="00EB44CA" w:rsidRDefault="009B7F57" w:rsidP="005C29AD">
            <w:pPr>
              <w:spacing w:after="240"/>
              <w:jc w:val="center"/>
              <w:rPr>
                <w:sz w:val="20"/>
                <w:szCs w:val="20"/>
              </w:rPr>
            </w:pPr>
            <w:r w:rsidRPr="00EB44CA">
              <w:rPr>
                <w:sz w:val="20"/>
                <w:szCs w:val="20"/>
              </w:rPr>
              <w:t>Single</w:t>
            </w:r>
          </w:p>
        </w:tc>
        <w:tc>
          <w:tcPr>
            <w:tcW w:w="3006" w:type="dxa"/>
            <w:tcBorders>
              <w:left w:val="nil"/>
              <w:right w:val="nil"/>
            </w:tcBorders>
            <w:vAlign w:val="center"/>
          </w:tcPr>
          <w:p w14:paraId="25413385" w14:textId="77777777" w:rsidR="009B7F57" w:rsidRPr="00EB44CA" w:rsidRDefault="009B7F57" w:rsidP="005C29AD">
            <w:pPr>
              <w:spacing w:after="240"/>
              <w:jc w:val="center"/>
              <w:rPr>
                <w:sz w:val="20"/>
                <w:szCs w:val="20"/>
              </w:rPr>
            </w:pPr>
            <w:r w:rsidRPr="00EB44CA">
              <w:rPr>
                <w:sz w:val="20"/>
                <w:szCs w:val="20"/>
              </w:rPr>
              <w:t>Single</w:t>
            </w:r>
          </w:p>
        </w:tc>
      </w:tr>
      <w:tr w:rsidR="009B7F57" w14:paraId="4CA99B2F" w14:textId="77777777" w:rsidTr="005C29AD">
        <w:tc>
          <w:tcPr>
            <w:tcW w:w="3005" w:type="dxa"/>
            <w:tcBorders>
              <w:left w:val="nil"/>
              <w:right w:val="nil"/>
            </w:tcBorders>
            <w:vAlign w:val="center"/>
          </w:tcPr>
          <w:p w14:paraId="3F283562" w14:textId="77777777" w:rsidR="009B7F57" w:rsidRPr="00EB44CA" w:rsidRDefault="009B7F57" w:rsidP="005C29AD">
            <w:pPr>
              <w:spacing w:after="240"/>
              <w:rPr>
                <w:sz w:val="20"/>
                <w:szCs w:val="20"/>
              </w:rPr>
            </w:pPr>
            <w:r w:rsidRPr="00EB44CA">
              <w:rPr>
                <w:sz w:val="20"/>
                <w:szCs w:val="20"/>
              </w:rPr>
              <w:t>Socioeconomic Status</w:t>
            </w:r>
          </w:p>
        </w:tc>
        <w:tc>
          <w:tcPr>
            <w:tcW w:w="3005" w:type="dxa"/>
            <w:tcBorders>
              <w:left w:val="nil"/>
              <w:right w:val="nil"/>
            </w:tcBorders>
            <w:vAlign w:val="center"/>
          </w:tcPr>
          <w:p w14:paraId="0494BDB5" w14:textId="77777777" w:rsidR="009B7F57" w:rsidRPr="00EB44CA" w:rsidRDefault="009B7F57" w:rsidP="005C29AD">
            <w:pPr>
              <w:spacing w:after="240"/>
              <w:jc w:val="center"/>
              <w:rPr>
                <w:sz w:val="20"/>
                <w:szCs w:val="20"/>
              </w:rPr>
            </w:pPr>
            <w:r w:rsidRPr="00EB44CA">
              <w:rPr>
                <w:sz w:val="20"/>
                <w:szCs w:val="20"/>
              </w:rPr>
              <w:t>Upper Middle Class</w:t>
            </w:r>
          </w:p>
        </w:tc>
        <w:tc>
          <w:tcPr>
            <w:tcW w:w="3006" w:type="dxa"/>
            <w:tcBorders>
              <w:left w:val="nil"/>
              <w:right w:val="nil"/>
            </w:tcBorders>
            <w:vAlign w:val="center"/>
          </w:tcPr>
          <w:p w14:paraId="593E78B5" w14:textId="77777777" w:rsidR="009B7F57" w:rsidRPr="00EB44CA" w:rsidRDefault="009B7F57" w:rsidP="005C29AD">
            <w:pPr>
              <w:spacing w:after="240"/>
              <w:jc w:val="center"/>
              <w:rPr>
                <w:sz w:val="20"/>
                <w:szCs w:val="20"/>
              </w:rPr>
            </w:pPr>
            <w:r w:rsidRPr="00EB44CA">
              <w:rPr>
                <w:sz w:val="20"/>
                <w:szCs w:val="20"/>
              </w:rPr>
              <w:t>Upper Middle Class</w:t>
            </w:r>
          </w:p>
        </w:tc>
      </w:tr>
      <w:tr w:rsidR="009B7F57" w14:paraId="7FC40305" w14:textId="77777777" w:rsidTr="005C29AD">
        <w:tc>
          <w:tcPr>
            <w:tcW w:w="3005" w:type="dxa"/>
            <w:tcBorders>
              <w:left w:val="nil"/>
              <w:right w:val="nil"/>
            </w:tcBorders>
            <w:vAlign w:val="center"/>
          </w:tcPr>
          <w:p w14:paraId="21B33557" w14:textId="77777777" w:rsidR="009B7F57" w:rsidRPr="00EB44CA" w:rsidRDefault="009B7F57" w:rsidP="005C29AD">
            <w:pPr>
              <w:spacing w:after="240"/>
              <w:rPr>
                <w:sz w:val="20"/>
                <w:szCs w:val="20"/>
              </w:rPr>
            </w:pPr>
            <w:r w:rsidRPr="00EB44CA">
              <w:rPr>
                <w:sz w:val="20"/>
                <w:szCs w:val="20"/>
              </w:rPr>
              <w:t>Education Fee Provider</w:t>
            </w:r>
          </w:p>
        </w:tc>
        <w:tc>
          <w:tcPr>
            <w:tcW w:w="3005" w:type="dxa"/>
            <w:tcBorders>
              <w:left w:val="nil"/>
              <w:right w:val="nil"/>
            </w:tcBorders>
            <w:vAlign w:val="center"/>
          </w:tcPr>
          <w:p w14:paraId="73120738" w14:textId="77777777" w:rsidR="009B7F57" w:rsidRPr="00EB44CA" w:rsidRDefault="009B7F57" w:rsidP="005C29AD">
            <w:pPr>
              <w:spacing w:after="240"/>
              <w:jc w:val="center"/>
              <w:rPr>
                <w:sz w:val="20"/>
                <w:szCs w:val="20"/>
              </w:rPr>
            </w:pPr>
            <w:r w:rsidRPr="00EB44CA">
              <w:rPr>
                <w:sz w:val="20"/>
                <w:szCs w:val="20"/>
              </w:rPr>
              <w:t>Parents</w:t>
            </w:r>
          </w:p>
        </w:tc>
        <w:tc>
          <w:tcPr>
            <w:tcW w:w="3006" w:type="dxa"/>
            <w:tcBorders>
              <w:left w:val="nil"/>
              <w:right w:val="nil"/>
            </w:tcBorders>
            <w:vAlign w:val="center"/>
          </w:tcPr>
          <w:p w14:paraId="15ABED87" w14:textId="77777777" w:rsidR="009B7F57" w:rsidRPr="00EB44CA" w:rsidRDefault="009B7F57" w:rsidP="005C29AD">
            <w:pPr>
              <w:spacing w:after="240"/>
              <w:jc w:val="center"/>
              <w:rPr>
                <w:sz w:val="20"/>
                <w:szCs w:val="20"/>
              </w:rPr>
            </w:pPr>
            <w:r w:rsidRPr="00EB44CA">
              <w:rPr>
                <w:sz w:val="20"/>
                <w:szCs w:val="20"/>
              </w:rPr>
              <w:t>Parents</w:t>
            </w:r>
          </w:p>
        </w:tc>
      </w:tr>
      <w:tr w:rsidR="009B7F57" w14:paraId="485F4EEC" w14:textId="77777777" w:rsidTr="005C29AD">
        <w:tc>
          <w:tcPr>
            <w:tcW w:w="3005" w:type="dxa"/>
            <w:tcBorders>
              <w:left w:val="nil"/>
              <w:right w:val="nil"/>
            </w:tcBorders>
            <w:vAlign w:val="center"/>
          </w:tcPr>
          <w:p w14:paraId="1DB4D2C0" w14:textId="77777777" w:rsidR="009B7F57" w:rsidRPr="00EB44CA" w:rsidRDefault="009B7F57" w:rsidP="005C29AD">
            <w:pPr>
              <w:spacing w:after="240"/>
              <w:rPr>
                <w:sz w:val="20"/>
                <w:szCs w:val="20"/>
              </w:rPr>
            </w:pPr>
            <w:r w:rsidRPr="00EB44CA">
              <w:rPr>
                <w:sz w:val="20"/>
                <w:szCs w:val="20"/>
              </w:rPr>
              <w:t>Scholarships</w:t>
            </w:r>
          </w:p>
        </w:tc>
        <w:tc>
          <w:tcPr>
            <w:tcW w:w="3005" w:type="dxa"/>
            <w:tcBorders>
              <w:left w:val="nil"/>
              <w:right w:val="nil"/>
            </w:tcBorders>
            <w:vAlign w:val="center"/>
          </w:tcPr>
          <w:p w14:paraId="3D05D403" w14:textId="77777777" w:rsidR="009B7F57" w:rsidRPr="00EB44CA" w:rsidRDefault="009B7F57" w:rsidP="005C29AD">
            <w:pPr>
              <w:spacing w:after="240"/>
              <w:jc w:val="center"/>
              <w:rPr>
                <w:sz w:val="20"/>
                <w:szCs w:val="20"/>
              </w:rPr>
            </w:pPr>
            <w:r w:rsidRPr="00EB44CA">
              <w:rPr>
                <w:sz w:val="20"/>
                <w:szCs w:val="20"/>
              </w:rPr>
              <w:t>No</w:t>
            </w:r>
          </w:p>
        </w:tc>
        <w:tc>
          <w:tcPr>
            <w:tcW w:w="3006" w:type="dxa"/>
            <w:tcBorders>
              <w:left w:val="nil"/>
              <w:right w:val="nil"/>
            </w:tcBorders>
            <w:vAlign w:val="center"/>
          </w:tcPr>
          <w:p w14:paraId="23A33CC6" w14:textId="77777777" w:rsidR="009B7F57" w:rsidRPr="00EB44CA" w:rsidRDefault="009B7F57" w:rsidP="005C29AD">
            <w:pPr>
              <w:spacing w:after="240"/>
              <w:jc w:val="center"/>
              <w:rPr>
                <w:sz w:val="20"/>
                <w:szCs w:val="20"/>
              </w:rPr>
            </w:pPr>
            <w:r w:rsidRPr="00EB44CA">
              <w:rPr>
                <w:sz w:val="20"/>
                <w:szCs w:val="20"/>
              </w:rPr>
              <w:t>No</w:t>
            </w:r>
          </w:p>
        </w:tc>
      </w:tr>
      <w:tr w:rsidR="009B7F57" w14:paraId="274C5B83" w14:textId="77777777" w:rsidTr="005C29AD">
        <w:tc>
          <w:tcPr>
            <w:tcW w:w="3005" w:type="dxa"/>
            <w:tcBorders>
              <w:left w:val="nil"/>
              <w:right w:val="nil"/>
            </w:tcBorders>
            <w:vAlign w:val="center"/>
          </w:tcPr>
          <w:p w14:paraId="0B638928" w14:textId="77777777" w:rsidR="009B7F57" w:rsidRPr="00EB44CA" w:rsidRDefault="009B7F57" w:rsidP="005C29AD">
            <w:pPr>
              <w:spacing w:after="240"/>
              <w:rPr>
                <w:sz w:val="20"/>
                <w:szCs w:val="20"/>
              </w:rPr>
            </w:pPr>
            <w:r w:rsidRPr="00EB44CA">
              <w:rPr>
                <w:sz w:val="20"/>
                <w:szCs w:val="20"/>
              </w:rPr>
              <w:t>University Type</w:t>
            </w:r>
          </w:p>
        </w:tc>
        <w:tc>
          <w:tcPr>
            <w:tcW w:w="3005" w:type="dxa"/>
            <w:tcBorders>
              <w:left w:val="nil"/>
              <w:right w:val="nil"/>
            </w:tcBorders>
            <w:vAlign w:val="center"/>
          </w:tcPr>
          <w:p w14:paraId="049179B5" w14:textId="77777777" w:rsidR="009B7F57" w:rsidRPr="00EB44CA" w:rsidRDefault="009B7F57" w:rsidP="005C29AD">
            <w:pPr>
              <w:spacing w:after="240"/>
              <w:jc w:val="center"/>
              <w:rPr>
                <w:sz w:val="20"/>
                <w:szCs w:val="20"/>
              </w:rPr>
            </w:pPr>
            <w:r w:rsidRPr="00EB44CA">
              <w:rPr>
                <w:sz w:val="20"/>
                <w:szCs w:val="20"/>
              </w:rPr>
              <w:t>Private</w:t>
            </w:r>
          </w:p>
        </w:tc>
        <w:tc>
          <w:tcPr>
            <w:tcW w:w="3006" w:type="dxa"/>
            <w:tcBorders>
              <w:left w:val="nil"/>
              <w:right w:val="nil"/>
            </w:tcBorders>
            <w:vAlign w:val="center"/>
          </w:tcPr>
          <w:p w14:paraId="5BF6D4BE" w14:textId="77777777" w:rsidR="009B7F57" w:rsidRPr="00EB44CA" w:rsidRDefault="009B7F57" w:rsidP="005C29AD">
            <w:pPr>
              <w:spacing w:after="240"/>
              <w:jc w:val="center"/>
              <w:rPr>
                <w:sz w:val="20"/>
                <w:szCs w:val="20"/>
              </w:rPr>
            </w:pPr>
            <w:r w:rsidRPr="00EB44CA">
              <w:rPr>
                <w:sz w:val="20"/>
                <w:szCs w:val="20"/>
              </w:rPr>
              <w:t>Private</w:t>
            </w:r>
          </w:p>
        </w:tc>
      </w:tr>
      <w:tr w:rsidR="009B7F57" w14:paraId="09AE4D01" w14:textId="77777777" w:rsidTr="005C29AD">
        <w:tc>
          <w:tcPr>
            <w:tcW w:w="3005" w:type="dxa"/>
            <w:tcBorders>
              <w:left w:val="nil"/>
              <w:right w:val="nil"/>
            </w:tcBorders>
            <w:vAlign w:val="center"/>
          </w:tcPr>
          <w:p w14:paraId="375F65F1" w14:textId="77777777" w:rsidR="009B7F57" w:rsidRPr="00EB44CA" w:rsidRDefault="009B7F57" w:rsidP="005C29AD">
            <w:pPr>
              <w:spacing w:after="240"/>
              <w:rPr>
                <w:sz w:val="20"/>
                <w:szCs w:val="20"/>
              </w:rPr>
            </w:pPr>
            <w:r w:rsidRPr="00EB44CA">
              <w:rPr>
                <w:sz w:val="20"/>
                <w:szCs w:val="20"/>
              </w:rPr>
              <w:t>Current Year of Study</w:t>
            </w:r>
          </w:p>
        </w:tc>
        <w:tc>
          <w:tcPr>
            <w:tcW w:w="3005" w:type="dxa"/>
            <w:tcBorders>
              <w:left w:val="nil"/>
              <w:right w:val="nil"/>
            </w:tcBorders>
            <w:vAlign w:val="center"/>
          </w:tcPr>
          <w:p w14:paraId="61D68E9D" w14:textId="77777777" w:rsidR="009B7F57" w:rsidRPr="00EB44CA" w:rsidRDefault="009B7F57" w:rsidP="005C29AD">
            <w:pPr>
              <w:spacing w:after="240"/>
              <w:jc w:val="center"/>
              <w:rPr>
                <w:sz w:val="20"/>
                <w:szCs w:val="20"/>
              </w:rPr>
            </w:pPr>
            <w:r w:rsidRPr="00EB44CA">
              <w:rPr>
                <w:sz w:val="20"/>
                <w:szCs w:val="20"/>
              </w:rPr>
              <w:t>4</w:t>
            </w:r>
          </w:p>
        </w:tc>
        <w:tc>
          <w:tcPr>
            <w:tcW w:w="3006" w:type="dxa"/>
            <w:tcBorders>
              <w:left w:val="nil"/>
              <w:right w:val="nil"/>
            </w:tcBorders>
            <w:vAlign w:val="center"/>
          </w:tcPr>
          <w:p w14:paraId="7F2A027C" w14:textId="77777777" w:rsidR="009B7F57" w:rsidRPr="00EB44CA" w:rsidRDefault="009B7F57" w:rsidP="005C29AD">
            <w:pPr>
              <w:spacing w:after="240"/>
              <w:jc w:val="center"/>
              <w:rPr>
                <w:sz w:val="20"/>
                <w:szCs w:val="20"/>
              </w:rPr>
            </w:pPr>
            <w:r w:rsidRPr="00EB44CA">
              <w:rPr>
                <w:sz w:val="20"/>
                <w:szCs w:val="20"/>
              </w:rPr>
              <w:t>3</w:t>
            </w:r>
          </w:p>
        </w:tc>
      </w:tr>
      <w:tr w:rsidR="009B7F57" w14:paraId="6DF8D514" w14:textId="77777777" w:rsidTr="005C29AD">
        <w:tc>
          <w:tcPr>
            <w:tcW w:w="3005" w:type="dxa"/>
            <w:tcBorders>
              <w:left w:val="nil"/>
              <w:right w:val="nil"/>
            </w:tcBorders>
            <w:vAlign w:val="center"/>
          </w:tcPr>
          <w:p w14:paraId="7ECCDFDF" w14:textId="77777777" w:rsidR="009B7F57" w:rsidRPr="00EB44CA" w:rsidRDefault="009B7F57" w:rsidP="005C29AD">
            <w:pPr>
              <w:spacing w:after="240"/>
              <w:rPr>
                <w:sz w:val="20"/>
                <w:szCs w:val="20"/>
              </w:rPr>
            </w:pPr>
            <w:r w:rsidRPr="00EB44CA">
              <w:rPr>
                <w:sz w:val="20"/>
                <w:szCs w:val="20"/>
              </w:rPr>
              <w:t>CGPA</w:t>
            </w:r>
          </w:p>
        </w:tc>
        <w:tc>
          <w:tcPr>
            <w:tcW w:w="3005" w:type="dxa"/>
            <w:tcBorders>
              <w:left w:val="nil"/>
              <w:right w:val="nil"/>
            </w:tcBorders>
            <w:vAlign w:val="center"/>
          </w:tcPr>
          <w:p w14:paraId="14B57D47" w14:textId="77777777" w:rsidR="009B7F57" w:rsidRPr="00EB44CA" w:rsidRDefault="009B7F57" w:rsidP="005C29AD">
            <w:pPr>
              <w:spacing w:after="240"/>
              <w:jc w:val="center"/>
              <w:rPr>
                <w:sz w:val="20"/>
                <w:szCs w:val="20"/>
              </w:rPr>
            </w:pPr>
            <w:r w:rsidRPr="00EB44CA">
              <w:rPr>
                <w:sz w:val="20"/>
                <w:szCs w:val="20"/>
              </w:rPr>
              <w:t>3.76</w:t>
            </w:r>
          </w:p>
        </w:tc>
        <w:tc>
          <w:tcPr>
            <w:tcW w:w="3006" w:type="dxa"/>
            <w:tcBorders>
              <w:left w:val="nil"/>
              <w:right w:val="nil"/>
            </w:tcBorders>
            <w:vAlign w:val="center"/>
          </w:tcPr>
          <w:p w14:paraId="1193CBA9" w14:textId="77777777" w:rsidR="009B7F57" w:rsidRPr="00EB44CA" w:rsidRDefault="009B7F57" w:rsidP="005C29AD">
            <w:pPr>
              <w:spacing w:after="240"/>
              <w:jc w:val="center"/>
              <w:rPr>
                <w:sz w:val="20"/>
                <w:szCs w:val="20"/>
              </w:rPr>
            </w:pPr>
            <w:r w:rsidRPr="00EB44CA">
              <w:rPr>
                <w:sz w:val="20"/>
                <w:szCs w:val="20"/>
              </w:rPr>
              <w:t>2.97</w:t>
            </w:r>
          </w:p>
        </w:tc>
      </w:tr>
      <w:tr w:rsidR="009B7F57" w14:paraId="433EA46D" w14:textId="77777777" w:rsidTr="005C29AD">
        <w:tc>
          <w:tcPr>
            <w:tcW w:w="3005" w:type="dxa"/>
            <w:tcBorders>
              <w:left w:val="nil"/>
              <w:right w:val="nil"/>
            </w:tcBorders>
            <w:vAlign w:val="center"/>
          </w:tcPr>
          <w:p w14:paraId="7E13536D" w14:textId="77777777" w:rsidR="009B7F57" w:rsidRPr="00EB44CA" w:rsidRDefault="009B7F57" w:rsidP="005C29AD">
            <w:pPr>
              <w:spacing w:after="240"/>
              <w:rPr>
                <w:sz w:val="20"/>
                <w:szCs w:val="20"/>
              </w:rPr>
            </w:pPr>
            <w:r w:rsidRPr="00EB44CA">
              <w:rPr>
                <w:sz w:val="20"/>
                <w:szCs w:val="20"/>
              </w:rPr>
              <w:t>Living Status</w:t>
            </w:r>
          </w:p>
        </w:tc>
        <w:tc>
          <w:tcPr>
            <w:tcW w:w="3005" w:type="dxa"/>
            <w:tcBorders>
              <w:left w:val="nil"/>
              <w:right w:val="nil"/>
            </w:tcBorders>
            <w:vAlign w:val="center"/>
          </w:tcPr>
          <w:p w14:paraId="467483D8" w14:textId="77777777" w:rsidR="009B7F57" w:rsidRPr="00EB44CA" w:rsidRDefault="009B7F57" w:rsidP="005C29AD">
            <w:pPr>
              <w:spacing w:after="240"/>
              <w:jc w:val="center"/>
              <w:rPr>
                <w:sz w:val="20"/>
                <w:szCs w:val="20"/>
              </w:rPr>
            </w:pPr>
            <w:r w:rsidRPr="00EB44CA">
              <w:rPr>
                <w:sz w:val="20"/>
                <w:szCs w:val="20"/>
              </w:rPr>
              <w:t>With Family</w:t>
            </w:r>
          </w:p>
        </w:tc>
        <w:tc>
          <w:tcPr>
            <w:tcW w:w="3006" w:type="dxa"/>
            <w:tcBorders>
              <w:left w:val="nil"/>
              <w:right w:val="nil"/>
            </w:tcBorders>
            <w:vAlign w:val="center"/>
          </w:tcPr>
          <w:p w14:paraId="7EF2CA0F" w14:textId="77777777" w:rsidR="009B7F57" w:rsidRPr="00EB44CA" w:rsidRDefault="009B7F57" w:rsidP="005C29AD">
            <w:pPr>
              <w:spacing w:after="240"/>
              <w:jc w:val="center"/>
              <w:rPr>
                <w:sz w:val="20"/>
                <w:szCs w:val="20"/>
              </w:rPr>
            </w:pPr>
            <w:r w:rsidRPr="00EB44CA">
              <w:rPr>
                <w:sz w:val="20"/>
                <w:szCs w:val="20"/>
              </w:rPr>
              <w:t>With Family</w:t>
            </w:r>
          </w:p>
        </w:tc>
      </w:tr>
      <w:tr w:rsidR="009B7F57" w14:paraId="5F1F99B0" w14:textId="77777777" w:rsidTr="005C29AD">
        <w:tc>
          <w:tcPr>
            <w:tcW w:w="3005" w:type="dxa"/>
            <w:tcBorders>
              <w:left w:val="nil"/>
              <w:right w:val="nil"/>
            </w:tcBorders>
            <w:vAlign w:val="center"/>
          </w:tcPr>
          <w:p w14:paraId="5536B08E" w14:textId="77777777" w:rsidR="009B7F57" w:rsidRPr="00EB44CA" w:rsidRDefault="009B7F57" w:rsidP="005C29AD">
            <w:pPr>
              <w:spacing w:after="240"/>
              <w:rPr>
                <w:sz w:val="20"/>
                <w:szCs w:val="20"/>
              </w:rPr>
            </w:pPr>
            <w:r w:rsidRPr="00EB44CA">
              <w:rPr>
                <w:sz w:val="20"/>
                <w:szCs w:val="20"/>
              </w:rPr>
              <w:t>Monthly Family Income</w:t>
            </w:r>
          </w:p>
        </w:tc>
        <w:tc>
          <w:tcPr>
            <w:tcW w:w="3005" w:type="dxa"/>
            <w:tcBorders>
              <w:left w:val="nil"/>
              <w:right w:val="nil"/>
            </w:tcBorders>
            <w:vAlign w:val="center"/>
          </w:tcPr>
          <w:p w14:paraId="2E2011F3" w14:textId="77777777" w:rsidR="009B7F57" w:rsidRPr="00EB44CA" w:rsidRDefault="009B7F57" w:rsidP="005C29AD">
            <w:pPr>
              <w:spacing w:after="240"/>
              <w:jc w:val="center"/>
              <w:rPr>
                <w:sz w:val="20"/>
                <w:szCs w:val="20"/>
              </w:rPr>
            </w:pPr>
            <w:r w:rsidRPr="00EB44CA">
              <w:rPr>
                <w:sz w:val="20"/>
                <w:szCs w:val="20"/>
              </w:rPr>
              <w:t>220000</w:t>
            </w:r>
          </w:p>
        </w:tc>
        <w:tc>
          <w:tcPr>
            <w:tcW w:w="3006" w:type="dxa"/>
            <w:tcBorders>
              <w:left w:val="nil"/>
              <w:right w:val="nil"/>
            </w:tcBorders>
            <w:vAlign w:val="center"/>
          </w:tcPr>
          <w:p w14:paraId="1F5D735E" w14:textId="77777777" w:rsidR="009B7F57" w:rsidRPr="00EB44CA" w:rsidRDefault="009B7F57" w:rsidP="005C29AD">
            <w:pPr>
              <w:spacing w:after="240"/>
              <w:jc w:val="center"/>
              <w:rPr>
                <w:sz w:val="20"/>
                <w:szCs w:val="20"/>
              </w:rPr>
            </w:pPr>
            <w:r w:rsidRPr="00EB44CA">
              <w:rPr>
                <w:sz w:val="20"/>
                <w:szCs w:val="20"/>
              </w:rPr>
              <w:t>50000</w:t>
            </w:r>
          </w:p>
        </w:tc>
      </w:tr>
      <w:tr w:rsidR="009B7F57" w14:paraId="024F8D0D" w14:textId="77777777" w:rsidTr="005C29AD">
        <w:tc>
          <w:tcPr>
            <w:tcW w:w="3005" w:type="dxa"/>
            <w:tcBorders>
              <w:left w:val="nil"/>
              <w:right w:val="nil"/>
            </w:tcBorders>
            <w:vAlign w:val="center"/>
          </w:tcPr>
          <w:p w14:paraId="5A57EC26" w14:textId="77777777" w:rsidR="009B7F57" w:rsidRPr="00EB44CA" w:rsidRDefault="009B7F57" w:rsidP="005C29AD">
            <w:pPr>
              <w:spacing w:after="240"/>
              <w:rPr>
                <w:sz w:val="20"/>
                <w:szCs w:val="20"/>
              </w:rPr>
            </w:pPr>
            <w:r w:rsidRPr="00EB44CA">
              <w:rPr>
                <w:sz w:val="20"/>
                <w:szCs w:val="20"/>
              </w:rPr>
              <w:lastRenderedPageBreak/>
              <w:t>Family Members</w:t>
            </w:r>
          </w:p>
        </w:tc>
        <w:tc>
          <w:tcPr>
            <w:tcW w:w="3005" w:type="dxa"/>
            <w:tcBorders>
              <w:left w:val="nil"/>
              <w:right w:val="nil"/>
            </w:tcBorders>
            <w:vAlign w:val="center"/>
          </w:tcPr>
          <w:p w14:paraId="7A0B4744" w14:textId="77777777" w:rsidR="009B7F57" w:rsidRPr="00EB44CA" w:rsidRDefault="009B7F57" w:rsidP="005C29AD">
            <w:pPr>
              <w:spacing w:after="240"/>
              <w:jc w:val="center"/>
              <w:rPr>
                <w:sz w:val="20"/>
                <w:szCs w:val="20"/>
              </w:rPr>
            </w:pPr>
            <w:r w:rsidRPr="00EB44CA">
              <w:rPr>
                <w:sz w:val="20"/>
                <w:szCs w:val="20"/>
              </w:rPr>
              <w:t>4</w:t>
            </w:r>
          </w:p>
        </w:tc>
        <w:tc>
          <w:tcPr>
            <w:tcW w:w="3006" w:type="dxa"/>
            <w:tcBorders>
              <w:left w:val="nil"/>
              <w:right w:val="nil"/>
            </w:tcBorders>
            <w:vAlign w:val="center"/>
          </w:tcPr>
          <w:p w14:paraId="1DB9F743" w14:textId="77777777" w:rsidR="009B7F57" w:rsidRPr="00EB44CA" w:rsidRDefault="009B7F57" w:rsidP="005C29AD">
            <w:pPr>
              <w:spacing w:after="240"/>
              <w:jc w:val="center"/>
              <w:rPr>
                <w:sz w:val="20"/>
                <w:szCs w:val="20"/>
              </w:rPr>
            </w:pPr>
            <w:r w:rsidRPr="00EB44CA">
              <w:rPr>
                <w:sz w:val="20"/>
                <w:szCs w:val="20"/>
              </w:rPr>
              <w:t>6</w:t>
            </w:r>
          </w:p>
        </w:tc>
      </w:tr>
      <w:tr w:rsidR="009B7F57" w14:paraId="1887A641" w14:textId="77777777" w:rsidTr="005C29AD">
        <w:tc>
          <w:tcPr>
            <w:tcW w:w="3005" w:type="dxa"/>
            <w:tcBorders>
              <w:left w:val="nil"/>
              <w:right w:val="nil"/>
            </w:tcBorders>
            <w:vAlign w:val="center"/>
          </w:tcPr>
          <w:p w14:paraId="40E2D8AE" w14:textId="77777777" w:rsidR="009B7F57" w:rsidRPr="00EB44CA" w:rsidRDefault="009B7F57" w:rsidP="005C29AD">
            <w:pPr>
              <w:spacing w:after="240"/>
              <w:rPr>
                <w:sz w:val="20"/>
                <w:szCs w:val="20"/>
              </w:rPr>
            </w:pPr>
            <w:r w:rsidRPr="00EB44CA">
              <w:rPr>
                <w:sz w:val="20"/>
                <w:szCs w:val="20"/>
              </w:rPr>
              <w:t>Average Sleeping Hours</w:t>
            </w:r>
          </w:p>
        </w:tc>
        <w:tc>
          <w:tcPr>
            <w:tcW w:w="3005" w:type="dxa"/>
            <w:tcBorders>
              <w:left w:val="nil"/>
              <w:right w:val="nil"/>
            </w:tcBorders>
            <w:vAlign w:val="center"/>
          </w:tcPr>
          <w:p w14:paraId="599F6474" w14:textId="77777777" w:rsidR="009B7F57" w:rsidRPr="00EB44CA" w:rsidRDefault="009B7F57" w:rsidP="005C29AD">
            <w:pPr>
              <w:spacing w:after="240"/>
              <w:jc w:val="center"/>
              <w:rPr>
                <w:sz w:val="20"/>
                <w:szCs w:val="20"/>
              </w:rPr>
            </w:pPr>
            <w:r w:rsidRPr="00EB44CA">
              <w:rPr>
                <w:sz w:val="20"/>
                <w:szCs w:val="20"/>
              </w:rPr>
              <w:t>8</w:t>
            </w:r>
          </w:p>
        </w:tc>
        <w:tc>
          <w:tcPr>
            <w:tcW w:w="3006" w:type="dxa"/>
            <w:tcBorders>
              <w:left w:val="nil"/>
              <w:right w:val="nil"/>
            </w:tcBorders>
            <w:vAlign w:val="center"/>
          </w:tcPr>
          <w:p w14:paraId="52DD8D6E" w14:textId="77777777" w:rsidR="009B7F57" w:rsidRPr="00EB44CA" w:rsidRDefault="009B7F57" w:rsidP="005C29AD">
            <w:pPr>
              <w:spacing w:after="240"/>
              <w:jc w:val="center"/>
              <w:rPr>
                <w:sz w:val="20"/>
                <w:szCs w:val="20"/>
              </w:rPr>
            </w:pPr>
            <w:r w:rsidRPr="00EB44CA">
              <w:rPr>
                <w:sz w:val="20"/>
                <w:szCs w:val="20"/>
              </w:rPr>
              <w:t>8</w:t>
            </w:r>
          </w:p>
        </w:tc>
      </w:tr>
      <w:tr w:rsidR="009B7F57" w14:paraId="443BB18F" w14:textId="77777777" w:rsidTr="005C29AD">
        <w:tc>
          <w:tcPr>
            <w:tcW w:w="3005" w:type="dxa"/>
            <w:tcBorders>
              <w:left w:val="nil"/>
              <w:right w:val="nil"/>
            </w:tcBorders>
            <w:vAlign w:val="center"/>
          </w:tcPr>
          <w:p w14:paraId="2701D7AB" w14:textId="77777777" w:rsidR="009B7F57" w:rsidRPr="00EB44CA" w:rsidRDefault="009B7F57" w:rsidP="005C29AD">
            <w:pPr>
              <w:spacing w:after="240"/>
              <w:rPr>
                <w:sz w:val="20"/>
                <w:szCs w:val="20"/>
              </w:rPr>
            </w:pPr>
            <w:r w:rsidRPr="00EB44CA">
              <w:rPr>
                <w:sz w:val="20"/>
                <w:szCs w:val="20"/>
              </w:rPr>
              <w:t>Unable to control important things</w:t>
            </w:r>
          </w:p>
        </w:tc>
        <w:tc>
          <w:tcPr>
            <w:tcW w:w="3005" w:type="dxa"/>
            <w:tcBorders>
              <w:left w:val="nil"/>
              <w:right w:val="nil"/>
            </w:tcBorders>
            <w:vAlign w:val="center"/>
          </w:tcPr>
          <w:p w14:paraId="0CBB7C9D"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0FA83D13" w14:textId="77777777" w:rsidR="009B7F57" w:rsidRPr="00EB44CA" w:rsidRDefault="009B7F57" w:rsidP="005C29AD">
            <w:pPr>
              <w:spacing w:after="240"/>
              <w:jc w:val="center"/>
              <w:rPr>
                <w:sz w:val="20"/>
                <w:szCs w:val="20"/>
              </w:rPr>
            </w:pPr>
            <w:r w:rsidRPr="00EB44CA">
              <w:rPr>
                <w:sz w:val="20"/>
                <w:szCs w:val="20"/>
              </w:rPr>
              <w:t>5</w:t>
            </w:r>
          </w:p>
        </w:tc>
      </w:tr>
      <w:tr w:rsidR="009B7F57" w14:paraId="7DA28211" w14:textId="77777777" w:rsidTr="005C29AD">
        <w:tc>
          <w:tcPr>
            <w:tcW w:w="3005" w:type="dxa"/>
            <w:tcBorders>
              <w:left w:val="nil"/>
              <w:right w:val="nil"/>
            </w:tcBorders>
            <w:vAlign w:val="center"/>
          </w:tcPr>
          <w:p w14:paraId="41178282" w14:textId="77777777" w:rsidR="009B7F57" w:rsidRPr="00EB44CA" w:rsidRDefault="009B7F57" w:rsidP="005C29AD">
            <w:pPr>
              <w:spacing w:after="240"/>
              <w:rPr>
                <w:sz w:val="20"/>
                <w:szCs w:val="20"/>
              </w:rPr>
            </w:pPr>
            <w:r w:rsidRPr="00EB44CA">
              <w:rPr>
                <w:sz w:val="20"/>
                <w:szCs w:val="20"/>
              </w:rPr>
              <w:t>Felt nervous and stressed</w:t>
            </w:r>
          </w:p>
        </w:tc>
        <w:tc>
          <w:tcPr>
            <w:tcW w:w="3005" w:type="dxa"/>
            <w:tcBorders>
              <w:left w:val="nil"/>
              <w:right w:val="nil"/>
            </w:tcBorders>
            <w:vAlign w:val="center"/>
          </w:tcPr>
          <w:p w14:paraId="3DF67A9C"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33CA9428" w14:textId="77777777" w:rsidR="009B7F57" w:rsidRPr="00EB44CA" w:rsidRDefault="009B7F57" w:rsidP="005C29AD">
            <w:pPr>
              <w:spacing w:after="240"/>
              <w:jc w:val="center"/>
              <w:rPr>
                <w:sz w:val="20"/>
                <w:szCs w:val="20"/>
              </w:rPr>
            </w:pPr>
            <w:r w:rsidRPr="00EB44CA">
              <w:rPr>
                <w:sz w:val="20"/>
                <w:szCs w:val="20"/>
              </w:rPr>
              <w:t>5</w:t>
            </w:r>
          </w:p>
        </w:tc>
      </w:tr>
      <w:tr w:rsidR="009B7F57" w14:paraId="1A1F50A2" w14:textId="77777777" w:rsidTr="005C29AD">
        <w:tc>
          <w:tcPr>
            <w:tcW w:w="3005" w:type="dxa"/>
            <w:tcBorders>
              <w:left w:val="nil"/>
              <w:right w:val="nil"/>
            </w:tcBorders>
            <w:vAlign w:val="center"/>
          </w:tcPr>
          <w:p w14:paraId="5E64C793" w14:textId="77777777" w:rsidR="009B7F57" w:rsidRPr="00EB44CA" w:rsidRDefault="009B7F57" w:rsidP="005C29AD">
            <w:pPr>
              <w:spacing w:after="240"/>
              <w:rPr>
                <w:sz w:val="20"/>
                <w:szCs w:val="20"/>
              </w:rPr>
            </w:pPr>
            <w:r w:rsidRPr="00EB44CA">
              <w:rPr>
                <w:sz w:val="20"/>
                <w:szCs w:val="20"/>
              </w:rPr>
              <w:t>Angered by things outside your control</w:t>
            </w:r>
          </w:p>
        </w:tc>
        <w:tc>
          <w:tcPr>
            <w:tcW w:w="3005" w:type="dxa"/>
            <w:tcBorders>
              <w:left w:val="nil"/>
              <w:right w:val="nil"/>
            </w:tcBorders>
            <w:vAlign w:val="center"/>
          </w:tcPr>
          <w:p w14:paraId="5B4946EA"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25326A28" w14:textId="77777777" w:rsidR="009B7F57" w:rsidRPr="00EB44CA" w:rsidRDefault="009B7F57" w:rsidP="005C29AD">
            <w:pPr>
              <w:spacing w:after="240"/>
              <w:jc w:val="center"/>
              <w:rPr>
                <w:sz w:val="20"/>
                <w:szCs w:val="20"/>
              </w:rPr>
            </w:pPr>
            <w:r w:rsidRPr="00EB44CA">
              <w:rPr>
                <w:sz w:val="20"/>
                <w:szCs w:val="20"/>
              </w:rPr>
              <w:t>5</w:t>
            </w:r>
          </w:p>
        </w:tc>
      </w:tr>
      <w:tr w:rsidR="009B7F57" w14:paraId="16FBF14A" w14:textId="77777777" w:rsidTr="005C29AD">
        <w:tc>
          <w:tcPr>
            <w:tcW w:w="3005" w:type="dxa"/>
            <w:tcBorders>
              <w:left w:val="nil"/>
              <w:right w:val="nil"/>
            </w:tcBorders>
            <w:vAlign w:val="center"/>
          </w:tcPr>
          <w:p w14:paraId="3E6510FF" w14:textId="77777777" w:rsidR="009B7F57" w:rsidRPr="00EB44CA" w:rsidRDefault="009B7F57" w:rsidP="005C29AD">
            <w:pPr>
              <w:spacing w:after="240"/>
              <w:rPr>
                <w:sz w:val="20"/>
                <w:szCs w:val="20"/>
              </w:rPr>
            </w:pPr>
            <w:r w:rsidRPr="00EB44CA">
              <w:rPr>
                <w:sz w:val="20"/>
                <w:szCs w:val="20"/>
              </w:rPr>
              <w:t>Could not cope with responsibilities</w:t>
            </w:r>
          </w:p>
        </w:tc>
        <w:tc>
          <w:tcPr>
            <w:tcW w:w="3005" w:type="dxa"/>
            <w:tcBorders>
              <w:left w:val="nil"/>
              <w:right w:val="nil"/>
            </w:tcBorders>
            <w:vAlign w:val="center"/>
          </w:tcPr>
          <w:p w14:paraId="4649DEAD"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1AF07D19" w14:textId="77777777" w:rsidR="009B7F57" w:rsidRPr="00EB44CA" w:rsidRDefault="009B7F57" w:rsidP="005C29AD">
            <w:pPr>
              <w:spacing w:after="240"/>
              <w:jc w:val="center"/>
              <w:rPr>
                <w:sz w:val="20"/>
                <w:szCs w:val="20"/>
              </w:rPr>
            </w:pPr>
            <w:r w:rsidRPr="00EB44CA">
              <w:rPr>
                <w:sz w:val="20"/>
                <w:szCs w:val="20"/>
              </w:rPr>
              <w:t>5</w:t>
            </w:r>
          </w:p>
        </w:tc>
      </w:tr>
      <w:tr w:rsidR="009B7F57" w14:paraId="5CDD1074" w14:textId="77777777" w:rsidTr="005C29AD">
        <w:tc>
          <w:tcPr>
            <w:tcW w:w="3005" w:type="dxa"/>
            <w:tcBorders>
              <w:left w:val="nil"/>
              <w:bottom w:val="single" w:sz="4" w:space="0" w:color="auto"/>
              <w:right w:val="nil"/>
            </w:tcBorders>
            <w:vAlign w:val="center"/>
          </w:tcPr>
          <w:p w14:paraId="5A64691E" w14:textId="77777777" w:rsidR="009B7F57" w:rsidRPr="00EB44CA" w:rsidRDefault="009B7F57" w:rsidP="005C29AD">
            <w:pPr>
              <w:spacing w:after="240"/>
              <w:rPr>
                <w:sz w:val="20"/>
                <w:szCs w:val="20"/>
              </w:rPr>
            </w:pPr>
            <w:r w:rsidRPr="00EB44CA">
              <w:rPr>
                <w:sz w:val="20"/>
                <w:szCs w:val="20"/>
              </w:rPr>
              <w:t>Felt difficulties piling up</w:t>
            </w:r>
          </w:p>
        </w:tc>
        <w:tc>
          <w:tcPr>
            <w:tcW w:w="3005" w:type="dxa"/>
            <w:tcBorders>
              <w:left w:val="nil"/>
              <w:bottom w:val="single" w:sz="4" w:space="0" w:color="auto"/>
              <w:right w:val="nil"/>
            </w:tcBorders>
            <w:vAlign w:val="center"/>
          </w:tcPr>
          <w:p w14:paraId="59217771"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bottom w:val="single" w:sz="4" w:space="0" w:color="auto"/>
              <w:right w:val="nil"/>
            </w:tcBorders>
            <w:vAlign w:val="center"/>
          </w:tcPr>
          <w:p w14:paraId="73F01831" w14:textId="77777777" w:rsidR="009B7F57" w:rsidRPr="00EB44CA" w:rsidRDefault="009B7F57" w:rsidP="005C29AD">
            <w:pPr>
              <w:spacing w:after="240"/>
              <w:jc w:val="center"/>
              <w:rPr>
                <w:sz w:val="20"/>
                <w:szCs w:val="20"/>
              </w:rPr>
            </w:pPr>
            <w:r w:rsidRPr="00EB44CA">
              <w:rPr>
                <w:sz w:val="20"/>
                <w:szCs w:val="20"/>
              </w:rPr>
              <w:t>5</w:t>
            </w:r>
          </w:p>
        </w:tc>
      </w:tr>
      <w:tr w:rsidR="009B7F57" w14:paraId="25F02302" w14:textId="77777777" w:rsidTr="005C29AD">
        <w:tc>
          <w:tcPr>
            <w:tcW w:w="3005" w:type="dxa"/>
            <w:tcBorders>
              <w:left w:val="nil"/>
              <w:right w:val="nil"/>
            </w:tcBorders>
            <w:vAlign w:val="center"/>
          </w:tcPr>
          <w:p w14:paraId="27CD0756" w14:textId="77777777" w:rsidR="009B7F57" w:rsidRPr="00EB44CA" w:rsidRDefault="009B7F57" w:rsidP="005C29AD">
            <w:pPr>
              <w:spacing w:after="240"/>
              <w:rPr>
                <w:sz w:val="20"/>
                <w:szCs w:val="20"/>
              </w:rPr>
            </w:pPr>
            <w:r w:rsidRPr="00EB44CA">
              <w:rPr>
                <w:sz w:val="20"/>
                <w:szCs w:val="20"/>
              </w:rPr>
              <w:t>Felt things going your way</w:t>
            </w:r>
          </w:p>
        </w:tc>
        <w:tc>
          <w:tcPr>
            <w:tcW w:w="3005" w:type="dxa"/>
            <w:tcBorders>
              <w:left w:val="nil"/>
              <w:right w:val="nil"/>
            </w:tcBorders>
            <w:vAlign w:val="center"/>
          </w:tcPr>
          <w:p w14:paraId="7F9F35DF"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19E29EBB" w14:textId="77777777" w:rsidR="009B7F57" w:rsidRPr="00EB44CA" w:rsidRDefault="009B7F57" w:rsidP="005C29AD">
            <w:pPr>
              <w:spacing w:after="240"/>
              <w:jc w:val="center"/>
              <w:rPr>
                <w:sz w:val="20"/>
                <w:szCs w:val="20"/>
              </w:rPr>
            </w:pPr>
            <w:r w:rsidRPr="00EB44CA">
              <w:rPr>
                <w:sz w:val="20"/>
                <w:szCs w:val="20"/>
              </w:rPr>
              <w:t>5</w:t>
            </w:r>
          </w:p>
        </w:tc>
      </w:tr>
      <w:tr w:rsidR="009B7F57" w14:paraId="6DC99421" w14:textId="77777777" w:rsidTr="005C29AD">
        <w:tc>
          <w:tcPr>
            <w:tcW w:w="3005" w:type="dxa"/>
            <w:tcBorders>
              <w:left w:val="nil"/>
              <w:right w:val="nil"/>
            </w:tcBorders>
            <w:vAlign w:val="center"/>
          </w:tcPr>
          <w:p w14:paraId="087BCA9D" w14:textId="77777777" w:rsidR="009B7F57" w:rsidRPr="00EB44CA" w:rsidRDefault="009B7F57" w:rsidP="005C29AD">
            <w:pPr>
              <w:spacing w:after="240"/>
              <w:rPr>
                <w:sz w:val="20"/>
                <w:szCs w:val="20"/>
              </w:rPr>
            </w:pPr>
            <w:r w:rsidRPr="00EB44CA">
              <w:rPr>
                <w:sz w:val="20"/>
                <w:szCs w:val="20"/>
              </w:rPr>
              <w:t>Able to control irritations</w:t>
            </w:r>
          </w:p>
        </w:tc>
        <w:tc>
          <w:tcPr>
            <w:tcW w:w="3005" w:type="dxa"/>
            <w:tcBorders>
              <w:left w:val="nil"/>
              <w:right w:val="nil"/>
            </w:tcBorders>
            <w:vAlign w:val="center"/>
          </w:tcPr>
          <w:p w14:paraId="10189612"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1A41EA63" w14:textId="77777777" w:rsidR="009B7F57" w:rsidRPr="00EB44CA" w:rsidRDefault="009B7F57" w:rsidP="005C29AD">
            <w:pPr>
              <w:spacing w:after="240"/>
              <w:jc w:val="center"/>
              <w:rPr>
                <w:sz w:val="20"/>
                <w:szCs w:val="20"/>
              </w:rPr>
            </w:pPr>
            <w:r w:rsidRPr="00EB44CA">
              <w:rPr>
                <w:sz w:val="20"/>
                <w:szCs w:val="20"/>
              </w:rPr>
              <w:t>4</w:t>
            </w:r>
          </w:p>
        </w:tc>
      </w:tr>
      <w:tr w:rsidR="009B7F57" w14:paraId="75080789" w14:textId="77777777" w:rsidTr="005C29AD">
        <w:tc>
          <w:tcPr>
            <w:tcW w:w="3005" w:type="dxa"/>
            <w:tcBorders>
              <w:left w:val="nil"/>
              <w:right w:val="nil"/>
            </w:tcBorders>
            <w:vAlign w:val="center"/>
          </w:tcPr>
          <w:p w14:paraId="6944B0B8" w14:textId="77777777" w:rsidR="009B7F57" w:rsidRPr="00EB44CA" w:rsidRDefault="009B7F57" w:rsidP="005C29AD">
            <w:pPr>
              <w:spacing w:after="240"/>
              <w:rPr>
                <w:sz w:val="20"/>
                <w:szCs w:val="20"/>
              </w:rPr>
            </w:pPr>
            <w:r w:rsidRPr="00EB44CA">
              <w:rPr>
                <w:sz w:val="20"/>
                <w:szCs w:val="20"/>
              </w:rPr>
              <w:t>Felt confident handling problems</w:t>
            </w:r>
          </w:p>
        </w:tc>
        <w:tc>
          <w:tcPr>
            <w:tcW w:w="3005" w:type="dxa"/>
            <w:tcBorders>
              <w:left w:val="nil"/>
              <w:right w:val="nil"/>
            </w:tcBorders>
            <w:vAlign w:val="center"/>
          </w:tcPr>
          <w:p w14:paraId="0B3C7111"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28CA5412" w14:textId="77777777" w:rsidR="009B7F57" w:rsidRPr="00EB44CA" w:rsidRDefault="009B7F57" w:rsidP="005C29AD">
            <w:pPr>
              <w:spacing w:after="240"/>
              <w:jc w:val="center"/>
              <w:rPr>
                <w:sz w:val="20"/>
                <w:szCs w:val="20"/>
              </w:rPr>
            </w:pPr>
            <w:r w:rsidRPr="00EB44CA">
              <w:rPr>
                <w:sz w:val="20"/>
                <w:szCs w:val="20"/>
              </w:rPr>
              <w:t>5</w:t>
            </w:r>
          </w:p>
        </w:tc>
      </w:tr>
      <w:tr w:rsidR="009B7F57" w14:paraId="30FD6F80" w14:textId="77777777" w:rsidTr="005C29AD">
        <w:tc>
          <w:tcPr>
            <w:tcW w:w="3005" w:type="dxa"/>
            <w:tcBorders>
              <w:left w:val="nil"/>
              <w:right w:val="nil"/>
            </w:tcBorders>
            <w:vAlign w:val="center"/>
          </w:tcPr>
          <w:p w14:paraId="5015FA2B" w14:textId="77777777" w:rsidR="009B7F57" w:rsidRPr="00EB44CA" w:rsidRDefault="009B7F57" w:rsidP="005C29AD">
            <w:pPr>
              <w:spacing w:after="240"/>
              <w:rPr>
                <w:sz w:val="20"/>
                <w:szCs w:val="20"/>
              </w:rPr>
            </w:pPr>
            <w:r w:rsidRPr="00EB44CA">
              <w:rPr>
                <w:sz w:val="20"/>
                <w:szCs w:val="20"/>
              </w:rPr>
              <w:t>Felt on top of things</w:t>
            </w:r>
          </w:p>
        </w:tc>
        <w:tc>
          <w:tcPr>
            <w:tcW w:w="3005" w:type="dxa"/>
            <w:tcBorders>
              <w:left w:val="nil"/>
              <w:right w:val="nil"/>
            </w:tcBorders>
            <w:vAlign w:val="center"/>
          </w:tcPr>
          <w:p w14:paraId="762B36EF" w14:textId="77777777" w:rsidR="009B7F57" w:rsidRPr="00EB44CA" w:rsidRDefault="009B7F57" w:rsidP="005C29AD">
            <w:pPr>
              <w:spacing w:after="240"/>
              <w:jc w:val="center"/>
              <w:rPr>
                <w:sz w:val="20"/>
                <w:szCs w:val="20"/>
              </w:rPr>
            </w:pPr>
            <w:r w:rsidRPr="00EB44CA">
              <w:rPr>
                <w:sz w:val="20"/>
                <w:szCs w:val="20"/>
              </w:rPr>
              <w:t>1</w:t>
            </w:r>
          </w:p>
        </w:tc>
        <w:tc>
          <w:tcPr>
            <w:tcW w:w="3006" w:type="dxa"/>
            <w:tcBorders>
              <w:left w:val="nil"/>
              <w:right w:val="nil"/>
            </w:tcBorders>
            <w:vAlign w:val="center"/>
          </w:tcPr>
          <w:p w14:paraId="72E75D91" w14:textId="77777777" w:rsidR="009B7F57" w:rsidRPr="00EB44CA" w:rsidRDefault="009B7F57" w:rsidP="005C29AD">
            <w:pPr>
              <w:spacing w:after="240"/>
              <w:jc w:val="center"/>
              <w:rPr>
                <w:sz w:val="20"/>
                <w:szCs w:val="20"/>
              </w:rPr>
            </w:pPr>
            <w:r w:rsidRPr="00EB44CA">
              <w:rPr>
                <w:sz w:val="20"/>
                <w:szCs w:val="20"/>
              </w:rPr>
              <w:t>5</w:t>
            </w:r>
          </w:p>
        </w:tc>
      </w:tr>
    </w:tbl>
    <w:p w14:paraId="05AB43AA" w14:textId="77777777" w:rsidR="009B7F57" w:rsidRDefault="009B7F57" w:rsidP="009B7F57">
      <w:pPr>
        <w:spacing w:after="240"/>
      </w:pPr>
    </w:p>
    <w:p w14:paraId="593BD09D" w14:textId="73AB62A4" w:rsidR="00800F2A" w:rsidRPr="00800F2A" w:rsidRDefault="00800F2A" w:rsidP="00800F2A">
      <w:r w:rsidRPr="00800F2A">
        <w:t>C: First Two Rows of Cleaned Dataset.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8"/>
        <w:gridCol w:w="562"/>
        <w:gridCol w:w="516"/>
        <w:gridCol w:w="544"/>
        <w:gridCol w:w="526"/>
        <w:gridCol w:w="534"/>
        <w:gridCol w:w="648"/>
        <w:gridCol w:w="451"/>
        <w:gridCol w:w="763"/>
        <w:gridCol w:w="506"/>
        <w:gridCol w:w="816"/>
        <w:gridCol w:w="665"/>
        <w:gridCol w:w="678"/>
        <w:gridCol w:w="524"/>
        <w:gridCol w:w="715"/>
      </w:tblGrid>
      <w:tr w:rsidR="009B7F57" w14:paraId="6ADB673F" w14:textId="77777777" w:rsidTr="005C29AD">
        <w:tc>
          <w:tcPr>
            <w:tcW w:w="578" w:type="dxa"/>
            <w:vAlign w:val="center"/>
          </w:tcPr>
          <w:p w14:paraId="05CCC9BD" w14:textId="77777777" w:rsidR="009B7F57" w:rsidRPr="00EB44CA" w:rsidRDefault="009B7F57" w:rsidP="005C29AD">
            <w:pPr>
              <w:spacing w:after="240"/>
              <w:jc w:val="center"/>
              <w:rPr>
                <w:sz w:val="20"/>
                <w:szCs w:val="20"/>
              </w:rPr>
            </w:pPr>
            <w:r w:rsidRPr="00EB44CA">
              <w:rPr>
                <w:rStyle w:val="Strong"/>
                <w:sz w:val="20"/>
                <w:szCs w:val="20"/>
              </w:rPr>
              <w:t>Gen</w:t>
            </w:r>
          </w:p>
        </w:tc>
        <w:tc>
          <w:tcPr>
            <w:tcW w:w="562" w:type="dxa"/>
            <w:vAlign w:val="center"/>
          </w:tcPr>
          <w:p w14:paraId="1C63FC3A" w14:textId="77777777" w:rsidR="009B7F57" w:rsidRPr="00EB44CA" w:rsidRDefault="009B7F57" w:rsidP="005C29AD">
            <w:pPr>
              <w:spacing w:after="240"/>
              <w:jc w:val="center"/>
              <w:rPr>
                <w:sz w:val="20"/>
                <w:szCs w:val="20"/>
              </w:rPr>
            </w:pPr>
            <w:r w:rsidRPr="00EB44CA">
              <w:rPr>
                <w:rStyle w:val="Strong"/>
                <w:sz w:val="20"/>
                <w:szCs w:val="20"/>
              </w:rPr>
              <w:t>Age</w:t>
            </w:r>
          </w:p>
        </w:tc>
        <w:tc>
          <w:tcPr>
            <w:tcW w:w="516" w:type="dxa"/>
            <w:vAlign w:val="center"/>
          </w:tcPr>
          <w:p w14:paraId="42D0091F" w14:textId="77777777" w:rsidR="009B7F57" w:rsidRPr="00EB44CA" w:rsidRDefault="009B7F57" w:rsidP="005C29AD">
            <w:pPr>
              <w:spacing w:after="240"/>
              <w:jc w:val="center"/>
              <w:rPr>
                <w:sz w:val="20"/>
                <w:szCs w:val="20"/>
              </w:rPr>
            </w:pPr>
            <w:r w:rsidRPr="00EB44CA">
              <w:rPr>
                <w:rStyle w:val="Strong"/>
                <w:sz w:val="20"/>
                <w:szCs w:val="20"/>
              </w:rPr>
              <w:t>Rel</w:t>
            </w:r>
          </w:p>
        </w:tc>
        <w:tc>
          <w:tcPr>
            <w:tcW w:w="544" w:type="dxa"/>
            <w:vAlign w:val="center"/>
          </w:tcPr>
          <w:p w14:paraId="41FAD21D" w14:textId="77777777" w:rsidR="009B7F57" w:rsidRPr="00EB44CA" w:rsidRDefault="009B7F57" w:rsidP="005C29AD">
            <w:pPr>
              <w:spacing w:after="240"/>
              <w:jc w:val="center"/>
              <w:rPr>
                <w:sz w:val="20"/>
                <w:szCs w:val="20"/>
              </w:rPr>
            </w:pPr>
            <w:r w:rsidRPr="00EB44CA">
              <w:rPr>
                <w:rStyle w:val="Strong"/>
                <w:sz w:val="20"/>
                <w:szCs w:val="20"/>
              </w:rPr>
              <w:t>SES</w:t>
            </w:r>
          </w:p>
        </w:tc>
        <w:tc>
          <w:tcPr>
            <w:tcW w:w="526" w:type="dxa"/>
            <w:vAlign w:val="center"/>
          </w:tcPr>
          <w:p w14:paraId="4E5B72EF" w14:textId="77777777" w:rsidR="009B7F57" w:rsidRPr="00EB44CA" w:rsidRDefault="009B7F57" w:rsidP="005C29AD">
            <w:pPr>
              <w:spacing w:after="240"/>
              <w:jc w:val="center"/>
              <w:rPr>
                <w:sz w:val="20"/>
                <w:szCs w:val="20"/>
              </w:rPr>
            </w:pPr>
            <w:r w:rsidRPr="00EB44CA">
              <w:rPr>
                <w:rStyle w:val="Strong"/>
                <w:sz w:val="20"/>
                <w:szCs w:val="20"/>
              </w:rPr>
              <w:t>Fee</w:t>
            </w:r>
          </w:p>
        </w:tc>
        <w:tc>
          <w:tcPr>
            <w:tcW w:w="534" w:type="dxa"/>
            <w:vAlign w:val="center"/>
          </w:tcPr>
          <w:p w14:paraId="255510D8" w14:textId="77777777" w:rsidR="009B7F57" w:rsidRPr="00EB44CA" w:rsidRDefault="009B7F57" w:rsidP="005C29AD">
            <w:pPr>
              <w:spacing w:after="240"/>
              <w:jc w:val="center"/>
              <w:rPr>
                <w:sz w:val="20"/>
                <w:szCs w:val="20"/>
              </w:rPr>
            </w:pPr>
            <w:r w:rsidRPr="00EB44CA">
              <w:rPr>
                <w:rStyle w:val="Strong"/>
                <w:sz w:val="20"/>
                <w:szCs w:val="20"/>
              </w:rPr>
              <w:t>Sch</w:t>
            </w:r>
          </w:p>
        </w:tc>
        <w:tc>
          <w:tcPr>
            <w:tcW w:w="648" w:type="dxa"/>
            <w:vAlign w:val="center"/>
          </w:tcPr>
          <w:p w14:paraId="4B73F606" w14:textId="77777777" w:rsidR="009B7F57" w:rsidRPr="00EB44CA" w:rsidRDefault="009B7F57" w:rsidP="005C29AD">
            <w:pPr>
              <w:spacing w:after="240"/>
              <w:jc w:val="center"/>
              <w:rPr>
                <w:sz w:val="20"/>
                <w:szCs w:val="20"/>
              </w:rPr>
            </w:pPr>
            <w:r w:rsidRPr="00EB44CA">
              <w:rPr>
                <w:rStyle w:val="Strong"/>
                <w:sz w:val="20"/>
                <w:szCs w:val="20"/>
              </w:rPr>
              <w:t>Univ</w:t>
            </w:r>
          </w:p>
        </w:tc>
        <w:tc>
          <w:tcPr>
            <w:tcW w:w="451" w:type="dxa"/>
            <w:vAlign w:val="center"/>
          </w:tcPr>
          <w:p w14:paraId="3AB22FED" w14:textId="77777777" w:rsidR="009B7F57" w:rsidRPr="00EB44CA" w:rsidRDefault="009B7F57" w:rsidP="005C29AD">
            <w:pPr>
              <w:spacing w:after="240"/>
              <w:jc w:val="center"/>
              <w:rPr>
                <w:sz w:val="20"/>
                <w:szCs w:val="20"/>
              </w:rPr>
            </w:pPr>
            <w:r w:rsidRPr="00EB44CA">
              <w:rPr>
                <w:rStyle w:val="Strong"/>
                <w:sz w:val="20"/>
                <w:szCs w:val="20"/>
              </w:rPr>
              <w:t>Yr</w:t>
            </w:r>
          </w:p>
        </w:tc>
        <w:tc>
          <w:tcPr>
            <w:tcW w:w="763" w:type="dxa"/>
            <w:vAlign w:val="center"/>
          </w:tcPr>
          <w:p w14:paraId="60E57894" w14:textId="77777777" w:rsidR="009B7F57" w:rsidRPr="00EB44CA" w:rsidRDefault="009B7F57" w:rsidP="005C29AD">
            <w:pPr>
              <w:spacing w:after="240"/>
              <w:jc w:val="center"/>
              <w:rPr>
                <w:sz w:val="20"/>
                <w:szCs w:val="20"/>
              </w:rPr>
            </w:pPr>
            <w:r w:rsidRPr="00EB44CA">
              <w:rPr>
                <w:rStyle w:val="Strong"/>
                <w:sz w:val="20"/>
                <w:szCs w:val="20"/>
              </w:rPr>
              <w:t>CGPA</w:t>
            </w:r>
          </w:p>
        </w:tc>
        <w:tc>
          <w:tcPr>
            <w:tcW w:w="506" w:type="dxa"/>
            <w:vAlign w:val="center"/>
          </w:tcPr>
          <w:p w14:paraId="5E4FABAB" w14:textId="77777777" w:rsidR="009B7F57" w:rsidRPr="00EB44CA" w:rsidRDefault="009B7F57" w:rsidP="005C29AD">
            <w:pPr>
              <w:spacing w:after="240"/>
              <w:jc w:val="center"/>
              <w:rPr>
                <w:sz w:val="20"/>
                <w:szCs w:val="20"/>
              </w:rPr>
            </w:pPr>
            <w:r w:rsidRPr="00EB44CA">
              <w:rPr>
                <w:rStyle w:val="Strong"/>
                <w:sz w:val="20"/>
                <w:szCs w:val="20"/>
              </w:rPr>
              <w:t>Liv</w:t>
            </w:r>
          </w:p>
        </w:tc>
        <w:tc>
          <w:tcPr>
            <w:tcW w:w="816" w:type="dxa"/>
            <w:vAlign w:val="center"/>
          </w:tcPr>
          <w:p w14:paraId="31799A29" w14:textId="77777777" w:rsidR="009B7F57" w:rsidRPr="00EB44CA" w:rsidRDefault="009B7F57" w:rsidP="005C29AD">
            <w:pPr>
              <w:spacing w:after="240"/>
              <w:jc w:val="center"/>
              <w:rPr>
                <w:sz w:val="20"/>
                <w:szCs w:val="20"/>
              </w:rPr>
            </w:pPr>
            <w:r w:rsidRPr="00EB44CA">
              <w:rPr>
                <w:rStyle w:val="Strong"/>
                <w:sz w:val="20"/>
                <w:szCs w:val="20"/>
              </w:rPr>
              <w:t>Inc</w:t>
            </w:r>
          </w:p>
        </w:tc>
        <w:tc>
          <w:tcPr>
            <w:tcW w:w="665" w:type="dxa"/>
            <w:vAlign w:val="center"/>
          </w:tcPr>
          <w:p w14:paraId="211BE4F9" w14:textId="77777777" w:rsidR="009B7F57" w:rsidRPr="00EB44CA" w:rsidRDefault="009B7F57" w:rsidP="005C29AD">
            <w:pPr>
              <w:spacing w:after="240"/>
              <w:jc w:val="center"/>
              <w:rPr>
                <w:sz w:val="20"/>
                <w:szCs w:val="20"/>
              </w:rPr>
            </w:pPr>
            <w:r w:rsidRPr="00EB44CA">
              <w:rPr>
                <w:rStyle w:val="Strong"/>
                <w:sz w:val="20"/>
                <w:szCs w:val="20"/>
              </w:rPr>
              <w:t>Mem</w:t>
            </w:r>
          </w:p>
        </w:tc>
        <w:tc>
          <w:tcPr>
            <w:tcW w:w="678" w:type="dxa"/>
            <w:vAlign w:val="center"/>
          </w:tcPr>
          <w:p w14:paraId="462BE246" w14:textId="77777777" w:rsidR="009B7F57" w:rsidRPr="00EB44CA" w:rsidRDefault="009B7F57" w:rsidP="005C29AD">
            <w:pPr>
              <w:spacing w:after="240"/>
              <w:jc w:val="center"/>
              <w:rPr>
                <w:sz w:val="20"/>
                <w:szCs w:val="20"/>
              </w:rPr>
            </w:pPr>
            <w:r w:rsidRPr="00EB44CA">
              <w:rPr>
                <w:rStyle w:val="Strong"/>
                <w:sz w:val="20"/>
                <w:szCs w:val="20"/>
              </w:rPr>
              <w:t>Sleep</w:t>
            </w:r>
          </w:p>
        </w:tc>
        <w:tc>
          <w:tcPr>
            <w:tcW w:w="524" w:type="dxa"/>
            <w:vAlign w:val="center"/>
          </w:tcPr>
          <w:p w14:paraId="1C946BA7" w14:textId="77777777" w:rsidR="009B7F57" w:rsidRPr="00EB44CA" w:rsidRDefault="009B7F57" w:rsidP="005C29AD">
            <w:pPr>
              <w:spacing w:after="240"/>
              <w:jc w:val="center"/>
              <w:rPr>
                <w:sz w:val="20"/>
                <w:szCs w:val="20"/>
              </w:rPr>
            </w:pPr>
            <w:r w:rsidRPr="00EB44CA">
              <w:rPr>
                <w:rStyle w:val="Strong"/>
                <w:sz w:val="20"/>
                <w:szCs w:val="20"/>
              </w:rPr>
              <w:t>Tot</w:t>
            </w:r>
          </w:p>
        </w:tc>
        <w:tc>
          <w:tcPr>
            <w:tcW w:w="715" w:type="dxa"/>
            <w:vAlign w:val="center"/>
          </w:tcPr>
          <w:p w14:paraId="04F29F71" w14:textId="77777777" w:rsidR="009B7F57" w:rsidRPr="00EB44CA" w:rsidRDefault="009B7F57" w:rsidP="005C29AD">
            <w:pPr>
              <w:spacing w:after="240"/>
              <w:jc w:val="center"/>
              <w:rPr>
                <w:sz w:val="20"/>
                <w:szCs w:val="20"/>
              </w:rPr>
            </w:pPr>
            <w:r w:rsidRPr="00EB44CA">
              <w:rPr>
                <w:rStyle w:val="Strong"/>
                <w:sz w:val="20"/>
                <w:szCs w:val="20"/>
              </w:rPr>
              <w:t>Stress</w:t>
            </w:r>
          </w:p>
        </w:tc>
      </w:tr>
      <w:tr w:rsidR="009B7F57" w14:paraId="74C3D592" w14:textId="77777777" w:rsidTr="005C29AD">
        <w:tc>
          <w:tcPr>
            <w:tcW w:w="578" w:type="dxa"/>
            <w:vAlign w:val="center"/>
          </w:tcPr>
          <w:p w14:paraId="7E14DABD" w14:textId="77777777" w:rsidR="009B7F57" w:rsidRPr="00EB44CA" w:rsidRDefault="009B7F57" w:rsidP="005C29AD">
            <w:pPr>
              <w:spacing w:after="240"/>
              <w:jc w:val="center"/>
              <w:rPr>
                <w:sz w:val="20"/>
                <w:szCs w:val="20"/>
              </w:rPr>
            </w:pPr>
            <w:r w:rsidRPr="00EB44CA">
              <w:rPr>
                <w:sz w:val="20"/>
                <w:szCs w:val="20"/>
              </w:rPr>
              <w:t>0</w:t>
            </w:r>
          </w:p>
        </w:tc>
        <w:tc>
          <w:tcPr>
            <w:tcW w:w="562" w:type="dxa"/>
            <w:vAlign w:val="center"/>
          </w:tcPr>
          <w:p w14:paraId="0118726F" w14:textId="77777777" w:rsidR="009B7F57" w:rsidRPr="00EB44CA" w:rsidRDefault="009B7F57" w:rsidP="005C29AD">
            <w:pPr>
              <w:spacing w:after="240"/>
              <w:jc w:val="center"/>
              <w:rPr>
                <w:sz w:val="20"/>
                <w:szCs w:val="20"/>
              </w:rPr>
            </w:pPr>
            <w:r w:rsidRPr="00EB44CA">
              <w:rPr>
                <w:sz w:val="20"/>
                <w:szCs w:val="20"/>
              </w:rPr>
              <w:t>24</w:t>
            </w:r>
          </w:p>
        </w:tc>
        <w:tc>
          <w:tcPr>
            <w:tcW w:w="516" w:type="dxa"/>
            <w:vAlign w:val="center"/>
          </w:tcPr>
          <w:p w14:paraId="21EAC3D9" w14:textId="77777777" w:rsidR="009B7F57" w:rsidRPr="00EB44CA" w:rsidRDefault="009B7F57" w:rsidP="005C29AD">
            <w:pPr>
              <w:spacing w:after="240"/>
              <w:jc w:val="center"/>
              <w:rPr>
                <w:sz w:val="20"/>
                <w:szCs w:val="20"/>
              </w:rPr>
            </w:pPr>
            <w:r w:rsidRPr="00EB44CA">
              <w:rPr>
                <w:sz w:val="20"/>
                <w:szCs w:val="20"/>
              </w:rPr>
              <w:t>0</w:t>
            </w:r>
          </w:p>
        </w:tc>
        <w:tc>
          <w:tcPr>
            <w:tcW w:w="544" w:type="dxa"/>
            <w:vAlign w:val="center"/>
          </w:tcPr>
          <w:p w14:paraId="46682629" w14:textId="77777777" w:rsidR="009B7F57" w:rsidRPr="00EB44CA" w:rsidRDefault="009B7F57" w:rsidP="005C29AD">
            <w:pPr>
              <w:spacing w:after="240"/>
              <w:jc w:val="center"/>
              <w:rPr>
                <w:sz w:val="20"/>
                <w:szCs w:val="20"/>
              </w:rPr>
            </w:pPr>
            <w:r w:rsidRPr="00EB44CA">
              <w:rPr>
                <w:sz w:val="20"/>
                <w:szCs w:val="20"/>
              </w:rPr>
              <w:t>1</w:t>
            </w:r>
          </w:p>
        </w:tc>
        <w:tc>
          <w:tcPr>
            <w:tcW w:w="526" w:type="dxa"/>
            <w:vAlign w:val="center"/>
          </w:tcPr>
          <w:p w14:paraId="248CDF6E" w14:textId="77777777" w:rsidR="009B7F57" w:rsidRPr="00EB44CA" w:rsidRDefault="009B7F57" w:rsidP="005C29AD">
            <w:pPr>
              <w:spacing w:after="240"/>
              <w:jc w:val="center"/>
              <w:rPr>
                <w:sz w:val="20"/>
                <w:szCs w:val="20"/>
              </w:rPr>
            </w:pPr>
            <w:r w:rsidRPr="00EB44CA">
              <w:rPr>
                <w:sz w:val="20"/>
                <w:szCs w:val="20"/>
              </w:rPr>
              <w:t>0</w:t>
            </w:r>
          </w:p>
        </w:tc>
        <w:tc>
          <w:tcPr>
            <w:tcW w:w="534" w:type="dxa"/>
            <w:vAlign w:val="center"/>
          </w:tcPr>
          <w:p w14:paraId="4B6449BD" w14:textId="77777777" w:rsidR="009B7F57" w:rsidRPr="00EB44CA" w:rsidRDefault="009B7F57" w:rsidP="005C29AD">
            <w:pPr>
              <w:spacing w:after="240"/>
              <w:jc w:val="center"/>
              <w:rPr>
                <w:sz w:val="20"/>
                <w:szCs w:val="20"/>
              </w:rPr>
            </w:pPr>
            <w:r w:rsidRPr="00EB44CA">
              <w:rPr>
                <w:sz w:val="20"/>
                <w:szCs w:val="20"/>
              </w:rPr>
              <w:t>1</w:t>
            </w:r>
          </w:p>
        </w:tc>
        <w:tc>
          <w:tcPr>
            <w:tcW w:w="648" w:type="dxa"/>
            <w:vAlign w:val="center"/>
          </w:tcPr>
          <w:p w14:paraId="616DBC23" w14:textId="77777777" w:rsidR="009B7F57" w:rsidRPr="00EB44CA" w:rsidRDefault="009B7F57" w:rsidP="005C29AD">
            <w:pPr>
              <w:spacing w:after="240"/>
              <w:jc w:val="center"/>
              <w:rPr>
                <w:sz w:val="20"/>
                <w:szCs w:val="20"/>
              </w:rPr>
            </w:pPr>
            <w:r w:rsidRPr="00EB44CA">
              <w:rPr>
                <w:sz w:val="20"/>
                <w:szCs w:val="20"/>
              </w:rPr>
              <w:t>1</w:t>
            </w:r>
          </w:p>
        </w:tc>
        <w:tc>
          <w:tcPr>
            <w:tcW w:w="451" w:type="dxa"/>
            <w:vAlign w:val="center"/>
          </w:tcPr>
          <w:p w14:paraId="49D77ACF" w14:textId="77777777" w:rsidR="009B7F57" w:rsidRPr="00EB44CA" w:rsidRDefault="009B7F57" w:rsidP="005C29AD">
            <w:pPr>
              <w:spacing w:after="240"/>
              <w:jc w:val="center"/>
              <w:rPr>
                <w:sz w:val="20"/>
                <w:szCs w:val="20"/>
              </w:rPr>
            </w:pPr>
            <w:r w:rsidRPr="00EB44CA">
              <w:rPr>
                <w:sz w:val="20"/>
                <w:szCs w:val="20"/>
              </w:rPr>
              <w:t>4</w:t>
            </w:r>
          </w:p>
        </w:tc>
        <w:tc>
          <w:tcPr>
            <w:tcW w:w="763" w:type="dxa"/>
            <w:vAlign w:val="center"/>
          </w:tcPr>
          <w:p w14:paraId="6A8F26D9" w14:textId="77777777" w:rsidR="009B7F57" w:rsidRPr="00EB44CA" w:rsidRDefault="009B7F57" w:rsidP="005C29AD">
            <w:pPr>
              <w:spacing w:after="240"/>
              <w:jc w:val="center"/>
              <w:rPr>
                <w:sz w:val="20"/>
                <w:szCs w:val="20"/>
              </w:rPr>
            </w:pPr>
            <w:r w:rsidRPr="00EB44CA">
              <w:rPr>
                <w:sz w:val="20"/>
                <w:szCs w:val="20"/>
              </w:rPr>
              <w:t>3.76</w:t>
            </w:r>
          </w:p>
        </w:tc>
        <w:tc>
          <w:tcPr>
            <w:tcW w:w="506" w:type="dxa"/>
            <w:vAlign w:val="center"/>
          </w:tcPr>
          <w:p w14:paraId="10D22FE5" w14:textId="77777777" w:rsidR="009B7F57" w:rsidRPr="00EB44CA" w:rsidRDefault="009B7F57" w:rsidP="005C29AD">
            <w:pPr>
              <w:spacing w:after="240"/>
              <w:jc w:val="center"/>
              <w:rPr>
                <w:sz w:val="20"/>
                <w:szCs w:val="20"/>
              </w:rPr>
            </w:pPr>
            <w:r w:rsidRPr="00EB44CA">
              <w:rPr>
                <w:sz w:val="20"/>
                <w:szCs w:val="20"/>
              </w:rPr>
              <w:t>0</w:t>
            </w:r>
          </w:p>
        </w:tc>
        <w:tc>
          <w:tcPr>
            <w:tcW w:w="816" w:type="dxa"/>
            <w:vAlign w:val="center"/>
          </w:tcPr>
          <w:p w14:paraId="6A842E98" w14:textId="77777777" w:rsidR="009B7F57" w:rsidRPr="00EB44CA" w:rsidRDefault="009B7F57" w:rsidP="005C29AD">
            <w:pPr>
              <w:spacing w:after="240"/>
              <w:jc w:val="center"/>
              <w:rPr>
                <w:sz w:val="20"/>
                <w:szCs w:val="20"/>
              </w:rPr>
            </w:pPr>
            <w:r w:rsidRPr="00EB44CA">
              <w:rPr>
                <w:sz w:val="20"/>
                <w:szCs w:val="20"/>
              </w:rPr>
              <w:t>220000</w:t>
            </w:r>
          </w:p>
        </w:tc>
        <w:tc>
          <w:tcPr>
            <w:tcW w:w="665" w:type="dxa"/>
            <w:vAlign w:val="center"/>
          </w:tcPr>
          <w:p w14:paraId="6BFC6538" w14:textId="77777777" w:rsidR="009B7F57" w:rsidRPr="00EB44CA" w:rsidRDefault="009B7F57" w:rsidP="005C29AD">
            <w:pPr>
              <w:spacing w:after="240"/>
              <w:jc w:val="center"/>
              <w:rPr>
                <w:sz w:val="20"/>
                <w:szCs w:val="20"/>
              </w:rPr>
            </w:pPr>
            <w:r w:rsidRPr="00EB44CA">
              <w:rPr>
                <w:sz w:val="20"/>
                <w:szCs w:val="20"/>
              </w:rPr>
              <w:t>4</w:t>
            </w:r>
          </w:p>
        </w:tc>
        <w:tc>
          <w:tcPr>
            <w:tcW w:w="678" w:type="dxa"/>
            <w:vAlign w:val="center"/>
          </w:tcPr>
          <w:p w14:paraId="4CC3F3AE" w14:textId="77777777" w:rsidR="009B7F57" w:rsidRPr="00EB44CA" w:rsidRDefault="009B7F57" w:rsidP="005C29AD">
            <w:pPr>
              <w:spacing w:after="240"/>
              <w:jc w:val="center"/>
              <w:rPr>
                <w:sz w:val="20"/>
                <w:szCs w:val="20"/>
              </w:rPr>
            </w:pPr>
            <w:r w:rsidRPr="00EB44CA">
              <w:rPr>
                <w:sz w:val="20"/>
                <w:szCs w:val="20"/>
              </w:rPr>
              <w:t>8</w:t>
            </w:r>
          </w:p>
        </w:tc>
        <w:tc>
          <w:tcPr>
            <w:tcW w:w="524" w:type="dxa"/>
            <w:vAlign w:val="center"/>
          </w:tcPr>
          <w:p w14:paraId="14682810" w14:textId="77777777" w:rsidR="009B7F57" w:rsidRPr="00EB44CA" w:rsidRDefault="009B7F57" w:rsidP="005C29AD">
            <w:pPr>
              <w:spacing w:after="240"/>
              <w:jc w:val="center"/>
              <w:rPr>
                <w:sz w:val="20"/>
                <w:szCs w:val="20"/>
              </w:rPr>
            </w:pPr>
            <w:r w:rsidRPr="00EB44CA">
              <w:rPr>
                <w:sz w:val="20"/>
                <w:szCs w:val="20"/>
              </w:rPr>
              <w:t>10</w:t>
            </w:r>
          </w:p>
        </w:tc>
        <w:tc>
          <w:tcPr>
            <w:tcW w:w="715" w:type="dxa"/>
            <w:vAlign w:val="center"/>
          </w:tcPr>
          <w:p w14:paraId="7AD5BD15" w14:textId="77777777" w:rsidR="009B7F57" w:rsidRPr="00EB44CA" w:rsidRDefault="009B7F57" w:rsidP="005C29AD">
            <w:pPr>
              <w:spacing w:after="240"/>
              <w:jc w:val="center"/>
              <w:rPr>
                <w:sz w:val="20"/>
                <w:szCs w:val="20"/>
              </w:rPr>
            </w:pPr>
            <w:r w:rsidRPr="00EB44CA">
              <w:rPr>
                <w:sz w:val="20"/>
                <w:szCs w:val="20"/>
              </w:rPr>
              <w:t>0</w:t>
            </w:r>
          </w:p>
        </w:tc>
      </w:tr>
      <w:tr w:rsidR="009B7F57" w14:paraId="68C34760" w14:textId="77777777" w:rsidTr="005C29AD">
        <w:tc>
          <w:tcPr>
            <w:tcW w:w="578" w:type="dxa"/>
            <w:vAlign w:val="center"/>
          </w:tcPr>
          <w:p w14:paraId="17E5477D" w14:textId="77777777" w:rsidR="009B7F57" w:rsidRPr="00EB44CA" w:rsidRDefault="009B7F57" w:rsidP="005C29AD">
            <w:pPr>
              <w:spacing w:after="240"/>
              <w:jc w:val="center"/>
              <w:rPr>
                <w:sz w:val="20"/>
                <w:szCs w:val="20"/>
              </w:rPr>
            </w:pPr>
            <w:r w:rsidRPr="00EB44CA">
              <w:rPr>
                <w:sz w:val="20"/>
                <w:szCs w:val="20"/>
              </w:rPr>
              <w:t>1</w:t>
            </w:r>
          </w:p>
        </w:tc>
        <w:tc>
          <w:tcPr>
            <w:tcW w:w="562" w:type="dxa"/>
            <w:vAlign w:val="center"/>
          </w:tcPr>
          <w:p w14:paraId="51F44D37" w14:textId="77777777" w:rsidR="009B7F57" w:rsidRPr="00EB44CA" w:rsidRDefault="009B7F57" w:rsidP="005C29AD">
            <w:pPr>
              <w:spacing w:after="240"/>
              <w:jc w:val="center"/>
              <w:rPr>
                <w:sz w:val="20"/>
                <w:szCs w:val="20"/>
              </w:rPr>
            </w:pPr>
            <w:r w:rsidRPr="00EB44CA">
              <w:rPr>
                <w:sz w:val="20"/>
                <w:szCs w:val="20"/>
              </w:rPr>
              <w:t>24</w:t>
            </w:r>
          </w:p>
        </w:tc>
        <w:tc>
          <w:tcPr>
            <w:tcW w:w="516" w:type="dxa"/>
            <w:vAlign w:val="center"/>
          </w:tcPr>
          <w:p w14:paraId="244329C6" w14:textId="77777777" w:rsidR="009B7F57" w:rsidRPr="00EB44CA" w:rsidRDefault="009B7F57" w:rsidP="005C29AD">
            <w:pPr>
              <w:spacing w:after="240"/>
              <w:jc w:val="center"/>
              <w:rPr>
                <w:sz w:val="20"/>
                <w:szCs w:val="20"/>
              </w:rPr>
            </w:pPr>
            <w:r w:rsidRPr="00EB44CA">
              <w:rPr>
                <w:sz w:val="20"/>
                <w:szCs w:val="20"/>
              </w:rPr>
              <w:t>0</w:t>
            </w:r>
          </w:p>
        </w:tc>
        <w:tc>
          <w:tcPr>
            <w:tcW w:w="544" w:type="dxa"/>
            <w:vAlign w:val="center"/>
          </w:tcPr>
          <w:p w14:paraId="3FA64EE5" w14:textId="77777777" w:rsidR="009B7F57" w:rsidRPr="00EB44CA" w:rsidRDefault="009B7F57" w:rsidP="005C29AD">
            <w:pPr>
              <w:spacing w:after="240"/>
              <w:jc w:val="center"/>
              <w:rPr>
                <w:sz w:val="20"/>
                <w:szCs w:val="20"/>
              </w:rPr>
            </w:pPr>
            <w:r w:rsidRPr="00EB44CA">
              <w:rPr>
                <w:sz w:val="20"/>
                <w:szCs w:val="20"/>
              </w:rPr>
              <w:t>1</w:t>
            </w:r>
          </w:p>
        </w:tc>
        <w:tc>
          <w:tcPr>
            <w:tcW w:w="526" w:type="dxa"/>
            <w:vAlign w:val="center"/>
          </w:tcPr>
          <w:p w14:paraId="6A2D8958" w14:textId="77777777" w:rsidR="009B7F57" w:rsidRPr="00EB44CA" w:rsidRDefault="009B7F57" w:rsidP="005C29AD">
            <w:pPr>
              <w:spacing w:after="240"/>
              <w:jc w:val="center"/>
              <w:rPr>
                <w:sz w:val="20"/>
                <w:szCs w:val="20"/>
              </w:rPr>
            </w:pPr>
            <w:r w:rsidRPr="00EB44CA">
              <w:rPr>
                <w:sz w:val="20"/>
                <w:szCs w:val="20"/>
              </w:rPr>
              <w:t>0</w:t>
            </w:r>
          </w:p>
        </w:tc>
        <w:tc>
          <w:tcPr>
            <w:tcW w:w="534" w:type="dxa"/>
            <w:vAlign w:val="center"/>
          </w:tcPr>
          <w:p w14:paraId="6FFAF338" w14:textId="77777777" w:rsidR="009B7F57" w:rsidRPr="00EB44CA" w:rsidRDefault="009B7F57" w:rsidP="005C29AD">
            <w:pPr>
              <w:spacing w:after="240"/>
              <w:jc w:val="center"/>
              <w:rPr>
                <w:sz w:val="20"/>
                <w:szCs w:val="20"/>
              </w:rPr>
            </w:pPr>
            <w:r w:rsidRPr="00EB44CA">
              <w:rPr>
                <w:sz w:val="20"/>
                <w:szCs w:val="20"/>
              </w:rPr>
              <w:t>1</w:t>
            </w:r>
          </w:p>
        </w:tc>
        <w:tc>
          <w:tcPr>
            <w:tcW w:w="648" w:type="dxa"/>
            <w:vAlign w:val="center"/>
          </w:tcPr>
          <w:p w14:paraId="0951AE06" w14:textId="77777777" w:rsidR="009B7F57" w:rsidRPr="00EB44CA" w:rsidRDefault="009B7F57" w:rsidP="005C29AD">
            <w:pPr>
              <w:spacing w:after="240"/>
              <w:jc w:val="center"/>
              <w:rPr>
                <w:sz w:val="20"/>
                <w:szCs w:val="20"/>
              </w:rPr>
            </w:pPr>
            <w:r w:rsidRPr="00EB44CA">
              <w:rPr>
                <w:sz w:val="20"/>
                <w:szCs w:val="20"/>
              </w:rPr>
              <w:t>1</w:t>
            </w:r>
          </w:p>
        </w:tc>
        <w:tc>
          <w:tcPr>
            <w:tcW w:w="451" w:type="dxa"/>
            <w:vAlign w:val="center"/>
          </w:tcPr>
          <w:p w14:paraId="1D8DC744" w14:textId="77777777" w:rsidR="009B7F57" w:rsidRPr="00EB44CA" w:rsidRDefault="009B7F57" w:rsidP="005C29AD">
            <w:pPr>
              <w:spacing w:after="240"/>
              <w:jc w:val="center"/>
              <w:rPr>
                <w:sz w:val="20"/>
                <w:szCs w:val="20"/>
              </w:rPr>
            </w:pPr>
            <w:r w:rsidRPr="00EB44CA">
              <w:rPr>
                <w:sz w:val="20"/>
                <w:szCs w:val="20"/>
              </w:rPr>
              <w:t>3</w:t>
            </w:r>
          </w:p>
        </w:tc>
        <w:tc>
          <w:tcPr>
            <w:tcW w:w="763" w:type="dxa"/>
            <w:vAlign w:val="center"/>
          </w:tcPr>
          <w:p w14:paraId="63224030" w14:textId="77777777" w:rsidR="009B7F57" w:rsidRPr="00EB44CA" w:rsidRDefault="009B7F57" w:rsidP="005C29AD">
            <w:pPr>
              <w:spacing w:after="240"/>
              <w:jc w:val="center"/>
              <w:rPr>
                <w:sz w:val="20"/>
                <w:szCs w:val="20"/>
              </w:rPr>
            </w:pPr>
            <w:r w:rsidRPr="00EB44CA">
              <w:rPr>
                <w:sz w:val="20"/>
                <w:szCs w:val="20"/>
              </w:rPr>
              <w:t>2.97</w:t>
            </w:r>
          </w:p>
        </w:tc>
        <w:tc>
          <w:tcPr>
            <w:tcW w:w="506" w:type="dxa"/>
            <w:vAlign w:val="center"/>
          </w:tcPr>
          <w:p w14:paraId="34054C07" w14:textId="77777777" w:rsidR="009B7F57" w:rsidRPr="00EB44CA" w:rsidRDefault="009B7F57" w:rsidP="005C29AD">
            <w:pPr>
              <w:spacing w:after="240"/>
              <w:jc w:val="center"/>
              <w:rPr>
                <w:sz w:val="20"/>
                <w:szCs w:val="20"/>
              </w:rPr>
            </w:pPr>
            <w:r w:rsidRPr="00EB44CA">
              <w:rPr>
                <w:sz w:val="20"/>
                <w:szCs w:val="20"/>
              </w:rPr>
              <w:t>0</w:t>
            </w:r>
          </w:p>
        </w:tc>
        <w:tc>
          <w:tcPr>
            <w:tcW w:w="816" w:type="dxa"/>
            <w:vAlign w:val="center"/>
          </w:tcPr>
          <w:p w14:paraId="4A42732C" w14:textId="77777777" w:rsidR="009B7F57" w:rsidRPr="00EB44CA" w:rsidRDefault="009B7F57" w:rsidP="005C29AD">
            <w:pPr>
              <w:spacing w:after="240"/>
              <w:jc w:val="center"/>
              <w:rPr>
                <w:sz w:val="20"/>
                <w:szCs w:val="20"/>
              </w:rPr>
            </w:pPr>
            <w:r w:rsidRPr="00EB44CA">
              <w:rPr>
                <w:sz w:val="20"/>
                <w:szCs w:val="20"/>
              </w:rPr>
              <w:t>50000</w:t>
            </w:r>
          </w:p>
        </w:tc>
        <w:tc>
          <w:tcPr>
            <w:tcW w:w="665" w:type="dxa"/>
            <w:vAlign w:val="center"/>
          </w:tcPr>
          <w:p w14:paraId="72493586" w14:textId="77777777" w:rsidR="009B7F57" w:rsidRPr="00EB44CA" w:rsidRDefault="009B7F57" w:rsidP="005C29AD">
            <w:pPr>
              <w:spacing w:after="240"/>
              <w:jc w:val="center"/>
              <w:rPr>
                <w:sz w:val="20"/>
                <w:szCs w:val="20"/>
              </w:rPr>
            </w:pPr>
            <w:r w:rsidRPr="00EB44CA">
              <w:rPr>
                <w:sz w:val="20"/>
                <w:szCs w:val="20"/>
              </w:rPr>
              <w:t>6</w:t>
            </w:r>
          </w:p>
        </w:tc>
        <w:tc>
          <w:tcPr>
            <w:tcW w:w="678" w:type="dxa"/>
            <w:vAlign w:val="center"/>
          </w:tcPr>
          <w:p w14:paraId="7D974E03" w14:textId="77777777" w:rsidR="009B7F57" w:rsidRPr="00EB44CA" w:rsidRDefault="009B7F57" w:rsidP="005C29AD">
            <w:pPr>
              <w:spacing w:after="240"/>
              <w:jc w:val="center"/>
              <w:rPr>
                <w:sz w:val="20"/>
                <w:szCs w:val="20"/>
              </w:rPr>
            </w:pPr>
            <w:r w:rsidRPr="00EB44CA">
              <w:rPr>
                <w:sz w:val="20"/>
                <w:szCs w:val="20"/>
              </w:rPr>
              <w:t>8</w:t>
            </w:r>
          </w:p>
        </w:tc>
        <w:tc>
          <w:tcPr>
            <w:tcW w:w="524" w:type="dxa"/>
            <w:vAlign w:val="center"/>
          </w:tcPr>
          <w:p w14:paraId="3098BE81" w14:textId="77777777" w:rsidR="009B7F57" w:rsidRPr="00EB44CA" w:rsidRDefault="009B7F57" w:rsidP="005C29AD">
            <w:pPr>
              <w:spacing w:after="240"/>
              <w:jc w:val="center"/>
              <w:rPr>
                <w:sz w:val="20"/>
                <w:szCs w:val="20"/>
              </w:rPr>
            </w:pPr>
            <w:r w:rsidRPr="00EB44CA">
              <w:rPr>
                <w:sz w:val="20"/>
                <w:szCs w:val="20"/>
              </w:rPr>
              <w:t>49</w:t>
            </w:r>
          </w:p>
        </w:tc>
        <w:tc>
          <w:tcPr>
            <w:tcW w:w="715" w:type="dxa"/>
            <w:vAlign w:val="center"/>
          </w:tcPr>
          <w:p w14:paraId="6ED1269D" w14:textId="77777777" w:rsidR="009B7F57" w:rsidRPr="00EB44CA" w:rsidRDefault="009B7F57" w:rsidP="005C29AD">
            <w:pPr>
              <w:spacing w:after="240"/>
              <w:jc w:val="center"/>
              <w:rPr>
                <w:sz w:val="20"/>
                <w:szCs w:val="20"/>
              </w:rPr>
            </w:pPr>
            <w:r w:rsidRPr="00EB44CA">
              <w:rPr>
                <w:sz w:val="20"/>
                <w:szCs w:val="20"/>
              </w:rPr>
              <w:t>2</w:t>
            </w:r>
          </w:p>
        </w:tc>
      </w:tr>
    </w:tbl>
    <w:p w14:paraId="26960EE9" w14:textId="77777777" w:rsidR="009B7F57" w:rsidRDefault="009B7F57" w:rsidP="009B7F57">
      <w:pPr>
        <w:spacing w:after="240"/>
      </w:pPr>
    </w:p>
    <w:p w14:paraId="65C6BCBC" w14:textId="77777777" w:rsidR="009B7F57" w:rsidRDefault="009B7F57" w:rsidP="009B7F57">
      <w:pPr>
        <w:spacing w:after="240"/>
        <w:rPr>
          <w:i/>
          <w:iCs/>
        </w:rPr>
      </w:pPr>
    </w:p>
    <w:p w14:paraId="14436C10" w14:textId="77777777" w:rsidR="009B7F57" w:rsidRPr="00877444" w:rsidRDefault="009B7F57" w:rsidP="009B7F57">
      <w:pPr>
        <w:spacing w:after="240"/>
        <w:rPr>
          <w:i/>
          <w:iCs/>
        </w:rPr>
      </w:pPr>
      <w:r w:rsidRPr="00877444">
        <w:rPr>
          <w:i/>
          <w:iCs/>
        </w:rPr>
        <w:t xml:space="preserve">D: </w:t>
      </w:r>
      <w:r w:rsidRPr="00877444">
        <w:t>Pseudocode for Stress Level Detection</w:t>
      </w:r>
    </w:p>
    <w:p w14:paraId="79956DA3" w14:textId="77777777" w:rsidR="009B7F57" w:rsidRPr="00877444" w:rsidRDefault="009B7F57" w:rsidP="009B7F57">
      <w:r w:rsidRPr="00877444">
        <w:rPr>
          <w:i/>
          <w:iCs/>
        </w:rPr>
        <w:t>Stress_Level(Total):</w:t>
      </w:r>
      <w:r w:rsidRPr="00877444">
        <w:rPr>
          <w:i/>
          <w:iCs/>
        </w:rPr>
        <w:br/>
      </w:r>
      <w:r w:rsidRPr="00877444">
        <w:rPr>
          <w:i/>
          <w:iCs/>
        </w:rPr>
        <w:t> </w:t>
      </w:r>
      <w:r w:rsidRPr="00877444">
        <w:rPr>
          <w:i/>
          <w:iCs/>
        </w:rPr>
        <w:t> </w:t>
      </w:r>
      <w:r w:rsidRPr="00877444">
        <w:rPr>
          <w:i/>
          <w:iCs/>
        </w:rPr>
        <w:t xml:space="preserve">If Total ≥ 27 </w:t>
      </w:r>
      <w:r w:rsidRPr="00877444">
        <w:rPr>
          <w:rFonts w:ascii="Times New Roman" w:hAnsi="Times New Roman" w:cs="Times New Roman"/>
          <w:i/>
          <w:iCs/>
        </w:rPr>
        <w:t>→</w:t>
      </w:r>
      <w:r w:rsidRPr="00877444">
        <w:rPr>
          <w:i/>
          <w:iCs/>
        </w:rPr>
        <w:t xml:space="preserve"> High</w:t>
      </w:r>
      <w:r w:rsidRPr="00877444">
        <w:rPr>
          <w:i/>
          <w:iCs/>
        </w:rPr>
        <w:br/>
      </w:r>
      <w:r w:rsidRPr="00877444">
        <w:rPr>
          <w:i/>
          <w:iCs/>
        </w:rPr>
        <w:t> </w:t>
      </w:r>
      <w:r w:rsidRPr="00877444">
        <w:rPr>
          <w:i/>
          <w:iCs/>
        </w:rPr>
        <w:t> </w:t>
      </w:r>
      <w:r w:rsidRPr="00877444">
        <w:rPr>
          <w:i/>
          <w:iCs/>
        </w:rPr>
        <w:t xml:space="preserve">Else if Total ≤ 13 </w:t>
      </w:r>
      <w:r w:rsidRPr="00877444">
        <w:rPr>
          <w:rFonts w:ascii="Times New Roman" w:hAnsi="Times New Roman" w:cs="Times New Roman"/>
          <w:i/>
          <w:iCs/>
        </w:rPr>
        <w:t>→</w:t>
      </w:r>
      <w:r w:rsidRPr="00877444">
        <w:rPr>
          <w:i/>
          <w:iCs/>
        </w:rPr>
        <w:t xml:space="preserve"> Low</w:t>
      </w:r>
      <w:r w:rsidRPr="00877444">
        <w:rPr>
          <w:i/>
          <w:iCs/>
        </w:rPr>
        <w:br/>
      </w:r>
      <w:r w:rsidRPr="00877444">
        <w:rPr>
          <w:i/>
          <w:iCs/>
        </w:rPr>
        <w:t> </w:t>
      </w:r>
      <w:r w:rsidRPr="00877444">
        <w:rPr>
          <w:i/>
          <w:iCs/>
        </w:rPr>
        <w:t> </w:t>
      </w:r>
      <w:r w:rsidRPr="00877444">
        <w:rPr>
          <w:i/>
          <w:iCs/>
        </w:rPr>
        <w:t xml:space="preserve">Else </w:t>
      </w:r>
      <w:r w:rsidRPr="00877444">
        <w:rPr>
          <w:rFonts w:ascii="Times New Roman" w:hAnsi="Times New Roman" w:cs="Times New Roman"/>
          <w:i/>
          <w:iCs/>
        </w:rPr>
        <w:t>→</w:t>
      </w:r>
      <w:r w:rsidRPr="00877444">
        <w:rPr>
          <w:i/>
          <w:iCs/>
        </w:rPr>
        <w:t xml:space="preserve"> Medium</w:t>
      </w:r>
    </w:p>
    <w:p w14:paraId="749BFF85" w14:textId="77777777" w:rsidR="009B7F57" w:rsidRPr="00B45D8B" w:rsidRDefault="009B7F57" w:rsidP="009B7F57">
      <w:pPr>
        <w:pStyle w:val="Heading2"/>
        <w:rPr>
          <w:sz w:val="28"/>
          <w:szCs w:val="40"/>
        </w:rPr>
      </w:pPr>
      <w:r w:rsidRPr="00B45D8B">
        <w:lastRenderedPageBreak/>
        <w:t>References</w:t>
      </w:r>
    </w:p>
    <w:p w14:paraId="1FA69485" w14:textId="4996E983"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Al Masud, G.H., </w:t>
      </w:r>
      <w:proofErr w:type="spellStart"/>
      <w:r w:rsidRPr="00084C1A">
        <w:rPr>
          <w:rFonts w:eastAsia="Times New Roman" w:cs="Times New Roman"/>
          <w:color w:val="000000" w:themeColor="text1"/>
          <w:lang w:eastAsia="en-GB"/>
        </w:rPr>
        <w:t>Shanto</w:t>
      </w:r>
      <w:proofErr w:type="spellEnd"/>
      <w:r w:rsidRPr="00084C1A">
        <w:rPr>
          <w:rFonts w:eastAsia="Times New Roman" w:cs="Times New Roman"/>
          <w:color w:val="000000" w:themeColor="text1"/>
          <w:lang w:eastAsia="en-GB"/>
        </w:rPr>
        <w:t xml:space="preserve">, R.I., Sakin, I. and Kabir, M.R. (2025) 'Effective depression detection and interpretation: Integrating machine learning, deep learning, language models, and explainable AI', </w:t>
      </w:r>
      <w:r w:rsidRPr="004F3C58">
        <w:rPr>
          <w:rFonts w:eastAsia="Times New Roman" w:cs="Times New Roman"/>
          <w:i/>
          <w:iCs/>
          <w:color w:val="000000" w:themeColor="text1"/>
          <w:lang w:eastAsia="en-GB"/>
        </w:rPr>
        <w:t>Array</w:t>
      </w:r>
      <w:r w:rsidRPr="00084C1A">
        <w:rPr>
          <w:rFonts w:eastAsia="Times New Roman" w:cs="Times New Roman"/>
          <w:color w:val="000000" w:themeColor="text1"/>
          <w:lang w:eastAsia="en-GB"/>
        </w:rPr>
        <w:t xml:space="preserve">, </w:t>
      </w:r>
      <w:r w:rsidR="004F3C58">
        <w:rPr>
          <w:rFonts w:eastAsia="Times New Roman" w:cs="Times New Roman"/>
          <w:color w:val="000000" w:themeColor="text1"/>
          <w:lang w:eastAsia="en-GB"/>
        </w:rPr>
        <w:t xml:space="preserve">25, </w:t>
      </w:r>
      <w:r w:rsidRPr="00084C1A">
        <w:rPr>
          <w:rFonts w:eastAsia="Times New Roman" w:cs="Times New Roman"/>
          <w:color w:val="000000" w:themeColor="text1"/>
          <w:lang w:eastAsia="en-GB"/>
        </w:rPr>
        <w:t>p. 100375.</w:t>
      </w:r>
      <w:r w:rsidR="004F3C58">
        <w:rPr>
          <w:rFonts w:eastAsia="Times New Roman" w:cs="Times New Roman"/>
          <w:color w:val="000000" w:themeColor="text1"/>
          <w:lang w:eastAsia="en-GB"/>
        </w:rPr>
        <w:t xml:space="preserve"> Available at: </w:t>
      </w:r>
      <w:hyperlink r:id="rId10" w:history="1">
        <w:r w:rsidR="004F3C58" w:rsidRPr="00CC2988">
          <w:rPr>
            <w:rStyle w:val="Hyperlink"/>
            <w:rFonts w:eastAsia="Times New Roman" w:cs="Times New Roman"/>
            <w:lang w:eastAsia="en-GB"/>
          </w:rPr>
          <w:t>https://doi.org/10.1016/j.array.2025.100375</w:t>
        </w:r>
      </w:hyperlink>
      <w:r w:rsidR="004F3C58">
        <w:rPr>
          <w:rFonts w:eastAsia="Times New Roman" w:cs="Times New Roman"/>
          <w:color w:val="000000" w:themeColor="text1"/>
          <w:lang w:eastAsia="en-GB"/>
        </w:rPr>
        <w:t xml:space="preserve"> </w:t>
      </w:r>
    </w:p>
    <w:p w14:paraId="549C67E4" w14:textId="714A1691" w:rsidR="009B7F57" w:rsidRPr="00084C1A" w:rsidRDefault="009B7F57" w:rsidP="00800F2A">
      <w:pPr>
        <w:spacing w:before="100" w:beforeAutospacing="1" w:after="100" w:afterAutospacing="1"/>
        <w:rPr>
          <w:rFonts w:eastAsia="Times New Roman" w:cs="Times New Roman"/>
          <w:color w:val="000000" w:themeColor="text1"/>
          <w:lang w:eastAsia="en-GB"/>
        </w:rPr>
      </w:pPr>
      <w:bookmarkStart w:id="0" w:name="_Hlk220051403"/>
      <w:r w:rsidRPr="00084C1A">
        <w:rPr>
          <w:rFonts w:eastAsia="Times New Roman" w:cs="Times New Roman"/>
          <w:color w:val="000000" w:themeColor="text1"/>
          <w:lang w:eastAsia="en-GB"/>
        </w:rPr>
        <w:t>Bentéjac, C., Csörgő, A. and Martínez-Muñoz, G</w:t>
      </w:r>
      <w:bookmarkEnd w:id="0"/>
      <w:r w:rsidRPr="00084C1A">
        <w:rPr>
          <w:rFonts w:eastAsia="Times New Roman" w:cs="Times New Roman"/>
          <w:color w:val="000000" w:themeColor="text1"/>
          <w:lang w:eastAsia="en-GB"/>
        </w:rPr>
        <w:t xml:space="preserve">. (2021) 'A comparative analysis of gradient boosting algorithms', </w:t>
      </w:r>
      <w:r w:rsidRPr="00135D2C">
        <w:rPr>
          <w:rFonts w:eastAsia="Times New Roman" w:cs="Times New Roman"/>
          <w:i/>
          <w:iCs/>
          <w:color w:val="000000" w:themeColor="text1"/>
          <w:lang w:eastAsia="en-GB"/>
        </w:rPr>
        <w:t>Artificial Intelligence Review</w:t>
      </w:r>
      <w:r w:rsidRPr="00084C1A">
        <w:rPr>
          <w:rFonts w:eastAsia="Times New Roman" w:cs="Times New Roman"/>
          <w:color w:val="000000" w:themeColor="text1"/>
          <w:lang w:eastAsia="en-GB"/>
        </w:rPr>
        <w:t>, 54, pp. 1937–1967.</w:t>
      </w:r>
      <w:r w:rsidR="00135D2C">
        <w:rPr>
          <w:rFonts w:eastAsia="Times New Roman" w:cs="Times New Roman"/>
          <w:color w:val="000000" w:themeColor="text1"/>
          <w:lang w:eastAsia="en-GB"/>
        </w:rPr>
        <w:t xml:space="preserve"> Available at: </w:t>
      </w:r>
      <w:hyperlink r:id="rId11" w:history="1">
        <w:r w:rsidR="00135D2C" w:rsidRPr="00CC2988">
          <w:rPr>
            <w:rStyle w:val="Hyperlink"/>
            <w:rFonts w:eastAsia="Times New Roman" w:cs="Times New Roman"/>
            <w:lang w:eastAsia="en-GB"/>
          </w:rPr>
          <w:t>https://doi.org/10.1007/s10462-020-09896-5</w:t>
        </w:r>
      </w:hyperlink>
      <w:r w:rsidR="00135D2C">
        <w:rPr>
          <w:rFonts w:eastAsia="Times New Roman" w:cs="Times New Roman"/>
          <w:color w:val="000000" w:themeColor="text1"/>
          <w:lang w:eastAsia="en-GB"/>
        </w:rPr>
        <w:t xml:space="preserve"> </w:t>
      </w:r>
    </w:p>
    <w:p w14:paraId="0F4A6ACD" w14:textId="30FC793F"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Cleophas, T.J. and Zwinderman, A.H. (2021) </w:t>
      </w:r>
      <w:r w:rsidRPr="00453B7A">
        <w:rPr>
          <w:rFonts w:eastAsia="Times New Roman" w:cs="Times New Roman"/>
          <w:i/>
          <w:iCs/>
          <w:color w:val="000000" w:themeColor="text1"/>
          <w:lang w:eastAsia="en-GB"/>
        </w:rPr>
        <w:t xml:space="preserve">Regression Analysis in Medical Research: for Starters and 2nd Levelers, </w:t>
      </w:r>
      <w:r w:rsidR="00453B7A">
        <w:rPr>
          <w:rFonts w:eastAsia="Times New Roman" w:cs="Times New Roman"/>
          <w:color w:val="000000" w:themeColor="text1"/>
          <w:lang w:eastAsia="en-GB"/>
        </w:rPr>
        <w:t>2</w:t>
      </w:r>
      <w:r w:rsidR="00453B7A" w:rsidRPr="00453B7A">
        <w:rPr>
          <w:rFonts w:eastAsia="Times New Roman" w:cs="Times New Roman"/>
          <w:color w:val="000000" w:themeColor="text1"/>
          <w:vertAlign w:val="superscript"/>
          <w:lang w:eastAsia="en-GB"/>
        </w:rPr>
        <w:t>nd</w:t>
      </w:r>
      <w:r w:rsidR="00453B7A">
        <w:rPr>
          <w:rFonts w:eastAsia="Times New Roman" w:cs="Times New Roman"/>
          <w:color w:val="000000" w:themeColor="text1"/>
          <w:lang w:eastAsia="en-GB"/>
        </w:rPr>
        <w:t xml:space="preserve"> edn. Springer</w:t>
      </w:r>
      <w:r w:rsidRPr="00084C1A">
        <w:rPr>
          <w:rFonts w:eastAsia="Times New Roman" w:cs="Times New Roman"/>
          <w:color w:val="000000" w:themeColor="text1"/>
          <w:lang w:eastAsia="en-GB"/>
        </w:rPr>
        <w:t>.</w:t>
      </w:r>
    </w:p>
    <w:p w14:paraId="34EFED33" w14:textId="6CB37911"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CORC </w:t>
      </w:r>
      <w:r w:rsidR="00046F74">
        <w:rPr>
          <w:rFonts w:eastAsia="Times New Roman" w:cs="Times New Roman"/>
          <w:color w:val="000000" w:themeColor="text1"/>
          <w:lang w:eastAsia="en-GB"/>
        </w:rPr>
        <w:t xml:space="preserve">(no date) </w:t>
      </w:r>
      <w:r w:rsidRPr="00C40A07">
        <w:rPr>
          <w:rFonts w:eastAsia="Times New Roman" w:cs="Times New Roman"/>
          <w:i/>
          <w:iCs/>
          <w:color w:val="000000" w:themeColor="text1"/>
          <w:lang w:eastAsia="en-GB"/>
        </w:rPr>
        <w:t>Perceived Stress Scale (PSS-10)</w:t>
      </w:r>
      <w:r w:rsidR="00C40A07">
        <w:rPr>
          <w:rFonts w:eastAsia="Times New Roman" w:cs="Times New Roman"/>
          <w:i/>
          <w:iCs/>
          <w:color w:val="000000" w:themeColor="text1"/>
          <w:lang w:eastAsia="en-GB"/>
        </w:rPr>
        <w:t>.</w:t>
      </w:r>
      <w:r w:rsidRPr="00084C1A">
        <w:rPr>
          <w:rFonts w:eastAsia="Times New Roman" w:cs="Times New Roman"/>
          <w:color w:val="000000" w:themeColor="text1"/>
          <w:lang w:eastAsia="en-GB"/>
        </w:rPr>
        <w:t xml:space="preserve"> Available at: </w:t>
      </w:r>
      <w:hyperlink r:id="rId12" w:history="1">
        <w:r w:rsidRPr="00801E6E">
          <w:rPr>
            <w:rStyle w:val="Hyperlink"/>
            <w:rFonts w:eastAsia="Times New Roman" w:cs="Times New Roman"/>
            <w:lang w:eastAsia="en-GB"/>
          </w:rPr>
          <w:t>https://www.corc.uk.net/outcome-experience-measures/perceived-stress-scale-pss-10/</w:t>
        </w:r>
      </w:hyperlink>
      <w:r>
        <w:rPr>
          <w:rFonts w:eastAsia="Times New Roman" w:cs="Times New Roman"/>
          <w:color w:val="000000" w:themeColor="text1"/>
          <w:lang w:eastAsia="en-GB"/>
        </w:rPr>
        <w:t xml:space="preserve"> </w:t>
      </w:r>
      <w:r w:rsidRPr="00084C1A">
        <w:rPr>
          <w:rFonts w:eastAsia="Times New Roman" w:cs="Times New Roman"/>
          <w:color w:val="000000" w:themeColor="text1"/>
          <w:lang w:eastAsia="en-GB"/>
        </w:rPr>
        <w:t xml:space="preserve">(Accessed: 17 </w:t>
      </w:r>
      <w:r>
        <w:rPr>
          <w:rFonts w:eastAsia="Times New Roman" w:cs="Times New Roman"/>
          <w:color w:val="000000" w:themeColor="text1"/>
          <w:lang w:eastAsia="en-GB"/>
        </w:rPr>
        <w:t>July</w:t>
      </w:r>
      <w:r w:rsidRPr="00084C1A">
        <w:rPr>
          <w:rFonts w:eastAsia="Times New Roman" w:cs="Times New Roman"/>
          <w:color w:val="000000" w:themeColor="text1"/>
          <w:lang w:eastAsia="en-GB"/>
        </w:rPr>
        <w:t xml:space="preserve"> 2025).</w:t>
      </w:r>
    </w:p>
    <w:p w14:paraId="736B963D" w14:textId="218E6903"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Costa, V.G. and Pedreira, C.E. (2023) 'Recent advances in decision trees: An updated survey', </w:t>
      </w:r>
      <w:r w:rsidRPr="00046F74">
        <w:rPr>
          <w:rFonts w:eastAsia="Times New Roman" w:cs="Times New Roman"/>
          <w:i/>
          <w:iCs/>
          <w:color w:val="000000" w:themeColor="text1"/>
          <w:lang w:eastAsia="en-GB"/>
        </w:rPr>
        <w:t>Artificial Intelligence Review</w:t>
      </w:r>
      <w:r w:rsidRPr="00084C1A">
        <w:rPr>
          <w:rFonts w:eastAsia="Times New Roman" w:cs="Times New Roman"/>
          <w:color w:val="000000" w:themeColor="text1"/>
          <w:lang w:eastAsia="en-GB"/>
        </w:rPr>
        <w:t>, 56, pp. 4765–4800.</w:t>
      </w:r>
      <w:r w:rsidR="00046F74">
        <w:rPr>
          <w:rFonts w:eastAsia="Times New Roman" w:cs="Times New Roman"/>
          <w:color w:val="000000" w:themeColor="text1"/>
          <w:lang w:eastAsia="en-GB"/>
        </w:rPr>
        <w:t xml:space="preserve"> Available at: </w:t>
      </w:r>
      <w:hyperlink r:id="rId13" w:history="1">
        <w:r w:rsidR="00046F74" w:rsidRPr="006B27BC">
          <w:rPr>
            <w:rStyle w:val="Hyperlink"/>
            <w:rFonts w:eastAsia="Times New Roman" w:cs="Times New Roman"/>
            <w:lang w:eastAsia="en-GB"/>
          </w:rPr>
          <w:t>https://doi.org/10.1007/s10462-022-10275-5</w:t>
        </w:r>
      </w:hyperlink>
      <w:r w:rsidR="00046F74">
        <w:rPr>
          <w:rFonts w:eastAsia="Times New Roman" w:cs="Times New Roman"/>
          <w:color w:val="000000" w:themeColor="text1"/>
          <w:lang w:eastAsia="en-GB"/>
        </w:rPr>
        <w:t xml:space="preserve"> </w:t>
      </w:r>
    </w:p>
    <w:p w14:paraId="016FA4C4" w14:textId="0EBE9517"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Di Mario, S., Rollo, E., Gabellini, S. and Filomeno, L. (2024) 'How stress and burnout impact the quality of life amongst healthcare students: an integrative review of the literature', </w:t>
      </w:r>
      <w:r w:rsidRPr="00871035">
        <w:rPr>
          <w:rFonts w:eastAsia="Times New Roman" w:cs="Times New Roman"/>
          <w:i/>
          <w:iCs/>
          <w:color w:val="000000" w:themeColor="text1"/>
          <w:lang w:eastAsia="en-GB"/>
        </w:rPr>
        <w:t>Teaching and Learning in Nursing</w:t>
      </w:r>
      <w:r w:rsidR="00871035">
        <w:rPr>
          <w:rFonts w:eastAsia="Times New Roman" w:cs="Times New Roman"/>
          <w:color w:val="000000" w:themeColor="text1"/>
          <w:lang w:eastAsia="en-GB"/>
        </w:rPr>
        <w:t xml:space="preserve">, 19(4), pp. 315-323. Available at: </w:t>
      </w:r>
      <w:hyperlink r:id="rId14" w:history="1">
        <w:r w:rsidR="00871035" w:rsidRPr="006B27BC">
          <w:rPr>
            <w:rStyle w:val="Hyperlink"/>
            <w:rFonts w:eastAsia="Times New Roman" w:cs="Times New Roman"/>
            <w:lang w:eastAsia="en-GB"/>
          </w:rPr>
          <w:t>https://doi.org/10.1016/j.teln.2024.04.009</w:t>
        </w:r>
      </w:hyperlink>
      <w:r w:rsidR="00871035">
        <w:rPr>
          <w:rFonts w:eastAsia="Times New Roman" w:cs="Times New Roman"/>
          <w:color w:val="000000" w:themeColor="text1"/>
          <w:lang w:eastAsia="en-GB"/>
        </w:rPr>
        <w:t xml:space="preserve"> </w:t>
      </w:r>
    </w:p>
    <w:p w14:paraId="33109765" w14:textId="6B00EED5"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Erola, J., Jalonen, S. and Lehti, H. (2016) 'Parental education, class and income over early life course and children's achievement', </w:t>
      </w:r>
      <w:r w:rsidRPr="00A82B63">
        <w:rPr>
          <w:rFonts w:eastAsia="Times New Roman" w:cs="Times New Roman"/>
          <w:i/>
          <w:iCs/>
          <w:color w:val="000000" w:themeColor="text1"/>
          <w:lang w:eastAsia="en-GB"/>
        </w:rPr>
        <w:t>Research in Social Stratification and Mobility</w:t>
      </w:r>
      <w:r w:rsidRPr="00084C1A">
        <w:rPr>
          <w:rFonts w:eastAsia="Times New Roman" w:cs="Times New Roman"/>
          <w:color w:val="000000" w:themeColor="text1"/>
          <w:lang w:eastAsia="en-GB"/>
        </w:rPr>
        <w:t>, 44, pp. 33–43.</w:t>
      </w:r>
      <w:r w:rsidR="00A82B63">
        <w:rPr>
          <w:rFonts w:eastAsia="Times New Roman" w:cs="Times New Roman"/>
          <w:color w:val="000000" w:themeColor="text1"/>
          <w:lang w:eastAsia="en-GB"/>
        </w:rPr>
        <w:t xml:space="preserve"> Available at: </w:t>
      </w:r>
      <w:hyperlink r:id="rId15" w:history="1">
        <w:r w:rsidR="00A82B63" w:rsidRPr="006B27BC">
          <w:rPr>
            <w:rStyle w:val="Hyperlink"/>
            <w:rFonts w:eastAsia="Times New Roman" w:cs="Times New Roman"/>
            <w:lang w:eastAsia="en-GB"/>
          </w:rPr>
          <w:t>https://doi.org/10.1016/j.rssm.2016.01.003</w:t>
        </w:r>
      </w:hyperlink>
      <w:r w:rsidR="00A82B63">
        <w:rPr>
          <w:rFonts w:eastAsia="Times New Roman" w:cs="Times New Roman"/>
          <w:color w:val="000000" w:themeColor="text1"/>
          <w:lang w:eastAsia="en-GB"/>
        </w:rPr>
        <w:t xml:space="preserve"> </w:t>
      </w:r>
    </w:p>
    <w:p w14:paraId="1E8CCD45" w14:textId="43F23125"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Fawagreh, K., Gaber, M.M. and Elyan, E. (2014) 'Random forests: from early developments to recent advancements', </w:t>
      </w:r>
      <w:r w:rsidRPr="00046F74">
        <w:rPr>
          <w:rFonts w:eastAsia="Times New Roman" w:cs="Times New Roman"/>
          <w:i/>
          <w:iCs/>
          <w:color w:val="000000" w:themeColor="text1"/>
          <w:lang w:eastAsia="en-GB"/>
        </w:rPr>
        <w:t>Systems Science &amp; Control Engineering: An Open Access Journal</w:t>
      </w:r>
      <w:r w:rsidRPr="00084C1A">
        <w:rPr>
          <w:rFonts w:eastAsia="Times New Roman" w:cs="Times New Roman"/>
          <w:color w:val="000000" w:themeColor="text1"/>
          <w:lang w:eastAsia="en-GB"/>
        </w:rPr>
        <w:t>, 2(1), pp. 602–609.</w:t>
      </w:r>
      <w:r w:rsidR="00046F74">
        <w:rPr>
          <w:rFonts w:eastAsia="Times New Roman" w:cs="Times New Roman"/>
          <w:color w:val="000000" w:themeColor="text1"/>
          <w:lang w:eastAsia="en-GB"/>
        </w:rPr>
        <w:t xml:space="preserve"> Available at: </w:t>
      </w:r>
      <w:hyperlink r:id="rId16" w:history="1">
        <w:r w:rsidR="00046F74" w:rsidRPr="006B27BC">
          <w:rPr>
            <w:rStyle w:val="Hyperlink"/>
            <w:rFonts w:eastAsia="Times New Roman" w:cs="Times New Roman"/>
            <w:lang w:eastAsia="en-GB"/>
          </w:rPr>
          <w:t>https://doi.org/10.1080/21642583.2014.956265</w:t>
        </w:r>
      </w:hyperlink>
      <w:r w:rsidR="00046F74">
        <w:rPr>
          <w:rFonts w:eastAsia="Times New Roman" w:cs="Times New Roman"/>
          <w:color w:val="000000" w:themeColor="text1"/>
          <w:lang w:eastAsia="en-GB"/>
        </w:rPr>
        <w:t xml:space="preserve"> </w:t>
      </w:r>
    </w:p>
    <w:p w14:paraId="1AAB8B4D" w14:textId="3E6ABCAD"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Gao, W., Ping, S. and Liu, X. (2020) 'Gender differences in depression, anxiety, and stress among college students: a longitudinal study from China', </w:t>
      </w:r>
      <w:r w:rsidRPr="00C40A07">
        <w:rPr>
          <w:rFonts w:eastAsia="Times New Roman" w:cs="Times New Roman"/>
          <w:i/>
          <w:iCs/>
          <w:color w:val="000000" w:themeColor="text1"/>
          <w:lang w:eastAsia="en-GB"/>
        </w:rPr>
        <w:t>Journal of Affective Disorders</w:t>
      </w:r>
      <w:r w:rsidRPr="00084C1A">
        <w:rPr>
          <w:rFonts w:eastAsia="Times New Roman" w:cs="Times New Roman"/>
          <w:color w:val="000000" w:themeColor="text1"/>
          <w:lang w:eastAsia="en-GB"/>
        </w:rPr>
        <w:t>, 263, pp. 292–300.</w:t>
      </w:r>
      <w:r w:rsidR="00C40A07">
        <w:rPr>
          <w:rFonts w:eastAsia="Times New Roman" w:cs="Times New Roman"/>
          <w:color w:val="000000" w:themeColor="text1"/>
          <w:lang w:eastAsia="en-GB"/>
        </w:rPr>
        <w:t xml:space="preserve"> Available at: </w:t>
      </w:r>
      <w:hyperlink r:id="rId17" w:history="1">
        <w:r w:rsidR="00C40A07" w:rsidRPr="006B27BC">
          <w:rPr>
            <w:rStyle w:val="Hyperlink"/>
            <w:rFonts w:eastAsia="Times New Roman" w:cs="Times New Roman"/>
            <w:lang w:eastAsia="en-GB"/>
          </w:rPr>
          <w:t>https://doi.org/10.1016/j.jad.2019.11.121</w:t>
        </w:r>
      </w:hyperlink>
      <w:r w:rsidR="00C40A07">
        <w:rPr>
          <w:rFonts w:eastAsia="Times New Roman" w:cs="Times New Roman"/>
          <w:color w:val="000000" w:themeColor="text1"/>
          <w:lang w:eastAsia="en-GB"/>
        </w:rPr>
        <w:t xml:space="preserve"> </w:t>
      </w:r>
    </w:p>
    <w:p w14:paraId="420BBFC8" w14:textId="4594FAAF"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Halder, R.K., Uddin, M.N., Uddin, M.A., Aryal, S. and Khraisat, A. (2024) 'Enhancing K-nearest neighbor algorithm: a comprehensive review and performance analysis of modifications', </w:t>
      </w:r>
      <w:r w:rsidRPr="00EE0FA7">
        <w:rPr>
          <w:rFonts w:eastAsia="Times New Roman" w:cs="Times New Roman"/>
          <w:i/>
          <w:iCs/>
          <w:color w:val="000000" w:themeColor="text1"/>
          <w:lang w:eastAsia="en-GB"/>
        </w:rPr>
        <w:t>Journal of Big Data</w:t>
      </w:r>
      <w:r w:rsidRPr="00084C1A">
        <w:rPr>
          <w:rFonts w:eastAsia="Times New Roman" w:cs="Times New Roman"/>
          <w:color w:val="000000" w:themeColor="text1"/>
          <w:lang w:eastAsia="en-GB"/>
        </w:rPr>
        <w:t xml:space="preserve">, 11, </w:t>
      </w:r>
      <w:r w:rsidR="00EE0FA7">
        <w:rPr>
          <w:rFonts w:eastAsia="Times New Roman" w:cs="Times New Roman"/>
          <w:color w:val="000000" w:themeColor="text1"/>
          <w:lang w:eastAsia="en-GB"/>
        </w:rPr>
        <w:t>article</w:t>
      </w:r>
      <w:r w:rsidRPr="00084C1A">
        <w:rPr>
          <w:rFonts w:eastAsia="Times New Roman" w:cs="Times New Roman"/>
          <w:color w:val="000000" w:themeColor="text1"/>
          <w:lang w:eastAsia="en-GB"/>
        </w:rPr>
        <w:t xml:space="preserve"> 113.</w:t>
      </w:r>
      <w:r w:rsidR="00EE0FA7">
        <w:rPr>
          <w:rFonts w:eastAsia="Times New Roman" w:cs="Times New Roman"/>
          <w:color w:val="000000" w:themeColor="text1"/>
          <w:lang w:eastAsia="en-GB"/>
        </w:rPr>
        <w:t xml:space="preserve"> Available at: </w:t>
      </w:r>
      <w:hyperlink r:id="rId18" w:history="1">
        <w:r w:rsidR="00EE0FA7" w:rsidRPr="006B27BC">
          <w:rPr>
            <w:rStyle w:val="Hyperlink"/>
            <w:rFonts w:eastAsia="Times New Roman" w:cs="Times New Roman"/>
            <w:lang w:eastAsia="en-GB"/>
          </w:rPr>
          <w:t>https://doi.org/10.1186/s40537-024-00973-y</w:t>
        </w:r>
      </w:hyperlink>
      <w:r w:rsidR="00EE0FA7">
        <w:rPr>
          <w:rFonts w:eastAsia="Times New Roman" w:cs="Times New Roman"/>
          <w:color w:val="000000" w:themeColor="text1"/>
          <w:lang w:eastAsia="en-GB"/>
        </w:rPr>
        <w:t xml:space="preserve"> </w:t>
      </w:r>
    </w:p>
    <w:p w14:paraId="57C943B1" w14:textId="2DEDAAB3"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lastRenderedPageBreak/>
        <w:t xml:space="preserve">Irimia-Dieguez, A.I., Blanco-Oliver, A. and Vazquez-Cueto, M.J. (2015) 'A comparison of classification/regression trees and logistic regression in failure models', </w:t>
      </w:r>
      <w:r w:rsidRPr="00EE0FA7">
        <w:rPr>
          <w:rFonts w:eastAsia="Times New Roman" w:cs="Times New Roman"/>
          <w:i/>
          <w:iCs/>
          <w:color w:val="000000" w:themeColor="text1"/>
          <w:lang w:eastAsia="en-GB"/>
        </w:rPr>
        <w:t>Procedia Economics and Finance</w:t>
      </w:r>
      <w:r w:rsidRPr="00084C1A">
        <w:rPr>
          <w:rFonts w:eastAsia="Times New Roman" w:cs="Times New Roman"/>
          <w:color w:val="000000" w:themeColor="text1"/>
          <w:lang w:eastAsia="en-GB"/>
        </w:rPr>
        <w:t>, 23, pp. 9–14.</w:t>
      </w:r>
      <w:r w:rsidR="00EE0FA7">
        <w:rPr>
          <w:rFonts w:eastAsia="Times New Roman" w:cs="Times New Roman"/>
          <w:color w:val="000000" w:themeColor="text1"/>
          <w:lang w:eastAsia="en-GB"/>
        </w:rPr>
        <w:t xml:space="preserve"> Available at: </w:t>
      </w:r>
      <w:hyperlink r:id="rId19" w:history="1">
        <w:r w:rsidR="00EE0FA7" w:rsidRPr="006B27BC">
          <w:rPr>
            <w:rStyle w:val="Hyperlink"/>
            <w:rFonts w:eastAsia="Times New Roman" w:cs="Times New Roman"/>
            <w:lang w:eastAsia="en-GB"/>
          </w:rPr>
          <w:t>https://doi.org/10.1016/S2212-5671(15)00493-1</w:t>
        </w:r>
      </w:hyperlink>
      <w:r w:rsidR="00EE0FA7">
        <w:rPr>
          <w:rFonts w:eastAsia="Times New Roman" w:cs="Times New Roman"/>
          <w:color w:val="000000" w:themeColor="text1"/>
          <w:lang w:eastAsia="en-GB"/>
        </w:rPr>
        <w:t xml:space="preserve"> </w:t>
      </w:r>
    </w:p>
    <w:p w14:paraId="5F36D256" w14:textId="7C587CC1"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Kadiyala, A. and Kumar, A. (2018) 'Applications of Python to evaluate the performance of bagging methods', </w:t>
      </w:r>
      <w:r w:rsidRPr="00135D2C">
        <w:rPr>
          <w:rFonts w:eastAsia="Times New Roman" w:cs="Times New Roman"/>
          <w:i/>
          <w:iCs/>
          <w:color w:val="000000" w:themeColor="text1"/>
          <w:lang w:eastAsia="en-GB"/>
        </w:rPr>
        <w:t>Environmental Progress &amp; Sustainable Energy</w:t>
      </w:r>
      <w:r w:rsidRPr="00084C1A">
        <w:rPr>
          <w:rFonts w:eastAsia="Times New Roman" w:cs="Times New Roman"/>
          <w:color w:val="000000" w:themeColor="text1"/>
          <w:lang w:eastAsia="en-GB"/>
        </w:rPr>
        <w:t>, 37(5), pp. 1555–1559.</w:t>
      </w:r>
      <w:r w:rsidR="00135D2C">
        <w:rPr>
          <w:rFonts w:eastAsia="Times New Roman" w:cs="Times New Roman"/>
          <w:color w:val="000000" w:themeColor="text1"/>
          <w:lang w:eastAsia="en-GB"/>
        </w:rPr>
        <w:t xml:space="preserve"> Available at: </w:t>
      </w:r>
      <w:hyperlink r:id="rId20" w:history="1">
        <w:r w:rsidR="00135D2C" w:rsidRPr="00CC2988">
          <w:rPr>
            <w:rStyle w:val="Hyperlink"/>
            <w:rFonts w:eastAsia="Times New Roman" w:cs="Times New Roman"/>
            <w:lang w:eastAsia="en-GB"/>
          </w:rPr>
          <w:t>https://doi.org/10.1002/ep.13018</w:t>
        </w:r>
      </w:hyperlink>
      <w:r w:rsidR="00135D2C">
        <w:rPr>
          <w:rFonts w:eastAsia="Times New Roman" w:cs="Times New Roman"/>
          <w:color w:val="000000" w:themeColor="text1"/>
          <w:lang w:eastAsia="en-GB"/>
        </w:rPr>
        <w:t xml:space="preserve"> </w:t>
      </w:r>
    </w:p>
    <w:p w14:paraId="553022CE" w14:textId="7E8CBB5E"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Kong, W., Pei, Z., Guo, Z., Xu, R. and Zhao, J. (2025) 'Relationship matters: Using machine learning methods to predict the mental health severity of Chinese college freshmen during the pandemic period', </w:t>
      </w:r>
      <w:r w:rsidRPr="004F3C58">
        <w:rPr>
          <w:rFonts w:eastAsia="Times New Roman" w:cs="Times New Roman"/>
          <w:i/>
          <w:iCs/>
          <w:color w:val="000000" w:themeColor="text1"/>
          <w:lang w:eastAsia="en-GB"/>
        </w:rPr>
        <w:t>Journal of Affective Disorders</w:t>
      </w:r>
      <w:r w:rsidRPr="00084C1A">
        <w:rPr>
          <w:rFonts w:eastAsia="Times New Roman" w:cs="Times New Roman"/>
          <w:color w:val="000000" w:themeColor="text1"/>
          <w:lang w:eastAsia="en-GB"/>
        </w:rPr>
        <w:t>, 369, pp. 392–403.</w:t>
      </w:r>
      <w:r w:rsidR="004F3C58">
        <w:rPr>
          <w:rFonts w:eastAsia="Times New Roman" w:cs="Times New Roman"/>
          <w:color w:val="000000" w:themeColor="text1"/>
          <w:lang w:eastAsia="en-GB"/>
        </w:rPr>
        <w:t xml:space="preserve"> Available at: </w:t>
      </w:r>
      <w:hyperlink r:id="rId21" w:history="1">
        <w:r w:rsidR="004F3C58" w:rsidRPr="00CC2988">
          <w:rPr>
            <w:rStyle w:val="Hyperlink"/>
            <w:rFonts w:eastAsia="Times New Roman" w:cs="Times New Roman"/>
            <w:lang w:eastAsia="en-GB"/>
          </w:rPr>
          <w:t>https://doi.org/10.1016/j.jad.2024.09.168</w:t>
        </w:r>
      </w:hyperlink>
      <w:r w:rsidR="004F3C58">
        <w:rPr>
          <w:rFonts w:eastAsia="Times New Roman" w:cs="Times New Roman"/>
          <w:color w:val="000000" w:themeColor="text1"/>
          <w:lang w:eastAsia="en-GB"/>
        </w:rPr>
        <w:t xml:space="preserve"> </w:t>
      </w:r>
    </w:p>
    <w:p w14:paraId="32B41274" w14:textId="64F32B6A"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Ma, X. (2025) 'Research on virtual entertainment robots based on machine learning algorithms providing psychological health services for college students', </w:t>
      </w:r>
      <w:r w:rsidRPr="004F3C58">
        <w:rPr>
          <w:rFonts w:eastAsia="Times New Roman" w:cs="Times New Roman"/>
          <w:i/>
          <w:iCs/>
          <w:color w:val="000000" w:themeColor="text1"/>
          <w:lang w:eastAsia="en-GB"/>
        </w:rPr>
        <w:t>Entertainment Computing</w:t>
      </w:r>
      <w:r w:rsidRPr="00084C1A">
        <w:rPr>
          <w:rFonts w:eastAsia="Times New Roman" w:cs="Times New Roman"/>
          <w:color w:val="000000" w:themeColor="text1"/>
          <w:lang w:eastAsia="en-GB"/>
        </w:rPr>
        <w:t>, 52, p. 100819.</w:t>
      </w:r>
      <w:r w:rsidR="004F3C58">
        <w:rPr>
          <w:rFonts w:eastAsia="Times New Roman" w:cs="Times New Roman"/>
          <w:color w:val="000000" w:themeColor="text1"/>
          <w:lang w:eastAsia="en-GB"/>
        </w:rPr>
        <w:t xml:space="preserve"> Available at: </w:t>
      </w:r>
      <w:hyperlink r:id="rId22" w:history="1">
        <w:r w:rsidR="004F3C58" w:rsidRPr="00CC2988">
          <w:rPr>
            <w:rStyle w:val="Hyperlink"/>
            <w:rFonts w:eastAsia="Times New Roman" w:cs="Times New Roman"/>
            <w:lang w:eastAsia="en-GB"/>
          </w:rPr>
          <w:t>https://doi.org/10.1016/j.entcom.2024.100819</w:t>
        </w:r>
      </w:hyperlink>
      <w:r w:rsidR="004F3C58">
        <w:rPr>
          <w:rFonts w:eastAsia="Times New Roman" w:cs="Times New Roman"/>
          <w:color w:val="000000" w:themeColor="text1"/>
          <w:lang w:eastAsia="en-GB"/>
        </w:rPr>
        <w:t xml:space="preserve"> </w:t>
      </w:r>
    </w:p>
    <w:p w14:paraId="4134A8E8" w14:textId="18246F7B"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MacKinnon, M., Mitchell, S. and Linden, B. (2024) 'A cross-sectional comparison of the association between self-reported sources of stress and psychological distress among Canadian undergraduate and graduate students', </w:t>
      </w:r>
      <w:r w:rsidRPr="00C40A07">
        <w:rPr>
          <w:rFonts w:eastAsia="Times New Roman" w:cs="Times New Roman"/>
          <w:i/>
          <w:iCs/>
          <w:color w:val="000000" w:themeColor="text1"/>
          <w:lang w:eastAsia="en-GB"/>
        </w:rPr>
        <w:t>Journal of American College Health</w:t>
      </w:r>
      <w:r w:rsidRPr="00084C1A">
        <w:rPr>
          <w:rFonts w:eastAsia="Times New Roman" w:cs="Times New Roman"/>
          <w:color w:val="000000" w:themeColor="text1"/>
          <w:lang w:eastAsia="en-GB"/>
        </w:rPr>
        <w:t xml:space="preserve">, </w:t>
      </w:r>
      <w:r w:rsidR="00C40A07">
        <w:rPr>
          <w:rFonts w:eastAsia="Times New Roman" w:cs="Times New Roman"/>
          <w:color w:val="000000" w:themeColor="text1"/>
          <w:lang w:eastAsia="en-GB"/>
        </w:rPr>
        <w:t xml:space="preserve">73(9), </w:t>
      </w:r>
      <w:r w:rsidRPr="00084C1A">
        <w:rPr>
          <w:rFonts w:eastAsia="Times New Roman" w:cs="Times New Roman"/>
          <w:color w:val="000000" w:themeColor="text1"/>
          <w:lang w:eastAsia="en-GB"/>
        </w:rPr>
        <w:t xml:space="preserve">pp. </w:t>
      </w:r>
      <w:r w:rsidR="00C40A07">
        <w:rPr>
          <w:rFonts w:eastAsia="Times New Roman" w:cs="Times New Roman"/>
          <w:color w:val="000000" w:themeColor="text1"/>
          <w:lang w:eastAsia="en-GB"/>
        </w:rPr>
        <w:t>3625-3635</w:t>
      </w:r>
      <w:r w:rsidRPr="00084C1A">
        <w:rPr>
          <w:rFonts w:eastAsia="Times New Roman" w:cs="Times New Roman"/>
          <w:color w:val="000000" w:themeColor="text1"/>
          <w:lang w:eastAsia="en-GB"/>
        </w:rPr>
        <w:t>.</w:t>
      </w:r>
      <w:r w:rsidR="00C40A07">
        <w:rPr>
          <w:rFonts w:eastAsia="Times New Roman" w:cs="Times New Roman"/>
          <w:color w:val="000000" w:themeColor="text1"/>
          <w:lang w:eastAsia="en-GB"/>
        </w:rPr>
        <w:t xml:space="preserve"> Available at: </w:t>
      </w:r>
      <w:hyperlink r:id="rId23" w:history="1">
        <w:r w:rsidR="00C40A07" w:rsidRPr="006B27BC">
          <w:rPr>
            <w:rStyle w:val="Hyperlink"/>
            <w:rFonts w:eastAsia="Times New Roman" w:cs="Times New Roman"/>
            <w:lang w:eastAsia="en-GB"/>
          </w:rPr>
          <w:t>https://doi.org/10.1080/07448481.2024.2431714</w:t>
        </w:r>
      </w:hyperlink>
      <w:r w:rsidR="00C40A07">
        <w:rPr>
          <w:rFonts w:eastAsia="Times New Roman" w:cs="Times New Roman"/>
          <w:color w:val="000000" w:themeColor="text1"/>
          <w:lang w:eastAsia="en-GB"/>
        </w:rPr>
        <w:t xml:space="preserve"> </w:t>
      </w:r>
    </w:p>
    <w:p w14:paraId="1C40B209" w14:textId="10FD4B8B"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Meier-Faust, E. and Watermann, R. (2024) 'Perceiver Effects and Socioeconomic Background: Contrasting Parent-Reports against Teacher-Reports of Elementary School Students’ Personality', </w:t>
      </w:r>
      <w:r w:rsidRPr="00A82B63">
        <w:rPr>
          <w:rFonts w:eastAsia="Times New Roman" w:cs="Times New Roman"/>
          <w:i/>
          <w:iCs/>
          <w:color w:val="000000" w:themeColor="text1"/>
          <w:lang w:eastAsia="en-GB"/>
        </w:rPr>
        <w:t>Journal of Personality Assessment</w:t>
      </w:r>
      <w:r w:rsidRPr="00084C1A">
        <w:rPr>
          <w:rFonts w:eastAsia="Times New Roman" w:cs="Times New Roman"/>
          <w:color w:val="000000" w:themeColor="text1"/>
          <w:lang w:eastAsia="en-GB"/>
        </w:rPr>
        <w:t>, 106(4), pp. 482–495.</w:t>
      </w:r>
      <w:r w:rsidR="00A82B63">
        <w:rPr>
          <w:rFonts w:eastAsia="Times New Roman" w:cs="Times New Roman"/>
          <w:color w:val="000000" w:themeColor="text1"/>
          <w:lang w:eastAsia="en-GB"/>
        </w:rPr>
        <w:t xml:space="preserve"> Available at: </w:t>
      </w:r>
      <w:hyperlink r:id="rId24" w:history="1">
        <w:r w:rsidR="00A82B63" w:rsidRPr="006B27BC">
          <w:rPr>
            <w:rStyle w:val="Hyperlink"/>
            <w:rFonts w:eastAsia="Times New Roman" w:cs="Times New Roman"/>
            <w:lang w:eastAsia="en-GB"/>
          </w:rPr>
          <w:t>https://doi.org/10.1080/00223891.2023.2286449</w:t>
        </w:r>
      </w:hyperlink>
      <w:r w:rsidR="00A82B63">
        <w:rPr>
          <w:rFonts w:eastAsia="Times New Roman" w:cs="Times New Roman"/>
          <w:color w:val="000000" w:themeColor="text1"/>
          <w:lang w:eastAsia="en-GB"/>
        </w:rPr>
        <w:t xml:space="preserve"> </w:t>
      </w:r>
    </w:p>
    <w:p w14:paraId="78FAD05E" w14:textId="2847AE2C"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Nja, C.O., Neji, H.A., </w:t>
      </w:r>
      <w:proofErr w:type="spellStart"/>
      <w:r w:rsidRPr="00084C1A">
        <w:rPr>
          <w:rFonts w:eastAsia="Times New Roman" w:cs="Times New Roman"/>
          <w:color w:val="000000" w:themeColor="text1"/>
          <w:lang w:eastAsia="en-GB"/>
        </w:rPr>
        <w:t>Orim</w:t>
      </w:r>
      <w:proofErr w:type="spellEnd"/>
      <w:r w:rsidRPr="00084C1A">
        <w:rPr>
          <w:rFonts w:eastAsia="Times New Roman" w:cs="Times New Roman"/>
          <w:color w:val="000000" w:themeColor="text1"/>
          <w:lang w:eastAsia="en-GB"/>
        </w:rPr>
        <w:t xml:space="preserve">, R.E., </w:t>
      </w:r>
      <w:proofErr w:type="spellStart"/>
      <w:r w:rsidRPr="00084C1A">
        <w:rPr>
          <w:rFonts w:eastAsia="Times New Roman" w:cs="Times New Roman"/>
          <w:color w:val="000000" w:themeColor="text1"/>
          <w:lang w:eastAsia="en-GB"/>
        </w:rPr>
        <w:t>Ukwetang</w:t>
      </w:r>
      <w:proofErr w:type="spellEnd"/>
      <w:r w:rsidRPr="00084C1A">
        <w:rPr>
          <w:rFonts w:eastAsia="Times New Roman" w:cs="Times New Roman"/>
          <w:color w:val="000000" w:themeColor="text1"/>
          <w:lang w:eastAsia="en-GB"/>
        </w:rPr>
        <w:t xml:space="preserve">, J.O., </w:t>
      </w:r>
      <w:proofErr w:type="spellStart"/>
      <w:r w:rsidRPr="00084C1A">
        <w:rPr>
          <w:rFonts w:eastAsia="Times New Roman" w:cs="Times New Roman"/>
          <w:color w:val="000000" w:themeColor="text1"/>
          <w:lang w:eastAsia="en-GB"/>
        </w:rPr>
        <w:t>Ideba</w:t>
      </w:r>
      <w:proofErr w:type="spellEnd"/>
      <w:r w:rsidRPr="00084C1A">
        <w:rPr>
          <w:rFonts w:eastAsia="Times New Roman" w:cs="Times New Roman"/>
          <w:color w:val="000000" w:themeColor="text1"/>
          <w:lang w:eastAsia="en-GB"/>
        </w:rPr>
        <w:t>, M.A., Cornelius-</w:t>
      </w:r>
      <w:proofErr w:type="spellStart"/>
      <w:r w:rsidRPr="00084C1A">
        <w:rPr>
          <w:rFonts w:eastAsia="Times New Roman" w:cs="Times New Roman"/>
          <w:color w:val="000000" w:themeColor="text1"/>
          <w:lang w:eastAsia="en-GB"/>
        </w:rPr>
        <w:t>Ukpepi</w:t>
      </w:r>
      <w:proofErr w:type="spellEnd"/>
      <w:r w:rsidRPr="00084C1A">
        <w:rPr>
          <w:rFonts w:eastAsia="Times New Roman" w:cs="Times New Roman"/>
          <w:color w:val="000000" w:themeColor="text1"/>
          <w:lang w:eastAsia="en-GB"/>
        </w:rPr>
        <w:t xml:space="preserve">, B. and Ndifon, R.A. (2022) 'The socio-economic rank of parents and students’ academic and cognitive outcomes: Examining the physical, psychological and social mediators', </w:t>
      </w:r>
      <w:r w:rsidRPr="00A82B63">
        <w:rPr>
          <w:rFonts w:eastAsia="Times New Roman" w:cs="Times New Roman"/>
          <w:i/>
          <w:iCs/>
          <w:color w:val="000000" w:themeColor="text1"/>
          <w:lang w:eastAsia="en-GB"/>
        </w:rPr>
        <w:t>Frontiers in Education</w:t>
      </w:r>
      <w:r w:rsidRPr="00084C1A">
        <w:rPr>
          <w:rFonts w:eastAsia="Times New Roman" w:cs="Times New Roman"/>
          <w:color w:val="000000" w:themeColor="text1"/>
          <w:lang w:eastAsia="en-GB"/>
        </w:rPr>
        <w:t>, 7, p. 938078.</w:t>
      </w:r>
      <w:r w:rsidR="00A82B63">
        <w:rPr>
          <w:rFonts w:eastAsia="Times New Roman" w:cs="Times New Roman"/>
          <w:color w:val="000000" w:themeColor="text1"/>
          <w:lang w:eastAsia="en-GB"/>
        </w:rPr>
        <w:t xml:space="preserve"> Available at: </w:t>
      </w:r>
      <w:hyperlink r:id="rId25" w:history="1">
        <w:r w:rsidR="00A82B63" w:rsidRPr="006B27BC">
          <w:rPr>
            <w:rStyle w:val="Hyperlink"/>
            <w:rFonts w:eastAsia="Times New Roman" w:cs="Times New Roman"/>
            <w:lang w:eastAsia="en-GB"/>
          </w:rPr>
          <w:t>https://doi.org/10.3389/feduc.2022.938078</w:t>
        </w:r>
      </w:hyperlink>
      <w:r w:rsidR="00A82B63">
        <w:rPr>
          <w:rFonts w:eastAsia="Times New Roman" w:cs="Times New Roman"/>
          <w:color w:val="000000" w:themeColor="text1"/>
          <w:lang w:eastAsia="en-GB"/>
        </w:rPr>
        <w:t xml:space="preserve"> </w:t>
      </w:r>
    </w:p>
    <w:p w14:paraId="4918A2D4" w14:textId="5066DCFB"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Öztekin, G.G., Gómez-Salgado, J. and Yıldırım, M. (2025) 'Future anxiety, depression and stress among undergraduate students: psychological flexibility and emotion regulation as mediators', </w:t>
      </w:r>
      <w:r w:rsidRPr="00A82B63">
        <w:rPr>
          <w:rFonts w:eastAsia="Times New Roman" w:cs="Times New Roman"/>
          <w:i/>
          <w:iCs/>
          <w:color w:val="000000" w:themeColor="text1"/>
          <w:lang w:eastAsia="en-GB"/>
        </w:rPr>
        <w:t>Frontiers in Psychology</w:t>
      </w:r>
      <w:r w:rsidRPr="00084C1A">
        <w:rPr>
          <w:rFonts w:eastAsia="Times New Roman" w:cs="Times New Roman"/>
          <w:color w:val="000000" w:themeColor="text1"/>
          <w:lang w:eastAsia="en-GB"/>
        </w:rPr>
        <w:t>, 16, p. 1517441.</w:t>
      </w:r>
      <w:r w:rsidR="00A82B63">
        <w:rPr>
          <w:rFonts w:eastAsia="Times New Roman" w:cs="Times New Roman"/>
          <w:color w:val="000000" w:themeColor="text1"/>
          <w:lang w:eastAsia="en-GB"/>
        </w:rPr>
        <w:t xml:space="preserve"> Available at: </w:t>
      </w:r>
      <w:hyperlink r:id="rId26" w:history="1">
        <w:r w:rsidR="00A82B63" w:rsidRPr="006B27BC">
          <w:rPr>
            <w:rStyle w:val="Hyperlink"/>
            <w:rFonts w:eastAsia="Times New Roman" w:cs="Times New Roman"/>
            <w:lang w:eastAsia="en-GB"/>
          </w:rPr>
          <w:t>https://doi.org/10.3389/fpsyg.2025.1517441</w:t>
        </w:r>
      </w:hyperlink>
    </w:p>
    <w:p w14:paraId="512B8272" w14:textId="2307D227"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Ribeiro, Í.J.S., Pereira, R., Freire, I.V., de Oliveira, B.G., </w:t>
      </w:r>
      <w:proofErr w:type="spellStart"/>
      <w:r w:rsidRPr="00084C1A">
        <w:rPr>
          <w:rFonts w:eastAsia="Times New Roman" w:cs="Times New Roman"/>
          <w:color w:val="000000" w:themeColor="text1"/>
          <w:lang w:eastAsia="en-GB"/>
        </w:rPr>
        <w:t>Casotti</w:t>
      </w:r>
      <w:proofErr w:type="spellEnd"/>
      <w:r w:rsidRPr="00084C1A">
        <w:rPr>
          <w:rFonts w:eastAsia="Times New Roman" w:cs="Times New Roman"/>
          <w:color w:val="000000" w:themeColor="text1"/>
          <w:lang w:eastAsia="en-GB"/>
        </w:rPr>
        <w:t xml:space="preserve">, C.A. and </w:t>
      </w:r>
      <w:proofErr w:type="spellStart"/>
      <w:r w:rsidRPr="00084C1A">
        <w:rPr>
          <w:rFonts w:eastAsia="Times New Roman" w:cs="Times New Roman"/>
          <w:color w:val="000000" w:themeColor="text1"/>
          <w:lang w:eastAsia="en-GB"/>
        </w:rPr>
        <w:t>Boery</w:t>
      </w:r>
      <w:proofErr w:type="spellEnd"/>
      <w:r w:rsidRPr="00084C1A">
        <w:rPr>
          <w:rFonts w:eastAsia="Times New Roman" w:cs="Times New Roman"/>
          <w:color w:val="000000" w:themeColor="text1"/>
          <w:lang w:eastAsia="en-GB"/>
        </w:rPr>
        <w:t xml:space="preserve">, E.N. (2018) 'Stress and quality of life among university students: A systematic literature review', </w:t>
      </w:r>
      <w:r w:rsidRPr="00A82B63">
        <w:rPr>
          <w:rFonts w:eastAsia="Times New Roman" w:cs="Times New Roman"/>
          <w:i/>
          <w:iCs/>
          <w:color w:val="000000" w:themeColor="text1"/>
          <w:lang w:eastAsia="en-GB"/>
        </w:rPr>
        <w:t>Health Professions Education</w:t>
      </w:r>
      <w:r w:rsidRPr="00084C1A">
        <w:rPr>
          <w:rFonts w:eastAsia="Times New Roman" w:cs="Times New Roman"/>
          <w:color w:val="000000" w:themeColor="text1"/>
          <w:lang w:eastAsia="en-GB"/>
        </w:rPr>
        <w:t>, 4(2), pp. 70–77.</w:t>
      </w:r>
      <w:r w:rsidR="00A82B63">
        <w:rPr>
          <w:rFonts w:eastAsia="Times New Roman" w:cs="Times New Roman"/>
          <w:color w:val="000000" w:themeColor="text1"/>
          <w:lang w:eastAsia="en-GB"/>
        </w:rPr>
        <w:t xml:space="preserve"> Available at: </w:t>
      </w:r>
      <w:hyperlink r:id="rId27" w:history="1">
        <w:r w:rsidR="00A82B63" w:rsidRPr="006B27BC">
          <w:rPr>
            <w:rStyle w:val="Hyperlink"/>
            <w:rFonts w:eastAsia="Times New Roman" w:cs="Times New Roman"/>
            <w:lang w:eastAsia="en-GB"/>
          </w:rPr>
          <w:t>https://doi.org/10.1016/j.hpe.2017.03.002</w:t>
        </w:r>
      </w:hyperlink>
    </w:p>
    <w:p w14:paraId="0D382AAE" w14:textId="6E617F84"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lastRenderedPageBreak/>
        <w:t xml:space="preserve">Shawe-Taylor, J. and Sun, S. (2011) 'A review of optimization methodologies in support vector machines', </w:t>
      </w:r>
      <w:r w:rsidRPr="00135D2C">
        <w:rPr>
          <w:rFonts w:eastAsia="Times New Roman" w:cs="Times New Roman"/>
          <w:i/>
          <w:iCs/>
          <w:color w:val="000000" w:themeColor="text1"/>
          <w:lang w:eastAsia="en-GB"/>
        </w:rPr>
        <w:t>Neurocomputing</w:t>
      </w:r>
      <w:r w:rsidRPr="00084C1A">
        <w:rPr>
          <w:rFonts w:eastAsia="Times New Roman" w:cs="Times New Roman"/>
          <w:color w:val="000000" w:themeColor="text1"/>
          <w:lang w:eastAsia="en-GB"/>
        </w:rPr>
        <w:t>, 74(17), pp. 3609–3618.</w:t>
      </w:r>
      <w:r w:rsidR="00135D2C">
        <w:rPr>
          <w:rFonts w:eastAsia="Times New Roman" w:cs="Times New Roman"/>
          <w:color w:val="000000" w:themeColor="text1"/>
          <w:lang w:eastAsia="en-GB"/>
        </w:rPr>
        <w:t xml:space="preserve"> Available at: </w:t>
      </w:r>
      <w:hyperlink r:id="rId28" w:history="1">
        <w:r w:rsidR="00135D2C" w:rsidRPr="00CC2988">
          <w:rPr>
            <w:rStyle w:val="Hyperlink"/>
            <w:rFonts w:eastAsia="Times New Roman" w:cs="Times New Roman"/>
            <w:lang w:eastAsia="en-GB"/>
          </w:rPr>
          <w:t>https://doi.org/10.1016/j.neucom.2011.06.026</w:t>
        </w:r>
      </w:hyperlink>
      <w:r w:rsidR="00135D2C">
        <w:rPr>
          <w:rFonts w:eastAsia="Times New Roman" w:cs="Times New Roman"/>
          <w:color w:val="000000" w:themeColor="text1"/>
          <w:lang w:eastAsia="en-GB"/>
        </w:rPr>
        <w:t xml:space="preserve"> </w:t>
      </w:r>
    </w:p>
    <w:p w14:paraId="3ECA11D4" w14:textId="59AF5D94"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Wang, R. (2012) 'AdaBoost for feature selection, classification and its relation with SVM, a review', </w:t>
      </w:r>
      <w:r w:rsidRPr="004F3C58">
        <w:rPr>
          <w:rFonts w:eastAsia="Times New Roman" w:cs="Times New Roman"/>
          <w:i/>
          <w:iCs/>
          <w:color w:val="000000" w:themeColor="text1"/>
          <w:lang w:eastAsia="en-GB"/>
        </w:rPr>
        <w:t>Physics Procedia</w:t>
      </w:r>
      <w:r w:rsidRPr="00084C1A">
        <w:rPr>
          <w:rFonts w:eastAsia="Times New Roman" w:cs="Times New Roman"/>
          <w:color w:val="000000" w:themeColor="text1"/>
          <w:lang w:eastAsia="en-GB"/>
        </w:rPr>
        <w:t>, 25, pp. 800–807.</w:t>
      </w:r>
      <w:r w:rsidR="004F3C58">
        <w:rPr>
          <w:rFonts w:eastAsia="Times New Roman" w:cs="Times New Roman"/>
          <w:color w:val="000000" w:themeColor="text1"/>
          <w:lang w:eastAsia="en-GB"/>
        </w:rPr>
        <w:t xml:space="preserve"> Available at: </w:t>
      </w:r>
      <w:hyperlink r:id="rId29" w:history="1">
        <w:r w:rsidR="004F3C58" w:rsidRPr="00CC2988">
          <w:rPr>
            <w:rStyle w:val="Hyperlink"/>
            <w:rFonts w:eastAsia="Times New Roman" w:cs="Times New Roman"/>
            <w:lang w:eastAsia="en-GB"/>
          </w:rPr>
          <w:t>https://doi.org/10.1016/j.phpro.2012.03.160</w:t>
        </w:r>
      </w:hyperlink>
      <w:r w:rsidR="004F3C58">
        <w:rPr>
          <w:rFonts w:eastAsia="Times New Roman" w:cs="Times New Roman"/>
          <w:color w:val="000000" w:themeColor="text1"/>
          <w:lang w:eastAsia="en-GB"/>
        </w:rPr>
        <w:t xml:space="preserve"> </w:t>
      </w:r>
    </w:p>
    <w:p w14:paraId="691AC9D4" w14:textId="7EEC7AF1"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Wickramasinghe, I. and Kalutarage, H. (2021) 'Naive Bayes: applications, variations and vulnerabilities: a review of literature with code snippets for implementation', </w:t>
      </w:r>
      <w:r w:rsidRPr="00046F74">
        <w:rPr>
          <w:rFonts w:eastAsia="Times New Roman" w:cs="Times New Roman"/>
          <w:i/>
          <w:iCs/>
          <w:color w:val="000000" w:themeColor="text1"/>
          <w:lang w:eastAsia="en-GB"/>
        </w:rPr>
        <w:t>Soft Computing</w:t>
      </w:r>
      <w:r w:rsidRPr="00084C1A">
        <w:rPr>
          <w:rFonts w:eastAsia="Times New Roman" w:cs="Times New Roman"/>
          <w:color w:val="000000" w:themeColor="text1"/>
          <w:lang w:eastAsia="en-GB"/>
        </w:rPr>
        <w:t>, 25, pp. 2277–2293.</w:t>
      </w:r>
      <w:r w:rsidR="00046F74">
        <w:rPr>
          <w:rFonts w:eastAsia="Times New Roman" w:cs="Times New Roman"/>
          <w:color w:val="000000" w:themeColor="text1"/>
          <w:lang w:eastAsia="en-GB"/>
        </w:rPr>
        <w:t xml:space="preserve"> Available at: </w:t>
      </w:r>
      <w:hyperlink r:id="rId30" w:history="1">
        <w:r w:rsidR="00046F74" w:rsidRPr="006B27BC">
          <w:rPr>
            <w:rStyle w:val="Hyperlink"/>
            <w:rFonts w:eastAsia="Times New Roman" w:cs="Times New Roman"/>
            <w:lang w:eastAsia="en-GB"/>
          </w:rPr>
          <w:t>https://doi.org/10.1007/s00500-020-05297-6</w:t>
        </w:r>
      </w:hyperlink>
    </w:p>
    <w:p w14:paraId="43BDC5B9" w14:textId="48299AF6" w:rsidR="009B7F57" w:rsidRPr="00084C1A"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Yılmaz Koğar, E. and Koğar, H. (2024) 'A systematic review and meta-analytic confirmatory factor analysis of the perceived stress scale (PSS-10 and PSS-14)', </w:t>
      </w:r>
      <w:r w:rsidRPr="00800F2A">
        <w:rPr>
          <w:rFonts w:eastAsia="Times New Roman" w:cs="Times New Roman"/>
          <w:i/>
          <w:iCs/>
          <w:color w:val="000000" w:themeColor="text1"/>
          <w:lang w:eastAsia="en-GB"/>
        </w:rPr>
        <w:t>Stress and Health</w:t>
      </w:r>
      <w:r w:rsidRPr="00084C1A">
        <w:rPr>
          <w:rFonts w:eastAsia="Times New Roman" w:cs="Times New Roman"/>
          <w:color w:val="000000" w:themeColor="text1"/>
          <w:lang w:eastAsia="en-GB"/>
        </w:rPr>
        <w:t>, 40(1), p. e3285.</w:t>
      </w:r>
      <w:r w:rsidR="00871035">
        <w:rPr>
          <w:rFonts w:eastAsia="Times New Roman" w:cs="Times New Roman"/>
          <w:color w:val="000000" w:themeColor="text1"/>
          <w:lang w:eastAsia="en-GB"/>
        </w:rPr>
        <w:t xml:space="preserve"> Available at: </w:t>
      </w:r>
      <w:hyperlink r:id="rId31" w:history="1">
        <w:r w:rsidR="00871035" w:rsidRPr="006B27BC">
          <w:rPr>
            <w:rStyle w:val="Hyperlink"/>
            <w:rFonts w:eastAsia="Times New Roman" w:cs="Times New Roman"/>
            <w:lang w:eastAsia="en-GB"/>
          </w:rPr>
          <w:t>https://doi.org/10.1002/smi.3285</w:t>
        </w:r>
      </w:hyperlink>
      <w:r w:rsidR="00871035">
        <w:rPr>
          <w:rFonts w:eastAsia="Times New Roman" w:cs="Times New Roman"/>
          <w:color w:val="000000" w:themeColor="text1"/>
          <w:lang w:eastAsia="en-GB"/>
        </w:rPr>
        <w:t xml:space="preserve"> </w:t>
      </w:r>
    </w:p>
    <w:p w14:paraId="62571FC6" w14:textId="77777777" w:rsidR="009B7F57" w:rsidRPr="00A11F53" w:rsidRDefault="009B7F57" w:rsidP="00800F2A">
      <w:pPr>
        <w:spacing w:before="100" w:beforeAutospacing="1" w:after="100" w:afterAutospacing="1"/>
        <w:rPr>
          <w:rFonts w:eastAsia="Times New Roman" w:cs="Times New Roman"/>
          <w:color w:val="000000" w:themeColor="text1"/>
          <w:lang w:eastAsia="en-GB"/>
        </w:rPr>
      </w:pPr>
      <w:r w:rsidRPr="00084C1A">
        <w:rPr>
          <w:rFonts w:eastAsia="Times New Roman" w:cs="Times New Roman"/>
          <w:color w:val="000000" w:themeColor="text1"/>
          <w:lang w:eastAsia="en-GB"/>
        </w:rPr>
        <w:t xml:space="preserve">Zhai, Y., Zhang, Y., Chu, Z., Geng, B., Almaawali, M., Fulmer, R., Lin, Y.D., Xu, Z., Daniels, A.D., Liu, Y. et al. (2025) 'Machine learning predictive models to guide prevention and intervention allocation for anxiety and depressive disorders among college students', </w:t>
      </w:r>
      <w:r w:rsidRPr="00F23D8B">
        <w:rPr>
          <w:rFonts w:eastAsia="Times New Roman" w:cs="Times New Roman"/>
          <w:i/>
          <w:iCs/>
          <w:color w:val="000000" w:themeColor="text1"/>
          <w:lang w:eastAsia="en-GB"/>
        </w:rPr>
        <w:t>Journal of Counseling &amp; Development</w:t>
      </w:r>
      <w:r w:rsidRPr="00084C1A">
        <w:rPr>
          <w:rFonts w:eastAsia="Times New Roman" w:cs="Times New Roman"/>
          <w:color w:val="000000" w:themeColor="text1"/>
          <w:lang w:eastAsia="en-GB"/>
        </w:rPr>
        <w:t>, 103(1), pp. 110–125.</w:t>
      </w:r>
    </w:p>
    <w:p w14:paraId="436AD967" w14:textId="77777777" w:rsidR="009B7F57" w:rsidRDefault="009B7F57" w:rsidP="009B7F57">
      <w:pPr>
        <w:pStyle w:val="Heading2"/>
      </w:pPr>
      <w:r>
        <w:t>Copyright Statement</w:t>
      </w:r>
    </w:p>
    <w:p w14:paraId="75232286" w14:textId="0BA9B04A" w:rsidR="009B7F57" w:rsidRPr="00240A04" w:rsidRDefault="009B7F57" w:rsidP="009B7F57">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C0678E">
        <w:rPr>
          <w:rFonts w:eastAsia="Times New Roman" w:cs="Arial"/>
          <w:color w:val="212529"/>
          <w:shd w:val="clear" w:color="auto" w:fill="FFFFFF"/>
          <w:lang w:eastAsia="en-GB"/>
        </w:rPr>
        <w:t xml:space="preserve"> Tapu Biswas</w:t>
      </w:r>
      <w:r w:rsidRPr="003F5971">
        <w:rPr>
          <w:rFonts w:eastAsia="Times New Roman" w:cs="Arial"/>
          <w:color w:val="000000" w:themeColor="text1"/>
          <w:shd w:val="clear" w:color="auto" w:fill="FFFFFF"/>
          <w:lang w:eastAsia="en-GB"/>
        </w:rPr>
        <w:t>.</w:t>
      </w:r>
      <w:r w:rsidRPr="00B36EC1">
        <w:rPr>
          <w:rFonts w:eastAsia="Times New Roman" w:cs="Arial"/>
          <w:color w:val="EE0000"/>
          <w:shd w:val="clear" w:color="auto" w:fill="FFFFFF"/>
          <w:lang w:eastAsia="en-GB"/>
        </w:rPr>
        <w:t xml:space="preserve"> </w:t>
      </w:r>
      <w:r w:rsidRPr="00E1530F">
        <w:rPr>
          <w:rFonts w:eastAsia="Times New Roman" w:cs="Arial"/>
          <w:color w:val="212529"/>
          <w:shd w:val="clear" w:color="auto" w:fill="FFFFFF"/>
          <w:lang w:eastAsia="en-GB"/>
        </w:rPr>
        <w:t xml:space="preserve">This article is licensed under a </w:t>
      </w:r>
      <w:hyperlink r:id="rId32"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p w14:paraId="78B87C67" w14:textId="5CBEA952" w:rsidR="001D7306" w:rsidRPr="00240A04" w:rsidRDefault="001D7306" w:rsidP="00240A04">
      <w:pPr>
        <w:spacing w:before="120" w:after="120" w:line="360" w:lineRule="auto"/>
        <w:jc w:val="both"/>
        <w:rPr>
          <w:rFonts w:eastAsia="Times New Roman" w:cs="Times New Roman"/>
          <w:lang w:eastAsia="en-GB"/>
        </w:rPr>
      </w:pPr>
    </w:p>
    <w:sectPr w:rsidR="001D7306" w:rsidRPr="00240A04" w:rsidSect="00BE6334">
      <w:headerReference w:type="default" r:id="rId33"/>
      <w:footerReference w:type="default" r:id="rId34"/>
      <w:headerReference w:type="first" r:id="rId35"/>
      <w:foot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109" w14:textId="77777777" w:rsidR="005C639B" w:rsidRDefault="005C639B" w:rsidP="002B247D">
      <w:pPr>
        <w:spacing w:after="0" w:line="240" w:lineRule="auto"/>
      </w:pPr>
      <w:r>
        <w:separator/>
      </w:r>
    </w:p>
  </w:endnote>
  <w:endnote w:type="continuationSeparator" w:id="0">
    <w:p w14:paraId="0AC40BAA" w14:textId="77777777" w:rsidR="005C639B" w:rsidRDefault="005C639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572964CB" w:rsidR="00BE6334" w:rsidRPr="00990D5E" w:rsidRDefault="00BE6334">
        <w:pPr>
          <w:pStyle w:val="Footer"/>
          <w:jc w:val="center"/>
          <w:rPr>
            <w:sz w:val="20"/>
            <w:szCs w:val="20"/>
          </w:rPr>
        </w:pPr>
        <w:r w:rsidRPr="00990D5E">
          <w:rPr>
            <w:noProof/>
            <w:sz w:val="20"/>
            <w:szCs w:val="20"/>
          </w:rPr>
          <w:t xml:space="preserve">This article is </w:t>
        </w:r>
        <w:r w:rsidR="00B53462">
          <w:rPr>
            <w:noProof/>
            <w:sz w:val="20"/>
            <w:szCs w:val="20"/>
          </w:rPr>
          <w:t xml:space="preserve">licensed </w:t>
        </w:r>
        <w:hyperlink r:id="rId1" w:history="1">
          <w:r w:rsidRPr="00B53462">
            <w:rPr>
              <w:rStyle w:val="Hyperlink"/>
              <w:noProof/>
              <w:sz w:val="20"/>
              <w:szCs w:val="20"/>
            </w:rPr>
            <w:t>CC BY</w:t>
          </w:r>
          <w:r w:rsidR="00B53462" w:rsidRPr="00B53462">
            <w:rPr>
              <w:rStyle w:val="Hyperlink"/>
              <w:noProof/>
              <w:sz w:val="20"/>
              <w:szCs w:val="20"/>
            </w:rPr>
            <w:t xml:space="preserve"> 4.0</w:t>
          </w:r>
        </w:hyperlink>
        <w:r w:rsidRPr="00990D5E">
          <w:rPr>
            <w:noProof/>
            <w:sz w:val="20"/>
            <w:szCs w:val="20"/>
          </w:rPr>
          <w:t xml:space="preserve"> (</w:t>
        </w:r>
        <w:r w:rsidR="00C0678E">
          <w:rPr>
            <w:noProof/>
            <w:sz w:val="20"/>
            <w:szCs w:val="20"/>
          </w:rPr>
          <w:t>Tapu Biswas</w:t>
        </w:r>
        <w:r w:rsidRPr="00990D5E">
          <w:rPr>
            <w:noProof/>
            <w:sz w:val="20"/>
            <w:szCs w:val="20"/>
          </w:rPr>
          <w:t>)</w:t>
        </w:r>
        <w:r w:rsidRPr="00990D5E">
          <w:rPr>
            <w:noProof/>
            <w:sz w:val="20"/>
            <w:szCs w:val="20"/>
          </w:rPr>
          <w:tab/>
        </w:r>
        <w:r w:rsidRPr="00990D5E">
          <w:rPr>
            <w:noProof/>
            <w:sz w:val="20"/>
            <w:szCs w:val="20"/>
          </w:rPr>
          <w:tab/>
          <w:t xml:space="preserve">Essex Student Journal, </w:t>
        </w:r>
        <w:r w:rsidR="00C0678E">
          <w:rPr>
            <w:noProof/>
            <w:sz w:val="20"/>
            <w:szCs w:val="20"/>
          </w:rPr>
          <w:t>2026</w:t>
        </w:r>
        <w:r w:rsidR="00990D5E">
          <w:rPr>
            <w:noProof/>
            <w:sz w:val="20"/>
            <w:szCs w:val="20"/>
          </w:rPr>
          <w:t>, Vol</w:t>
        </w:r>
        <w:r w:rsidRPr="00990D5E">
          <w:rPr>
            <w:noProof/>
            <w:sz w:val="20"/>
            <w:szCs w:val="20"/>
          </w:rPr>
          <w:t>.</w:t>
        </w:r>
        <w:r w:rsidR="00C0678E">
          <w:rPr>
            <w:noProof/>
            <w:sz w:val="20"/>
            <w:szCs w:val="20"/>
          </w:rPr>
          <w:t xml:space="preserve"> 17(1)</w:t>
        </w:r>
      </w:p>
    </w:sdtContent>
  </w:sdt>
  <w:p w14:paraId="793C577F" w14:textId="24B04863" w:rsidR="00BE6334" w:rsidRPr="00990D5E" w:rsidRDefault="00BE6334">
    <w:pPr>
      <w:pStyle w:val="Footer"/>
      <w:rPr>
        <w:sz w:val="20"/>
        <w:szCs w:val="20"/>
      </w:rPr>
    </w:pPr>
    <w:r w:rsidRPr="00990D5E">
      <w:rPr>
        <w:sz w:val="20"/>
        <w:szCs w:val="20"/>
      </w:rPr>
      <w:t xml:space="preserve">DOI: </w:t>
    </w:r>
    <w:hyperlink r:id="rId2" w:history="1">
      <w:r w:rsidR="00C0678E" w:rsidRPr="00117C13">
        <w:rPr>
          <w:rStyle w:val="Hyperlink"/>
          <w:sz w:val="20"/>
          <w:szCs w:val="20"/>
        </w:rPr>
        <w:t>https://doi.org/10.5526/esj.453</w:t>
      </w:r>
    </w:hyperlink>
    <w:r w:rsidR="00C0678E">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D7D87FF" w14:textId="286F000E" w:rsidR="00C0678E" w:rsidRPr="00990D5E" w:rsidRDefault="00C0678E" w:rsidP="00C0678E">
        <w:pPr>
          <w:pStyle w:val="Foo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Pr>
            <w:noProof/>
            <w:sz w:val="20"/>
            <w:szCs w:val="20"/>
          </w:rPr>
          <w:t>Tapu Biswas</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2026, Vol</w:t>
        </w:r>
        <w:r w:rsidRPr="00990D5E">
          <w:rPr>
            <w:noProof/>
            <w:sz w:val="20"/>
            <w:szCs w:val="20"/>
          </w:rPr>
          <w:t>.</w:t>
        </w:r>
        <w:r>
          <w:rPr>
            <w:noProof/>
            <w:sz w:val="20"/>
            <w:szCs w:val="20"/>
          </w:rPr>
          <w:t xml:space="preserve"> 17(1)</w:t>
        </w:r>
      </w:p>
      <w:p w14:paraId="6152AABE" w14:textId="03D7309C" w:rsidR="00BE6334" w:rsidRPr="00990D5E" w:rsidRDefault="00C0678E" w:rsidP="00C0678E">
        <w:pPr>
          <w:pStyle w:val="Footer"/>
          <w:rPr>
            <w:sz w:val="20"/>
            <w:szCs w:val="20"/>
          </w:rPr>
        </w:pPr>
        <w:r w:rsidRPr="00990D5E">
          <w:rPr>
            <w:sz w:val="20"/>
            <w:szCs w:val="20"/>
          </w:rPr>
          <w:t xml:space="preserve">DOI: </w:t>
        </w:r>
        <w:hyperlink r:id="rId2" w:history="1">
          <w:r w:rsidRPr="00117C13">
            <w:rPr>
              <w:rStyle w:val="Hyperlink"/>
              <w:sz w:val="20"/>
              <w:szCs w:val="20"/>
            </w:rPr>
            <w:t>https://doi.org/10.5526/esj.453</w:t>
          </w:r>
        </w:hyperlink>
        <w:r w:rsidR="00A55EA2">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3EBF" w14:textId="77777777" w:rsidR="005C639B" w:rsidRDefault="005C639B" w:rsidP="002B247D">
      <w:pPr>
        <w:spacing w:after="0" w:line="240" w:lineRule="auto"/>
      </w:pPr>
      <w:r>
        <w:separator/>
      </w:r>
    </w:p>
  </w:footnote>
  <w:footnote w:type="continuationSeparator" w:id="0">
    <w:p w14:paraId="6BFEFD77" w14:textId="77777777" w:rsidR="005C639B" w:rsidRDefault="005C639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63C05EFD" w:rsidR="002B247D" w:rsidRPr="00CC5339" w:rsidRDefault="00CC5339" w:rsidP="00CC5339">
    <w:pPr>
      <w:pStyle w:val="Header"/>
    </w:pPr>
    <w:r w:rsidRPr="00CC5339">
      <w:t>The Role of Socioeconomic Factors in Machine Learning-Based Classification of Student Stress Levels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D3E3" w14:textId="6643E1F0" w:rsidR="00575297" w:rsidRPr="00CC5339" w:rsidRDefault="00CC5339" w:rsidP="00CC5339">
    <w:pPr>
      <w:pStyle w:val="Header"/>
    </w:pPr>
    <w:r w:rsidRPr="00CC5339">
      <w:t>The Role of Socioeconomic Factors in Machine Learning-Based Classification of Student Stress Levels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151CA"/>
    <w:multiLevelType w:val="hybridMultilevel"/>
    <w:tmpl w:val="D7268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932728">
    <w:abstractNumId w:val="1"/>
  </w:num>
  <w:num w:numId="2" w16cid:durableId="700589557">
    <w:abstractNumId w:val="2"/>
  </w:num>
  <w:num w:numId="3" w16cid:durableId="198671331">
    <w:abstractNumId w:val="0"/>
  </w:num>
  <w:num w:numId="4" w16cid:durableId="485708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46F74"/>
    <w:rsid w:val="00051997"/>
    <w:rsid w:val="00057F3F"/>
    <w:rsid w:val="00066760"/>
    <w:rsid w:val="00082008"/>
    <w:rsid w:val="00083282"/>
    <w:rsid w:val="00092C26"/>
    <w:rsid w:val="00094E2A"/>
    <w:rsid w:val="000B3B64"/>
    <w:rsid w:val="000B6011"/>
    <w:rsid w:val="00135D2C"/>
    <w:rsid w:val="001463E9"/>
    <w:rsid w:val="00146B7A"/>
    <w:rsid w:val="00167141"/>
    <w:rsid w:val="001D7306"/>
    <w:rsid w:val="002167D1"/>
    <w:rsid w:val="00221F4A"/>
    <w:rsid w:val="00240A04"/>
    <w:rsid w:val="00240FC1"/>
    <w:rsid w:val="00253AB8"/>
    <w:rsid w:val="002B247D"/>
    <w:rsid w:val="002C2942"/>
    <w:rsid w:val="002C4464"/>
    <w:rsid w:val="002C7AC5"/>
    <w:rsid w:val="002E1AF3"/>
    <w:rsid w:val="002E3823"/>
    <w:rsid w:val="00303E7B"/>
    <w:rsid w:val="00313E93"/>
    <w:rsid w:val="00325E64"/>
    <w:rsid w:val="00331418"/>
    <w:rsid w:val="00336B41"/>
    <w:rsid w:val="0035767C"/>
    <w:rsid w:val="00374289"/>
    <w:rsid w:val="00397E61"/>
    <w:rsid w:val="003F3860"/>
    <w:rsid w:val="00443CE0"/>
    <w:rsid w:val="00453B7A"/>
    <w:rsid w:val="00460B35"/>
    <w:rsid w:val="004F3C58"/>
    <w:rsid w:val="005364B0"/>
    <w:rsid w:val="00575297"/>
    <w:rsid w:val="005B39B8"/>
    <w:rsid w:val="005C639B"/>
    <w:rsid w:val="00637440"/>
    <w:rsid w:val="00642356"/>
    <w:rsid w:val="0065312D"/>
    <w:rsid w:val="00660091"/>
    <w:rsid w:val="006909F0"/>
    <w:rsid w:val="00693823"/>
    <w:rsid w:val="00696C78"/>
    <w:rsid w:val="006A66A3"/>
    <w:rsid w:val="006F7358"/>
    <w:rsid w:val="00732132"/>
    <w:rsid w:val="00735E89"/>
    <w:rsid w:val="00737741"/>
    <w:rsid w:val="007B0B3B"/>
    <w:rsid w:val="007B2469"/>
    <w:rsid w:val="007B2F6E"/>
    <w:rsid w:val="007D363D"/>
    <w:rsid w:val="007D3D54"/>
    <w:rsid w:val="007F7058"/>
    <w:rsid w:val="00800F2A"/>
    <w:rsid w:val="00871035"/>
    <w:rsid w:val="00877444"/>
    <w:rsid w:val="008E394F"/>
    <w:rsid w:val="009255DE"/>
    <w:rsid w:val="00930090"/>
    <w:rsid w:val="0094339F"/>
    <w:rsid w:val="00990D5E"/>
    <w:rsid w:val="009A0883"/>
    <w:rsid w:val="009A65EC"/>
    <w:rsid w:val="009B4995"/>
    <w:rsid w:val="009B7F57"/>
    <w:rsid w:val="009C10A8"/>
    <w:rsid w:val="009C592F"/>
    <w:rsid w:val="009E26F7"/>
    <w:rsid w:val="009F3A7B"/>
    <w:rsid w:val="00A056B1"/>
    <w:rsid w:val="00A10993"/>
    <w:rsid w:val="00A3652D"/>
    <w:rsid w:val="00A44A87"/>
    <w:rsid w:val="00A50C1E"/>
    <w:rsid w:val="00A538B5"/>
    <w:rsid w:val="00A55EA2"/>
    <w:rsid w:val="00A82B63"/>
    <w:rsid w:val="00AD0A85"/>
    <w:rsid w:val="00B322FB"/>
    <w:rsid w:val="00B45D8B"/>
    <w:rsid w:val="00B46256"/>
    <w:rsid w:val="00B53462"/>
    <w:rsid w:val="00B77266"/>
    <w:rsid w:val="00BC0C64"/>
    <w:rsid w:val="00BE6334"/>
    <w:rsid w:val="00C0678E"/>
    <w:rsid w:val="00C07F32"/>
    <w:rsid w:val="00C40680"/>
    <w:rsid w:val="00C40A07"/>
    <w:rsid w:val="00C4128C"/>
    <w:rsid w:val="00C74E9F"/>
    <w:rsid w:val="00CB2CEA"/>
    <w:rsid w:val="00CC5339"/>
    <w:rsid w:val="00CF5C0C"/>
    <w:rsid w:val="00D35A7A"/>
    <w:rsid w:val="00D44C28"/>
    <w:rsid w:val="00DD1181"/>
    <w:rsid w:val="00DF250D"/>
    <w:rsid w:val="00E020D3"/>
    <w:rsid w:val="00E10EDD"/>
    <w:rsid w:val="00E27033"/>
    <w:rsid w:val="00E355F6"/>
    <w:rsid w:val="00E61399"/>
    <w:rsid w:val="00ED039A"/>
    <w:rsid w:val="00ED789F"/>
    <w:rsid w:val="00EE0FA7"/>
    <w:rsid w:val="00EE4F00"/>
    <w:rsid w:val="00EE5991"/>
    <w:rsid w:val="00F23D8B"/>
    <w:rsid w:val="00F71D35"/>
    <w:rsid w:val="00F97BB5"/>
    <w:rsid w:val="00FC77AB"/>
    <w:rsid w:val="00FE1138"/>
    <w:rsid w:val="00FE534F"/>
    <w:rsid w:val="00FF3200"/>
    <w:rsid w:val="043F50B3"/>
    <w:rsid w:val="095AE28A"/>
    <w:rsid w:val="21BBCBC4"/>
    <w:rsid w:val="43EC381A"/>
    <w:rsid w:val="49302807"/>
    <w:rsid w:val="56406891"/>
    <w:rsid w:val="68CA38FC"/>
    <w:rsid w:val="6C97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table" w:styleId="TableGrid">
    <w:name w:val="Table Grid"/>
    <w:basedOn w:val="TableNormal"/>
    <w:uiPriority w:val="39"/>
    <w:rsid w:val="009B7F57"/>
    <w:pPr>
      <w:spacing w:after="0" w:line="240" w:lineRule="auto"/>
    </w:pPr>
    <w:rPr>
      <w:rFonts w:eastAsiaTheme="minorEastAsia"/>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F57"/>
    <w:rPr>
      <w:b/>
      <w:bCs/>
    </w:rPr>
  </w:style>
  <w:style w:type="character" w:styleId="PlaceholderText">
    <w:name w:val="Placeholder Text"/>
    <w:basedOn w:val="DefaultParagraphFont"/>
    <w:uiPriority w:val="99"/>
    <w:semiHidden/>
    <w:rsid w:val="009B7F57"/>
    <w:rPr>
      <w:color w:val="666666"/>
    </w:rPr>
  </w:style>
  <w:style w:type="character" w:styleId="FollowedHyperlink">
    <w:name w:val="FollowedHyperlink"/>
    <w:basedOn w:val="DefaultParagraphFont"/>
    <w:uiPriority w:val="99"/>
    <w:semiHidden/>
    <w:unhideWhenUsed/>
    <w:rsid w:val="009B7F57"/>
    <w:rPr>
      <w:color w:val="800080" w:themeColor="followedHyperlink"/>
      <w:u w:val="single"/>
    </w:rPr>
  </w:style>
  <w:style w:type="paragraph" w:styleId="NormalWeb">
    <w:name w:val="Normal (Web)"/>
    <w:basedOn w:val="Normal"/>
    <w:uiPriority w:val="99"/>
    <w:unhideWhenUsed/>
    <w:rsid w:val="009B7F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B7F57"/>
    <w:pPr>
      <w:spacing w:after="0" w:line="240" w:lineRule="auto"/>
    </w:pPr>
    <w:rPr>
      <w:rFonts w:ascii="Sylfaen" w:hAnsi="Sylfaen"/>
    </w:rPr>
  </w:style>
  <w:style w:type="character" w:styleId="CommentReference">
    <w:name w:val="annotation reference"/>
    <w:basedOn w:val="DefaultParagraphFont"/>
    <w:uiPriority w:val="99"/>
    <w:semiHidden/>
    <w:unhideWhenUsed/>
    <w:rsid w:val="009B7F57"/>
    <w:rPr>
      <w:sz w:val="16"/>
      <w:szCs w:val="16"/>
    </w:rPr>
  </w:style>
  <w:style w:type="paragraph" w:styleId="CommentText">
    <w:name w:val="annotation text"/>
    <w:basedOn w:val="Normal"/>
    <w:link w:val="CommentTextChar"/>
    <w:uiPriority w:val="99"/>
    <w:unhideWhenUsed/>
    <w:rsid w:val="009B7F57"/>
    <w:pPr>
      <w:spacing w:line="240" w:lineRule="auto"/>
    </w:pPr>
    <w:rPr>
      <w:sz w:val="20"/>
      <w:szCs w:val="20"/>
    </w:rPr>
  </w:style>
  <w:style w:type="character" w:customStyle="1" w:styleId="CommentTextChar">
    <w:name w:val="Comment Text Char"/>
    <w:basedOn w:val="DefaultParagraphFont"/>
    <w:link w:val="CommentText"/>
    <w:uiPriority w:val="99"/>
    <w:rsid w:val="009B7F57"/>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9B7F57"/>
    <w:rPr>
      <w:b/>
      <w:bCs/>
    </w:rPr>
  </w:style>
  <w:style w:type="character" w:customStyle="1" w:styleId="CommentSubjectChar">
    <w:name w:val="Comment Subject Char"/>
    <w:basedOn w:val="CommentTextChar"/>
    <w:link w:val="CommentSubject"/>
    <w:uiPriority w:val="99"/>
    <w:semiHidden/>
    <w:rsid w:val="009B7F57"/>
    <w:rPr>
      <w:rFonts w:ascii="Sylfaen" w:hAnsi="Sylfaen"/>
      <w:b/>
      <w:bCs/>
      <w:sz w:val="20"/>
      <w:szCs w:val="20"/>
    </w:rPr>
  </w:style>
  <w:style w:type="table" w:styleId="PlainTable2">
    <w:name w:val="Plain Table 2"/>
    <w:basedOn w:val="TableNormal"/>
    <w:uiPriority w:val="42"/>
    <w:rsid w:val="009B7F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B7F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73213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62-022-10275-5" TargetMode="External"/><Relationship Id="rId18" Type="http://schemas.openxmlformats.org/officeDocument/2006/relationships/hyperlink" Target="https://doi.org/10.1186/s40537-024-00973-y" TargetMode="External"/><Relationship Id="rId26" Type="http://schemas.openxmlformats.org/officeDocument/2006/relationships/hyperlink" Target="https://doi.org/10.3389/fpsyg.2025.1517441" TargetMode="External"/><Relationship Id="rId21" Type="http://schemas.openxmlformats.org/officeDocument/2006/relationships/hyperlink" Target="https://doi.org/10.1016/j.jad.2024.09.16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rc.uk.net/outcome-experience-measures/perceived-stress-scale-pss-10/" TargetMode="External"/><Relationship Id="rId17" Type="http://schemas.openxmlformats.org/officeDocument/2006/relationships/hyperlink" Target="https://doi.org/10.1016/j.jad.2019.11.121" TargetMode="External"/><Relationship Id="rId25" Type="http://schemas.openxmlformats.org/officeDocument/2006/relationships/hyperlink" Target="https://doi.org/10.3389/feduc.2022.93807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21642583.2014.956265" TargetMode="External"/><Relationship Id="rId20" Type="http://schemas.openxmlformats.org/officeDocument/2006/relationships/hyperlink" Target="https://doi.org/10.1002/ep.13018" TargetMode="External"/><Relationship Id="rId29" Type="http://schemas.openxmlformats.org/officeDocument/2006/relationships/hyperlink" Target="https://doi.org/10.1016/j.phpro.2012.03.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62-020-09896-5" TargetMode="External"/><Relationship Id="rId24" Type="http://schemas.openxmlformats.org/officeDocument/2006/relationships/hyperlink" Target="https://doi.org/10.1080/00223891.2023.2286449" TargetMode="External"/><Relationship Id="rId32" Type="http://schemas.openxmlformats.org/officeDocument/2006/relationships/hyperlink" Target="https://creativecommons.org/licenses/by/4.0/deed.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ssm.2016.01.003" TargetMode="External"/><Relationship Id="rId23" Type="http://schemas.openxmlformats.org/officeDocument/2006/relationships/hyperlink" Target="https://doi.org/10.1080/07448481.2024.2431714" TargetMode="External"/><Relationship Id="rId28" Type="http://schemas.openxmlformats.org/officeDocument/2006/relationships/hyperlink" Target="https://doi.org/10.1016/j.neucom.2011.06.026" TargetMode="External"/><Relationship Id="rId36" Type="http://schemas.openxmlformats.org/officeDocument/2006/relationships/footer" Target="footer2.xml"/><Relationship Id="rId10" Type="http://schemas.openxmlformats.org/officeDocument/2006/relationships/hyperlink" Target="https://doi.org/10.1016/j.array.2025.100375" TargetMode="External"/><Relationship Id="rId19" Type="http://schemas.openxmlformats.org/officeDocument/2006/relationships/hyperlink" Target="https://doi.org/10.1016/S2212-5671(15)00493-1" TargetMode="External"/><Relationship Id="rId31" Type="http://schemas.openxmlformats.org/officeDocument/2006/relationships/hyperlink" Target="https://doi.org/10.1002/smi.32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teln.2024.04.009" TargetMode="External"/><Relationship Id="rId22" Type="http://schemas.openxmlformats.org/officeDocument/2006/relationships/hyperlink" Target="https://doi.org/10.1016/j.entcom.2024.100819" TargetMode="External"/><Relationship Id="rId27" Type="http://schemas.openxmlformats.org/officeDocument/2006/relationships/hyperlink" Target="https://doi.org/10.1016/j.hpe.2017.03.002" TargetMode="External"/><Relationship Id="rId30" Type="http://schemas.openxmlformats.org/officeDocument/2006/relationships/hyperlink" Target="https://doi.org/10.1007/s00500-020-05297-6"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53" TargetMode="External"/><Relationship Id="rId1" Type="http://schemas.openxmlformats.org/officeDocument/2006/relationships/hyperlink" Target="https://creativecommons.org/licenses/by/4.0/deed.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526/esj.453"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4761</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Learning-Based Detection of Student Stress Levels Through Socioeconomic Status</dc:title>
  <dc:subject/>
  <dc:creator>Tapu Biswas</dc:creator>
  <cp:keywords/>
  <dc:description/>
  <cp:lastModifiedBy>Crago, Hannah R</cp:lastModifiedBy>
  <cp:revision>6</cp:revision>
  <cp:lastPrinted>2026-01-23T15:59:00Z</cp:lastPrinted>
  <dcterms:created xsi:type="dcterms:W3CDTF">2026-01-23T12:56:00Z</dcterms:created>
  <dcterms:modified xsi:type="dcterms:W3CDTF">2026-01-23T15:59:00Z</dcterms:modified>
</cp:coreProperties>
</file>