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204CB" w14:textId="5D32E5A7" w:rsidR="00A538B5" w:rsidRPr="00281199" w:rsidRDefault="00CB12DD" w:rsidP="00B322FB">
      <w:pPr>
        <w:pBdr>
          <w:bottom w:val="single" w:sz="4" w:space="1" w:color="auto"/>
        </w:pBdr>
        <w:tabs>
          <w:tab w:val="right" w:pos="9026"/>
        </w:tabs>
        <w:spacing w:after="160"/>
        <w:rPr>
          <w:i/>
        </w:rPr>
      </w:pPr>
      <w:r w:rsidRPr="00281199">
        <w:rPr>
          <w:i/>
        </w:rPr>
        <w:t>Research paper</w:t>
      </w:r>
      <w:r w:rsidR="00A538B5" w:rsidRPr="00281199">
        <w:rPr>
          <w:i/>
        </w:rPr>
        <w:tab/>
      </w:r>
    </w:p>
    <w:p w14:paraId="19BBC0D1" w14:textId="7DE48BD7" w:rsidR="00E355F6" w:rsidRPr="00281199" w:rsidRDefault="00651775" w:rsidP="00B322FB">
      <w:pPr>
        <w:pStyle w:val="Title"/>
        <w:spacing w:after="160"/>
        <w:rPr>
          <w:rFonts w:ascii="Sylfaen" w:hAnsi="Sylfaen"/>
          <w:sz w:val="48"/>
          <w:szCs w:val="48"/>
        </w:rPr>
      </w:pPr>
      <w:r w:rsidRPr="00281199">
        <w:rPr>
          <w:rFonts w:ascii="Sylfaen" w:hAnsi="Sylfaen" w:cs="Arial"/>
          <w:b/>
          <w:bCs/>
          <w:color w:val="000000"/>
          <w:sz w:val="48"/>
          <w:szCs w:val="48"/>
        </w:rPr>
        <w:t>What shapes the meaning of fairness in the Criminal Justice System?</w:t>
      </w:r>
    </w:p>
    <w:p w14:paraId="5CE8B188" w14:textId="77777777" w:rsidR="002E07EE" w:rsidRDefault="002E07EE" w:rsidP="00B45D8B">
      <w:pPr>
        <w:pBdr>
          <w:bottom w:val="single" w:sz="4" w:space="1" w:color="auto"/>
        </w:pBdr>
        <w:spacing w:after="160"/>
      </w:pPr>
      <w:r w:rsidRPr="002E07EE">
        <w:t>Antonina Savka</w:t>
      </w:r>
    </w:p>
    <w:p w14:paraId="2A35EB5D" w14:textId="7F619045" w:rsidR="002B247D" w:rsidRPr="00281199" w:rsidRDefault="002B247D" w:rsidP="00B45D8B">
      <w:pPr>
        <w:pBdr>
          <w:bottom w:val="single" w:sz="4" w:space="1" w:color="auto"/>
        </w:pBdr>
        <w:spacing w:after="160"/>
      </w:pPr>
      <w:r w:rsidRPr="00281199">
        <w:t>University of Essex</w:t>
      </w:r>
    </w:p>
    <w:p w14:paraId="42AE1F70" w14:textId="44BF30BC" w:rsidR="00240FC1" w:rsidRPr="00281199" w:rsidRDefault="00331418" w:rsidP="001F5E08">
      <w:pPr>
        <w:pStyle w:val="Heading2"/>
        <w:rPr>
          <w:sz w:val="36"/>
        </w:rPr>
      </w:pPr>
      <w:r w:rsidRPr="00281199">
        <w:t>Abstract</w:t>
      </w:r>
    </w:p>
    <w:p w14:paraId="36D56F6B" w14:textId="4646EEB9" w:rsidR="0070619F" w:rsidRPr="003B45FE" w:rsidRDefault="0070619F" w:rsidP="0070619F">
      <w:pPr>
        <w:spacing w:after="160"/>
        <w:ind w:left="720"/>
        <w:jc w:val="both"/>
        <w:rPr>
          <w:bCs/>
        </w:rPr>
      </w:pPr>
      <w:r w:rsidRPr="0070619F">
        <w:rPr>
          <w:bCs/>
        </w:rPr>
        <w:t xml:space="preserve">Public perceptions of the Criminal Justice System (CJS) and its fairness are essential for maintaining a functional society. As history has shown, perceived injustice can lead to questioning law and order and may even be maliciously exploited. With the growing use of social media to challenge the CJS’s actions, the internet has become a fertile environment for manipulating the public towards radicalism. In this context, understanding what people rely on when forming their opinions is vital for maintaining a truthful yet balanced representation of the CJS. Moreover, such understanding can help identify sources of misinformation and radical activity. To gain </w:t>
      </w:r>
      <w:r w:rsidR="007A45D4">
        <w:rPr>
          <w:bCs/>
        </w:rPr>
        <w:t>such</w:t>
      </w:r>
      <w:r w:rsidRPr="0070619F">
        <w:rPr>
          <w:bCs/>
        </w:rPr>
        <w:t xml:space="preserve"> insight, this multiple-case study approached the subject from a phenomenological perspective. It employed Interpretative Phenomenological Analysis (IPA) to explore individuals’ experiences of forming perceptions of </w:t>
      </w:r>
      <w:r w:rsidR="007A45D4">
        <w:rPr>
          <w:bCs/>
        </w:rPr>
        <w:t xml:space="preserve">CJS </w:t>
      </w:r>
      <w:r w:rsidRPr="0070619F">
        <w:rPr>
          <w:bCs/>
        </w:rPr>
        <w:t xml:space="preserve">fairness in </w:t>
      </w:r>
      <w:r w:rsidR="00900732">
        <w:rPr>
          <w:bCs/>
        </w:rPr>
        <w:t>Ireland</w:t>
      </w:r>
      <w:r w:rsidRPr="0070619F">
        <w:rPr>
          <w:bCs/>
        </w:rPr>
        <w:t xml:space="preserve">. Analysis of two semi-structured interviews produced three superordinate themes: the actions of the CJS, biases and opinions, and personal values. As an outcome, the study proposed an ‘influence framework’ to explain the </w:t>
      </w:r>
      <w:r>
        <w:rPr>
          <w:bCs/>
        </w:rPr>
        <w:t xml:space="preserve">researched </w:t>
      </w:r>
      <w:r w:rsidRPr="0070619F">
        <w:rPr>
          <w:bCs/>
        </w:rPr>
        <w:t>phenomenon.</w:t>
      </w:r>
    </w:p>
    <w:p w14:paraId="37B73D13" w14:textId="5766D8F1" w:rsidR="002B247D" w:rsidRPr="00281199" w:rsidRDefault="00240FC1" w:rsidP="001F5E08">
      <w:pPr>
        <w:spacing w:after="160"/>
      </w:pPr>
      <w:r w:rsidRPr="00281199">
        <w:rPr>
          <w:rStyle w:val="Heading1Char"/>
          <w:color w:val="auto"/>
          <w:sz w:val="22"/>
        </w:rPr>
        <w:t>Keywords:</w:t>
      </w:r>
      <w:r w:rsidRPr="00281199">
        <w:t xml:space="preserve"> </w:t>
      </w:r>
      <w:r w:rsidR="00842832" w:rsidRPr="00281199">
        <w:t>CJS, criminal justice system</w:t>
      </w:r>
      <w:r w:rsidR="00BA6DB2" w:rsidRPr="00281199">
        <w:t xml:space="preserve"> </w:t>
      </w:r>
      <w:r w:rsidR="00CE1322" w:rsidRPr="00281199">
        <w:t xml:space="preserve">fairness, perception, </w:t>
      </w:r>
      <w:r w:rsidR="00BA6DB2" w:rsidRPr="00281199">
        <w:t>influential factors</w:t>
      </w:r>
      <w:r w:rsidR="00842832" w:rsidRPr="00281199">
        <w:t xml:space="preserve">, </w:t>
      </w:r>
      <w:r w:rsidR="00CE1322" w:rsidRPr="00281199">
        <w:t>IPA</w:t>
      </w:r>
    </w:p>
    <w:p w14:paraId="7B6F00C3" w14:textId="1282CB38" w:rsidR="043F50B3" w:rsidRPr="00281199" w:rsidRDefault="043F50B3" w:rsidP="002E07EE">
      <w:pPr>
        <w:spacing w:after="160"/>
      </w:pPr>
      <w:r w:rsidRPr="00281199">
        <w:rPr>
          <w:b/>
          <w:bCs/>
        </w:rPr>
        <w:t>Date of Submission:</w:t>
      </w:r>
      <w:r w:rsidRPr="00281199">
        <w:t xml:space="preserve"> </w:t>
      </w:r>
      <w:r w:rsidR="002E07EE">
        <w:t>18.08.2025</w:t>
      </w:r>
      <w:r w:rsidR="095AE28A" w:rsidRPr="00281199">
        <w:tab/>
      </w:r>
      <w:r w:rsidR="095AE28A" w:rsidRPr="00281199">
        <w:tab/>
      </w:r>
      <w:r w:rsidR="095AE28A" w:rsidRPr="00281199">
        <w:tab/>
      </w:r>
      <w:r w:rsidRPr="00281199">
        <w:rPr>
          <w:b/>
          <w:bCs/>
        </w:rPr>
        <w:t>Date of Acceptance:</w:t>
      </w:r>
      <w:r w:rsidRPr="00281199">
        <w:t xml:space="preserve"> </w:t>
      </w:r>
      <w:r w:rsidR="002E07EE">
        <w:t>21.12.2025</w:t>
      </w:r>
    </w:p>
    <w:p w14:paraId="52D13D17" w14:textId="59E50DDF" w:rsidR="00A10993" w:rsidRPr="00281199" w:rsidRDefault="001F5E08" w:rsidP="001F5E08">
      <w:pPr>
        <w:pStyle w:val="Heading2"/>
      </w:pPr>
      <w:r w:rsidRPr="00281199">
        <w:t>1. Introduction</w:t>
      </w:r>
    </w:p>
    <w:p w14:paraId="32265B2B" w14:textId="2CE59F31" w:rsidR="00BD7735" w:rsidRDefault="00BD7735" w:rsidP="001B6BB1">
      <w:pPr>
        <w:spacing w:after="160"/>
        <w:jc w:val="both"/>
      </w:pPr>
      <w:r w:rsidRPr="00BD7735">
        <w:t>Public perception of fairness in the Criminal Justice System (CJS) is crucial for the effective and efficient maintenance of public order (Rowe, Ralph and Malik, 2024). As history has shown, when the CJS is perceived as unfair, it can lead to public disorder and create an unstable economic and political environment (Bowling, Parmar and Phillips, 2009). As perception</w:t>
      </w:r>
      <w:r>
        <w:t xml:space="preserve"> </w:t>
      </w:r>
      <w:r w:rsidRPr="00BD7735">
        <w:t>result</w:t>
      </w:r>
      <w:r w:rsidR="00FC1630">
        <w:t>s</w:t>
      </w:r>
      <w:r w:rsidRPr="00BD7735">
        <w:t xml:space="preserve"> </w:t>
      </w:r>
      <w:r w:rsidR="00FC1630">
        <w:t>from</w:t>
      </w:r>
      <w:r>
        <w:t xml:space="preserve"> </w:t>
      </w:r>
      <w:r w:rsidRPr="00BD7735">
        <w:t xml:space="preserve">social interaction (Efron, 1969), </w:t>
      </w:r>
      <w:r w:rsidR="003C6D0C">
        <w:t>it</w:t>
      </w:r>
      <w:r w:rsidRPr="00BD7735">
        <w:t xml:space="preserve"> can be distorted by the opinions of peers, the media, and other influencers (Tang </w:t>
      </w:r>
      <w:r w:rsidR="00EE3108" w:rsidRPr="00EE3108">
        <w:rPr>
          <w:i/>
        </w:rPr>
        <w:t>et al.</w:t>
      </w:r>
      <w:r w:rsidRPr="00BD7735">
        <w:t>, 2021). Concerned about the public’s susceptibility to social manipulation, this research aims to explore individuals’ experiences of interpreting CJS fairness and to identify the factors that influence this process.</w:t>
      </w:r>
    </w:p>
    <w:p w14:paraId="47AC2C79" w14:textId="41CFC100" w:rsidR="0066226D" w:rsidRDefault="00096B55" w:rsidP="001B6BB1">
      <w:pPr>
        <w:spacing w:after="160"/>
        <w:jc w:val="both"/>
      </w:pPr>
      <w:r>
        <w:t>T</w:t>
      </w:r>
      <w:r w:rsidR="00BD0E24" w:rsidRPr="00281199">
        <w:t xml:space="preserve">he use of social media to highlight and ‘correct’ injustice </w:t>
      </w:r>
      <w:r w:rsidR="00CB426A">
        <w:t xml:space="preserve">became </w:t>
      </w:r>
      <w:r w:rsidR="00F3154A">
        <w:t>a game</w:t>
      </w:r>
      <w:r w:rsidR="005F1631">
        <w:t xml:space="preserve"> </w:t>
      </w:r>
      <w:r w:rsidR="00F3154A">
        <w:t>changer in</w:t>
      </w:r>
      <w:r w:rsidR="007C0DDB">
        <w:t xml:space="preserve"> </w:t>
      </w:r>
      <w:r w:rsidR="001B4D05">
        <w:t xml:space="preserve">increasing public awareness </w:t>
      </w:r>
      <w:r w:rsidR="00F01B6C">
        <w:t>of</w:t>
      </w:r>
      <w:r w:rsidR="001B4D05">
        <w:t xml:space="preserve"> the </w:t>
      </w:r>
      <w:r w:rsidR="000F3C4D">
        <w:t>current state of justice</w:t>
      </w:r>
      <w:r w:rsidR="00A74FA9">
        <w:t xml:space="preserve"> (</w:t>
      </w:r>
      <w:r w:rsidR="00A74FA9" w:rsidRPr="00A74FA9">
        <w:t>Boothe-Perry</w:t>
      </w:r>
      <w:r w:rsidR="00A74FA9">
        <w:t>, 2014)</w:t>
      </w:r>
      <w:r w:rsidR="001B4D05">
        <w:t>.</w:t>
      </w:r>
      <w:r w:rsidR="00C53546">
        <w:t xml:space="preserve"> For example, </w:t>
      </w:r>
      <w:r w:rsidR="009365EC">
        <w:t>online-powered</w:t>
      </w:r>
      <w:r w:rsidR="000C6249">
        <w:t xml:space="preserve"> </w:t>
      </w:r>
      <w:r w:rsidR="009365EC">
        <w:lastRenderedPageBreak/>
        <w:t xml:space="preserve">movements </w:t>
      </w:r>
      <w:r w:rsidR="0044105B">
        <w:t>such as</w:t>
      </w:r>
      <w:r w:rsidR="009365EC">
        <w:t xml:space="preserve"> Black Live</w:t>
      </w:r>
      <w:r w:rsidR="0044105B">
        <w:t>s</w:t>
      </w:r>
      <w:r w:rsidR="009365EC">
        <w:t xml:space="preserve"> Matter and #MeToo</w:t>
      </w:r>
      <w:r w:rsidR="006E6002">
        <w:t xml:space="preserve"> have</w:t>
      </w:r>
      <w:r w:rsidR="009365EC">
        <w:t xml:space="preserve"> </w:t>
      </w:r>
      <w:r w:rsidR="001B6BB1">
        <w:t>“influenced legislative and judicial reforms, and sparked a broader cultural reckoning on issues of racial and gender justice”</w:t>
      </w:r>
      <w:r w:rsidR="001C7E78">
        <w:t xml:space="preserve"> (</w:t>
      </w:r>
      <w:r w:rsidR="001C7E78" w:rsidRPr="001C7E78">
        <w:t>Oluwaseyi</w:t>
      </w:r>
      <w:r w:rsidR="00F453C4">
        <w:t xml:space="preserve"> </w:t>
      </w:r>
      <w:r w:rsidR="00EE3108" w:rsidRPr="00EE3108">
        <w:rPr>
          <w:i/>
          <w:iCs/>
        </w:rPr>
        <w:t>et al.</w:t>
      </w:r>
      <w:r w:rsidR="00F453C4">
        <w:t>, 2025</w:t>
      </w:r>
      <w:r w:rsidR="001C7E78">
        <w:t>).</w:t>
      </w:r>
      <w:r w:rsidR="001B6BB1">
        <w:t xml:space="preserve"> </w:t>
      </w:r>
      <w:r w:rsidR="00E96CA1">
        <w:t>However,</w:t>
      </w:r>
      <w:r w:rsidR="00CF6CD6">
        <w:t xml:space="preserve"> greater dispersion of information </w:t>
      </w:r>
      <w:r w:rsidR="00C41CDA">
        <w:t xml:space="preserve">does </w:t>
      </w:r>
      <w:r w:rsidR="00CF6CD6">
        <w:t xml:space="preserve">not always </w:t>
      </w:r>
      <w:r w:rsidR="00AF012C">
        <w:t>lead to po</w:t>
      </w:r>
      <w:r w:rsidR="00415BFB">
        <w:t>sitive change</w:t>
      </w:r>
      <w:r w:rsidR="007E3D3F">
        <w:t xml:space="preserve"> and may </w:t>
      </w:r>
      <w:r w:rsidR="00574F4F">
        <w:t xml:space="preserve">even </w:t>
      </w:r>
      <w:r w:rsidR="0039186D">
        <w:t>have the</w:t>
      </w:r>
      <w:r w:rsidR="007E3D3F">
        <w:t xml:space="preserve"> opposite effect</w:t>
      </w:r>
      <w:r w:rsidR="00415BFB">
        <w:t xml:space="preserve">. </w:t>
      </w:r>
      <w:r w:rsidR="00F11483" w:rsidRPr="00281199">
        <w:t xml:space="preserve">For </w:t>
      </w:r>
      <w:r w:rsidR="004416AE">
        <w:t>instance</w:t>
      </w:r>
      <w:r w:rsidR="00F11483" w:rsidRPr="00281199">
        <w:t xml:space="preserve">, Pickett </w:t>
      </w:r>
      <w:r w:rsidR="00EE3108" w:rsidRPr="00EE3108">
        <w:rPr>
          <w:i/>
        </w:rPr>
        <w:t>et al.</w:t>
      </w:r>
      <w:r w:rsidR="00F11483" w:rsidRPr="00281199">
        <w:t xml:space="preserve"> (2015) found that the less people know about criminal punishment, the more they rely on the media to form their opinions. </w:t>
      </w:r>
      <w:r w:rsidR="00E52522">
        <w:t>When</w:t>
      </w:r>
      <w:r w:rsidR="0006564B">
        <w:t xml:space="preserve"> social </w:t>
      </w:r>
      <w:r w:rsidR="00F11483" w:rsidRPr="00281199">
        <w:t xml:space="preserve">media </w:t>
      </w:r>
      <w:r w:rsidR="00C72FEC" w:rsidRPr="00C72FEC">
        <w:t xml:space="preserve">disproportionately </w:t>
      </w:r>
      <w:r w:rsidR="00B7060C">
        <w:t xml:space="preserve">focuses on </w:t>
      </w:r>
      <w:r w:rsidR="00F11483" w:rsidRPr="00281199">
        <w:t>unjust cases</w:t>
      </w:r>
      <w:r w:rsidR="00B7060C">
        <w:t xml:space="preserve">, </w:t>
      </w:r>
      <w:r w:rsidR="00A06A41">
        <w:t xml:space="preserve">the public </w:t>
      </w:r>
      <w:r w:rsidR="00AD5619">
        <w:t>ten</w:t>
      </w:r>
      <w:r w:rsidR="005F09BB">
        <w:t>d</w:t>
      </w:r>
      <w:r w:rsidR="002079AC">
        <w:t>s</w:t>
      </w:r>
      <w:r w:rsidR="00AD5619">
        <w:t xml:space="preserve"> to perceive </w:t>
      </w:r>
      <w:r w:rsidR="004B7615">
        <w:t xml:space="preserve">the </w:t>
      </w:r>
      <w:r w:rsidR="009C5CE9">
        <w:t xml:space="preserve">CJS </w:t>
      </w:r>
      <w:r w:rsidR="004B7615">
        <w:t>as</w:t>
      </w:r>
      <w:r w:rsidR="009C5CE9">
        <w:t xml:space="preserve"> unfair by default</w:t>
      </w:r>
      <w:r w:rsidR="00F11483" w:rsidRPr="00281199">
        <w:t xml:space="preserve"> (Chancellor, 2019).</w:t>
      </w:r>
      <w:r w:rsidR="004A20AB">
        <w:t xml:space="preserve"> </w:t>
      </w:r>
      <w:r w:rsidR="00523668">
        <w:t>In turn,</w:t>
      </w:r>
      <w:r w:rsidR="004A20AB">
        <w:t xml:space="preserve"> </w:t>
      </w:r>
      <w:r w:rsidR="004B7615">
        <w:t xml:space="preserve">a </w:t>
      </w:r>
      <w:r w:rsidR="004A20AB">
        <w:t xml:space="preserve">predominantly negative perception </w:t>
      </w:r>
      <w:r w:rsidR="00A027CA" w:rsidRPr="00DB573C">
        <w:t>makes individual</w:t>
      </w:r>
      <w:r w:rsidR="00A027CA">
        <w:t>s</w:t>
      </w:r>
      <w:r w:rsidR="00A027CA" w:rsidRPr="00DB573C">
        <w:t xml:space="preserve"> more susceptible to ideas of terrorism (Marques and Paulino, 2022)</w:t>
      </w:r>
      <w:r w:rsidR="00523668">
        <w:t xml:space="preserve"> </w:t>
      </w:r>
      <w:r w:rsidR="00A027CA">
        <w:t xml:space="preserve">and, </w:t>
      </w:r>
      <w:r w:rsidR="00B907FA">
        <w:t>therefore</w:t>
      </w:r>
      <w:r w:rsidR="00A027CA">
        <w:t xml:space="preserve">, </w:t>
      </w:r>
      <w:r w:rsidR="00523668">
        <w:t>creates opportunit</w:t>
      </w:r>
      <w:r w:rsidR="00850B0D">
        <w:t>ies</w:t>
      </w:r>
      <w:r w:rsidR="00523668">
        <w:t xml:space="preserve"> for</w:t>
      </w:r>
      <w:r w:rsidR="004A7CD7">
        <w:t xml:space="preserve"> </w:t>
      </w:r>
      <w:r w:rsidR="004A7CD7" w:rsidRPr="00281199">
        <w:t>malicious actors</w:t>
      </w:r>
      <w:r w:rsidR="00523668">
        <w:t xml:space="preserve"> </w:t>
      </w:r>
      <w:r w:rsidR="004A7CD7">
        <w:t xml:space="preserve">to </w:t>
      </w:r>
      <w:r w:rsidR="009E2009">
        <w:t xml:space="preserve">orchestrate </w:t>
      </w:r>
      <w:r w:rsidR="004A7CD7">
        <w:t>public disorder (</w:t>
      </w:r>
      <w:r w:rsidR="00F11483" w:rsidRPr="00281199">
        <w:t xml:space="preserve">Tang </w:t>
      </w:r>
      <w:r w:rsidR="00EE3108" w:rsidRPr="00EE3108">
        <w:rPr>
          <w:i/>
          <w:iCs/>
        </w:rPr>
        <w:t>et al.</w:t>
      </w:r>
      <w:r w:rsidR="004A7CD7">
        <w:t xml:space="preserve">, </w:t>
      </w:r>
      <w:r w:rsidR="00F11483" w:rsidRPr="00281199">
        <w:t>2021).</w:t>
      </w:r>
    </w:p>
    <w:p w14:paraId="53E63C7C" w14:textId="21512AB6" w:rsidR="00287554" w:rsidRDefault="00960285" w:rsidP="00BD0E24">
      <w:pPr>
        <w:spacing w:after="160"/>
        <w:jc w:val="both"/>
      </w:pPr>
      <w:r>
        <w:t>C</w:t>
      </w:r>
      <w:r w:rsidR="0022131A">
        <w:t>ontemporary</w:t>
      </w:r>
      <w:r w:rsidR="00E107FA">
        <w:t xml:space="preserve"> </w:t>
      </w:r>
      <w:r w:rsidR="00BD0E24" w:rsidRPr="00281199">
        <w:t>research</w:t>
      </w:r>
      <w:r w:rsidR="00E107FA">
        <w:t xml:space="preserve"> on</w:t>
      </w:r>
      <w:r w:rsidR="005E3EFD">
        <w:t xml:space="preserve"> perception</w:t>
      </w:r>
      <w:r w:rsidR="00201E8C">
        <w:t>s</w:t>
      </w:r>
      <w:r w:rsidR="005E3EFD">
        <w:t xml:space="preserve"> of</w:t>
      </w:r>
      <w:r w:rsidR="00E107FA">
        <w:t xml:space="preserve"> </w:t>
      </w:r>
      <w:r w:rsidR="000873FE">
        <w:t xml:space="preserve">CJS </w:t>
      </w:r>
      <w:r w:rsidR="00E107FA">
        <w:t xml:space="preserve">fairness is </w:t>
      </w:r>
      <w:r w:rsidR="00E06285">
        <w:t xml:space="preserve">diverse but </w:t>
      </w:r>
      <w:r w:rsidR="005E3EFD">
        <w:t>incomplete</w:t>
      </w:r>
      <w:r w:rsidR="00E06285">
        <w:t xml:space="preserve">. </w:t>
      </w:r>
      <w:r w:rsidR="00195157">
        <w:t xml:space="preserve">Many scholars </w:t>
      </w:r>
      <w:r w:rsidR="006163ED">
        <w:t xml:space="preserve">have </w:t>
      </w:r>
      <w:r>
        <w:t>adopted</w:t>
      </w:r>
      <w:r w:rsidR="006163ED">
        <w:t xml:space="preserve"> </w:t>
      </w:r>
      <w:r w:rsidR="00195157">
        <w:t>quantitative approach</w:t>
      </w:r>
      <w:r w:rsidR="00AE5752">
        <w:t>es</w:t>
      </w:r>
      <w:r w:rsidR="00195157">
        <w:t xml:space="preserve"> to </w:t>
      </w:r>
      <w:r w:rsidR="001E302F">
        <w:t>analyse the impact of predefined factors</w:t>
      </w:r>
      <w:r w:rsidR="008D2C54">
        <w:t xml:space="preserve">, </w:t>
      </w:r>
      <w:r w:rsidR="00F24144">
        <w:t xml:space="preserve">such </w:t>
      </w:r>
      <w:r w:rsidR="00FD1E05">
        <w:t>as</w:t>
      </w:r>
      <w:r w:rsidR="00201E8C">
        <w:t xml:space="preserve"> the </w:t>
      </w:r>
      <w:r w:rsidR="00FD1E05">
        <w:t>social</w:t>
      </w:r>
      <w:r w:rsidR="00C269B2">
        <w:t xml:space="preserve">, economic, political, and </w:t>
      </w:r>
      <w:r w:rsidR="00221108">
        <w:t xml:space="preserve">ethnic characteristics </w:t>
      </w:r>
      <w:r w:rsidR="001A668E">
        <w:t>of participants and law</w:t>
      </w:r>
      <w:r w:rsidR="00513628">
        <w:t xml:space="preserve"> enforcement</w:t>
      </w:r>
      <w:r w:rsidR="001A668E">
        <w:t xml:space="preserve"> representatives</w:t>
      </w:r>
      <w:r w:rsidR="00BD0E24" w:rsidRPr="00281199">
        <w:t xml:space="preserve"> (Beier </w:t>
      </w:r>
      <w:r w:rsidR="00EE3108" w:rsidRPr="00EE3108">
        <w:rPr>
          <w:i/>
        </w:rPr>
        <w:t>et al.</w:t>
      </w:r>
      <w:r w:rsidR="00BD0E24" w:rsidRPr="00281199">
        <w:t xml:space="preserve">, 2014; Buckler, Cullen and </w:t>
      </w:r>
      <w:proofErr w:type="spellStart"/>
      <w:r w:rsidR="00BD0E24" w:rsidRPr="00281199">
        <w:t>Unnever</w:t>
      </w:r>
      <w:proofErr w:type="spellEnd"/>
      <w:r w:rsidR="00BD0E24" w:rsidRPr="00281199">
        <w:t xml:space="preserve">, 2007; Socia </w:t>
      </w:r>
      <w:r w:rsidR="00EE3108" w:rsidRPr="00EE3108">
        <w:rPr>
          <w:i/>
        </w:rPr>
        <w:t>et al.</w:t>
      </w:r>
      <w:r w:rsidR="00BD0E24" w:rsidRPr="00281199">
        <w:t xml:space="preserve">, 2021). </w:t>
      </w:r>
      <w:r w:rsidR="00201E8C">
        <w:t>In contrast</w:t>
      </w:r>
      <w:r w:rsidR="00A66F6A">
        <w:t xml:space="preserve">, qualitative studies </w:t>
      </w:r>
      <w:r w:rsidR="00A36950">
        <w:t xml:space="preserve">have </w:t>
      </w:r>
      <w:r w:rsidR="00BD0E24" w:rsidRPr="00281199">
        <w:t xml:space="preserve">primarily explored </w:t>
      </w:r>
      <w:r w:rsidR="002B5A2C">
        <w:t>this phenomenon from the perspective</w:t>
      </w:r>
      <w:r w:rsidR="00BD4BE5">
        <w:t>s</w:t>
      </w:r>
      <w:r w:rsidR="002B5A2C">
        <w:t xml:space="preserve"> </w:t>
      </w:r>
      <w:r w:rsidR="00BD0E24" w:rsidRPr="00281199">
        <w:t>of the accused and victims</w:t>
      </w:r>
      <w:r w:rsidR="00A801A0">
        <w:t>, but not th</w:t>
      </w:r>
      <w:r w:rsidR="00C17604">
        <w:t>ose of</w:t>
      </w:r>
      <w:r w:rsidR="00A801A0">
        <w:t xml:space="preserve"> </w:t>
      </w:r>
      <w:r w:rsidR="00C17604">
        <w:t xml:space="preserve">ordinary </w:t>
      </w:r>
      <w:r w:rsidR="00A801A0">
        <w:t>citizens</w:t>
      </w:r>
      <w:r w:rsidR="00BD0E24" w:rsidRPr="00281199">
        <w:t xml:space="preserve"> (Alda </w:t>
      </w:r>
      <w:r w:rsidR="00EE3108" w:rsidRPr="00EE3108">
        <w:rPr>
          <w:i/>
        </w:rPr>
        <w:t>et al.</w:t>
      </w:r>
      <w:r w:rsidR="00BD0E24" w:rsidRPr="00281199">
        <w:t>, 2020; Augustyn, 2016</w:t>
      </w:r>
      <w:r w:rsidR="00BD5971">
        <w:t>;</w:t>
      </w:r>
      <w:r w:rsidR="00AC6301">
        <w:t xml:space="preserve"> </w:t>
      </w:r>
      <w:r w:rsidR="00AC6301" w:rsidRPr="00281199">
        <w:t xml:space="preserve">Hester </w:t>
      </w:r>
      <w:r w:rsidR="00EE3108" w:rsidRPr="00EE3108">
        <w:rPr>
          <w:i/>
          <w:iCs/>
        </w:rPr>
        <w:t>et al.</w:t>
      </w:r>
      <w:r w:rsidR="00AC6301" w:rsidRPr="00281199">
        <w:t>, 2025</w:t>
      </w:r>
      <w:r w:rsidR="00BD0E24" w:rsidRPr="00281199">
        <w:t xml:space="preserve">). </w:t>
      </w:r>
      <w:r w:rsidR="00C47E3A">
        <w:t>Overall</w:t>
      </w:r>
      <w:r w:rsidR="00BD0E24" w:rsidRPr="00281199">
        <w:t>,</w:t>
      </w:r>
      <w:r w:rsidR="002E383A">
        <w:t xml:space="preserve"> the</w:t>
      </w:r>
      <w:r w:rsidR="00D372DA">
        <w:t>re</w:t>
      </w:r>
      <w:r w:rsidR="002E383A">
        <w:t xml:space="preserve"> </w:t>
      </w:r>
      <w:r w:rsidR="00A36950">
        <w:t xml:space="preserve">remains </w:t>
      </w:r>
      <w:r w:rsidR="002F38DA">
        <w:t>a</w:t>
      </w:r>
      <w:r w:rsidR="002E383A">
        <w:t xml:space="preserve"> </w:t>
      </w:r>
      <w:r w:rsidR="002F38DA">
        <w:t xml:space="preserve">lack of </w:t>
      </w:r>
      <w:r w:rsidR="00A36950">
        <w:t xml:space="preserve">understanding of </w:t>
      </w:r>
      <w:r w:rsidR="00D50FC0">
        <w:t xml:space="preserve">what </w:t>
      </w:r>
      <w:r w:rsidR="004F599D">
        <w:t xml:space="preserve">the </w:t>
      </w:r>
      <w:r w:rsidR="00D50FC0">
        <w:t xml:space="preserve">public </w:t>
      </w:r>
      <w:r w:rsidR="0046060F">
        <w:t xml:space="preserve">base their </w:t>
      </w:r>
      <w:r w:rsidR="00D50FC0">
        <w:t>perception</w:t>
      </w:r>
      <w:r w:rsidR="0046060F">
        <w:t>s</w:t>
      </w:r>
      <w:r w:rsidR="00D50FC0">
        <w:t xml:space="preserve"> of </w:t>
      </w:r>
      <w:r w:rsidR="001B12EA">
        <w:t>CJS fairness</w:t>
      </w:r>
      <w:r w:rsidR="009443D1">
        <w:t xml:space="preserve"> on</w:t>
      </w:r>
      <w:r w:rsidR="00BD0E24" w:rsidRPr="00281199">
        <w:t xml:space="preserve">. </w:t>
      </w:r>
      <w:r w:rsidR="00242DD1">
        <w:t>I</w:t>
      </w:r>
      <w:r w:rsidR="00242DD1" w:rsidRPr="00281199">
        <w:t>f</w:t>
      </w:r>
      <w:r w:rsidR="00DF70A3">
        <w:t xml:space="preserve"> </w:t>
      </w:r>
      <w:r w:rsidR="00180F55">
        <w:t>such perceptions</w:t>
      </w:r>
      <w:r w:rsidR="00F16E43">
        <w:t xml:space="preserve"> </w:t>
      </w:r>
      <w:r w:rsidR="00DF70A3">
        <w:t>result predominantly from</w:t>
      </w:r>
      <w:r w:rsidR="00242DD1" w:rsidRPr="00281199">
        <w:t xml:space="preserve"> </w:t>
      </w:r>
      <w:r w:rsidR="00F84030">
        <w:t xml:space="preserve">popular opinion </w:t>
      </w:r>
      <w:r w:rsidR="00577B49">
        <w:t>rather</w:t>
      </w:r>
      <w:r w:rsidR="00F84030">
        <w:t xml:space="preserve"> than </w:t>
      </w:r>
      <w:r w:rsidR="00577B49">
        <w:t xml:space="preserve">facts and </w:t>
      </w:r>
      <w:r w:rsidR="00D34D1E">
        <w:t>eviden</w:t>
      </w:r>
      <w:r w:rsidR="0045229F">
        <w:t>ce</w:t>
      </w:r>
      <w:r w:rsidR="00D34D1E">
        <w:t>,</w:t>
      </w:r>
      <w:r w:rsidR="0045229F">
        <w:t xml:space="preserve"> </w:t>
      </w:r>
      <w:r w:rsidR="00A83594">
        <w:t xml:space="preserve">society </w:t>
      </w:r>
      <w:r w:rsidR="00B53016">
        <w:t xml:space="preserve">may </w:t>
      </w:r>
      <w:r w:rsidR="003D5512">
        <w:t>becom</w:t>
      </w:r>
      <w:r w:rsidR="00B53016">
        <w:t>e</w:t>
      </w:r>
      <w:r w:rsidR="003D5512">
        <w:t xml:space="preserve"> more susceptible to </w:t>
      </w:r>
      <w:r w:rsidR="008C519C">
        <w:t>misinformation and</w:t>
      </w:r>
      <w:r w:rsidR="00662E08">
        <w:t xml:space="preserve"> manipulation </w:t>
      </w:r>
      <w:r w:rsidR="00B53016">
        <w:t xml:space="preserve">leading to </w:t>
      </w:r>
      <w:r w:rsidR="00662E08">
        <w:t>public disorder.</w:t>
      </w:r>
    </w:p>
    <w:p w14:paraId="16572EA0" w14:textId="78E24D35" w:rsidR="00B45D8B" w:rsidRPr="00281199" w:rsidRDefault="00BD0E24" w:rsidP="00F24D1B">
      <w:pPr>
        <w:spacing w:after="160"/>
        <w:jc w:val="both"/>
      </w:pPr>
      <w:r w:rsidRPr="00281199">
        <w:t xml:space="preserve">Hence, this study aims to explore what people rely on when shaping their </w:t>
      </w:r>
      <w:r w:rsidR="0098760F">
        <w:t>perceptions</w:t>
      </w:r>
      <w:r w:rsidRPr="00281199">
        <w:t xml:space="preserve"> of CJS fairness. First, this paper will outline the process of </w:t>
      </w:r>
      <w:r w:rsidR="00150597">
        <w:t xml:space="preserve">data </w:t>
      </w:r>
      <w:r w:rsidRPr="00281199">
        <w:t>collecti</w:t>
      </w:r>
      <w:r w:rsidR="0039427B">
        <w:t>on</w:t>
      </w:r>
      <w:r w:rsidRPr="00281199">
        <w:t xml:space="preserve"> </w:t>
      </w:r>
      <w:r w:rsidR="0039427B">
        <w:t xml:space="preserve">and </w:t>
      </w:r>
      <w:r w:rsidRPr="00281199">
        <w:t>analysis. It will explain the choice of Interpretative Phenomenological Analysis (IPA; Smith and Eatough, 2007)</w:t>
      </w:r>
      <w:r w:rsidR="00BB7E71">
        <w:t xml:space="preserve"> </w:t>
      </w:r>
      <w:r w:rsidRPr="00281199">
        <w:t xml:space="preserve">and how it was applied to answer the research question. Next, it will report the results of the analysis through </w:t>
      </w:r>
      <w:r w:rsidR="00DC36E2">
        <w:t xml:space="preserve">the identified </w:t>
      </w:r>
      <w:r w:rsidRPr="00281199">
        <w:t xml:space="preserve">superordinate themes. </w:t>
      </w:r>
      <w:r w:rsidR="00663A0B">
        <w:t>Finally</w:t>
      </w:r>
      <w:r w:rsidRPr="00281199">
        <w:t xml:space="preserve">, this study will discuss the findings and link them to the existing academic literature. In doing so, it will propose an ‘influence framework’ to explain the </w:t>
      </w:r>
      <w:r w:rsidR="00FB6471">
        <w:t>explored phenomenon</w:t>
      </w:r>
      <w:r w:rsidRPr="00281199">
        <w:t>. The discussion will conclude with an acknowledgement of the study’s implications, limitations, and potential for further research.</w:t>
      </w:r>
    </w:p>
    <w:p w14:paraId="01D6E281" w14:textId="2B8227BD" w:rsidR="00CB147B" w:rsidRPr="003D5639" w:rsidRDefault="006A5A8A" w:rsidP="003D5639">
      <w:pPr>
        <w:pStyle w:val="Heading2"/>
      </w:pPr>
      <w:r w:rsidRPr="00281199">
        <w:t>2. Method</w:t>
      </w:r>
    </w:p>
    <w:p w14:paraId="6AB39F1E" w14:textId="0AE93843" w:rsidR="00A10993" w:rsidRPr="00281199" w:rsidRDefault="00416971" w:rsidP="001F5E08">
      <w:pPr>
        <w:pStyle w:val="Heading3"/>
        <w:spacing w:line="276" w:lineRule="auto"/>
      </w:pPr>
      <w:r w:rsidRPr="00281199">
        <w:t>2.1. Design</w:t>
      </w:r>
    </w:p>
    <w:p w14:paraId="19DDB905" w14:textId="7D63252C" w:rsidR="00681419" w:rsidRDefault="00681419" w:rsidP="00542FCB">
      <w:pPr>
        <w:spacing w:before="240"/>
        <w:jc w:val="both"/>
      </w:pPr>
      <w:r w:rsidRPr="00681419">
        <w:t xml:space="preserve">The research </w:t>
      </w:r>
      <w:r w:rsidR="00F904F5">
        <w:t>is</w:t>
      </w:r>
      <w:r w:rsidRPr="00681419">
        <w:t xml:space="preserve"> designed as a multiple-case study employing IPA</w:t>
      </w:r>
      <w:r w:rsidR="008E34E2">
        <w:t>,</w:t>
      </w:r>
      <w:r w:rsidR="00C86DEF">
        <w:t xml:space="preserve"> with</w:t>
      </w:r>
      <w:r w:rsidRPr="00681419">
        <w:t xml:space="preserve"> </w:t>
      </w:r>
      <w:r w:rsidR="00C86DEF">
        <w:t>d</w:t>
      </w:r>
      <w:r w:rsidRPr="00681419">
        <w:t xml:space="preserve">ata collected via semi-structured interviews. This design </w:t>
      </w:r>
      <w:r w:rsidR="00341D1A">
        <w:t>was</w:t>
      </w:r>
      <w:r w:rsidRPr="00681419">
        <w:t xml:space="preserve"> chosen due to the dynamic nature of perception (Augustyn, 2016). </w:t>
      </w:r>
      <w:r w:rsidR="000F08CB">
        <w:t xml:space="preserve">In this </w:t>
      </w:r>
      <w:r w:rsidR="00C37311">
        <w:t>context</w:t>
      </w:r>
      <w:r w:rsidR="000F08CB">
        <w:t xml:space="preserve">, </w:t>
      </w:r>
      <w:r w:rsidR="0087283F">
        <w:t xml:space="preserve">the </w:t>
      </w:r>
      <w:r w:rsidR="000F08CB">
        <w:t>a</w:t>
      </w:r>
      <w:r w:rsidR="00042193" w:rsidRPr="00281199">
        <w:t xml:space="preserve">pplication of quantitative research </w:t>
      </w:r>
      <w:r w:rsidR="0087283F">
        <w:t xml:space="preserve">methods </w:t>
      </w:r>
      <w:r w:rsidR="00341D1A">
        <w:t>w</w:t>
      </w:r>
      <w:r w:rsidR="00CA6AD4">
        <w:t>as</w:t>
      </w:r>
      <w:r w:rsidR="00042193" w:rsidRPr="00281199">
        <w:t xml:space="preserve"> </w:t>
      </w:r>
      <w:r w:rsidR="003F641A">
        <w:t xml:space="preserve">considered </w:t>
      </w:r>
      <w:r w:rsidR="00042193" w:rsidRPr="00281199">
        <w:t xml:space="preserve">unsuitable </w:t>
      </w:r>
      <w:r w:rsidR="00CA6AD4">
        <w:t>because</w:t>
      </w:r>
      <w:r w:rsidR="00042193" w:rsidRPr="00281199">
        <w:t xml:space="preserve"> </w:t>
      </w:r>
      <w:r w:rsidR="00CA6AD4">
        <w:t>of</w:t>
      </w:r>
      <w:r w:rsidR="00042193" w:rsidRPr="00281199">
        <w:t xml:space="preserve"> </w:t>
      </w:r>
      <w:r w:rsidR="0087283F">
        <w:t xml:space="preserve">their </w:t>
      </w:r>
      <w:r w:rsidR="00042193" w:rsidRPr="00281199">
        <w:t xml:space="preserve">tendency to </w:t>
      </w:r>
      <w:r w:rsidR="003F641A">
        <w:t>produce</w:t>
      </w:r>
      <w:r w:rsidR="00042193" w:rsidRPr="00281199">
        <w:t xml:space="preserve"> a static view (Clark </w:t>
      </w:r>
      <w:r w:rsidR="00EE3108" w:rsidRPr="00EE3108">
        <w:rPr>
          <w:i/>
        </w:rPr>
        <w:t>et al.</w:t>
      </w:r>
      <w:r w:rsidR="00042193" w:rsidRPr="00281199">
        <w:t>, 2021).</w:t>
      </w:r>
      <w:r w:rsidRPr="00681419">
        <w:t xml:space="preserve"> Additionally, the study aim</w:t>
      </w:r>
      <w:r w:rsidR="00536F45">
        <w:t>ed</w:t>
      </w:r>
      <w:r w:rsidRPr="00681419">
        <w:t xml:space="preserve"> to explore individuals’ experiences of interpreting CJS fairness and to identify the factors that influence this process. Therefore, a qualitative approach employing IPA </w:t>
      </w:r>
      <w:r w:rsidR="0029179D">
        <w:t xml:space="preserve">was </w:t>
      </w:r>
      <w:r w:rsidRPr="00681419">
        <w:t>considered a better fit.</w:t>
      </w:r>
    </w:p>
    <w:p w14:paraId="09D7CE4C" w14:textId="77777777" w:rsidR="00542FCB" w:rsidRPr="00281199" w:rsidRDefault="00542FCB" w:rsidP="00542FCB">
      <w:pPr>
        <w:pStyle w:val="Heading3"/>
        <w:spacing w:line="276" w:lineRule="auto"/>
      </w:pPr>
      <w:r w:rsidRPr="00281199">
        <w:lastRenderedPageBreak/>
        <w:t>2.2. Participants</w:t>
      </w:r>
    </w:p>
    <w:p w14:paraId="3711EEA9" w14:textId="15977A02" w:rsidR="00542FCB" w:rsidRPr="00281199" w:rsidRDefault="00542FCB" w:rsidP="00542FCB">
      <w:pPr>
        <w:spacing w:before="240"/>
        <w:jc w:val="both"/>
      </w:pPr>
      <w:r w:rsidRPr="00281199">
        <w:t xml:space="preserve">The participants were selected through a combination of purposive and convenience sampling. Three selection criteria were </w:t>
      </w:r>
      <w:r w:rsidR="00220FCF">
        <w:t>applied</w:t>
      </w:r>
      <w:r w:rsidRPr="00281199">
        <w:t>: full-time employment, Irish citizenship, and</w:t>
      </w:r>
      <w:r w:rsidR="00B75DDD">
        <w:t xml:space="preserve"> the</w:t>
      </w:r>
      <w:r w:rsidRPr="00281199">
        <w:t xml:space="preserve"> absence of direct experience with the CJS. The final sample consisted of two participants from the same household, of different genders, aged 35-36 years. To ensure anonymity, the pseudonyms ‘Alex’ and ‘Jo’ were employed.</w:t>
      </w:r>
    </w:p>
    <w:p w14:paraId="45FD93F3" w14:textId="77777777" w:rsidR="00542FCB" w:rsidRPr="003D5639" w:rsidRDefault="00542FCB" w:rsidP="003D5639">
      <w:pPr>
        <w:pStyle w:val="Heading3"/>
        <w:spacing w:line="276" w:lineRule="auto"/>
      </w:pPr>
      <w:r w:rsidRPr="00281199">
        <w:t>2.3. Procedure</w:t>
      </w:r>
    </w:p>
    <w:p w14:paraId="2C21A0DA" w14:textId="27A87D1B" w:rsidR="00542FCB" w:rsidRPr="00281199" w:rsidRDefault="00542FCB" w:rsidP="00542FCB">
      <w:pPr>
        <w:spacing w:before="240"/>
        <w:jc w:val="both"/>
      </w:pPr>
      <w:r w:rsidRPr="00281199">
        <w:t xml:space="preserve">An invitation to participate in the study was made in person. </w:t>
      </w:r>
      <w:r w:rsidR="00CC2493">
        <w:t>Once</w:t>
      </w:r>
      <w:r w:rsidRPr="00281199">
        <w:t xml:space="preserve"> accepted, each participant received an ethic</w:t>
      </w:r>
      <w:r w:rsidR="004A101B">
        <w:t>s</w:t>
      </w:r>
      <w:r w:rsidRPr="00281199">
        <w:t xml:space="preserve"> form (see Appendix A) by email. Each interview was scheduled for 20-30 minutes, in a quiet place of the participant’s choice. It began with a briefing on the research and the participants’ rights. The researcher re</w:t>
      </w:r>
      <w:r w:rsidR="001F6EE1">
        <w:t>-</w:t>
      </w:r>
      <w:r w:rsidRPr="00281199">
        <w:t xml:space="preserve">emphasised that the interview would be recorded and quoted. After obtaining written consent (see Appendix B), the researcher proceeded with data collection. The interview schedule included the following questions: What is a </w:t>
      </w:r>
      <w:proofErr w:type="gramStart"/>
      <w:r w:rsidRPr="00281199">
        <w:t>fair</w:t>
      </w:r>
      <w:proofErr w:type="gramEnd"/>
      <w:r w:rsidRPr="00281199">
        <w:t xml:space="preserve"> CJS? What are the examples of Irish CJS (un)fairness? What are the sources of these examples? How susceptible is the CJS to public opinion? What would the participants change to improve</w:t>
      </w:r>
      <w:r w:rsidR="00171FF7">
        <w:t xml:space="preserve"> or </w:t>
      </w:r>
      <w:r w:rsidRPr="00281199">
        <w:t xml:space="preserve">maintain the fairness of the CJS? </w:t>
      </w:r>
      <w:r w:rsidR="00872BC7">
        <w:t>Finally</w:t>
      </w:r>
      <w:r w:rsidRPr="00281199">
        <w:t xml:space="preserve">, the participants were given an opportunity to add any other information they considered important. The conversations were recorded and automatically transcribed using the iOS Voice Memos application. After the recording was stopped, each meeting concluded with a debriefing on the value of participation, </w:t>
      </w:r>
      <w:r w:rsidR="006B0810">
        <w:t>data</w:t>
      </w:r>
      <w:r w:rsidRPr="00281199">
        <w:t xml:space="preserve"> handling, and contacts for questions or support.</w:t>
      </w:r>
    </w:p>
    <w:p w14:paraId="2124A14A" w14:textId="77777777" w:rsidR="00542FCB" w:rsidRPr="003D5639" w:rsidRDefault="00542FCB" w:rsidP="003D5639">
      <w:pPr>
        <w:pStyle w:val="Heading3"/>
        <w:spacing w:line="276" w:lineRule="auto"/>
      </w:pPr>
      <w:r w:rsidRPr="00281199">
        <w:t>2.4. Ethics</w:t>
      </w:r>
    </w:p>
    <w:p w14:paraId="49CE8FEE" w14:textId="39365C9A" w:rsidR="00C4556E" w:rsidRPr="00281199" w:rsidRDefault="00542FCB" w:rsidP="00542FCB">
      <w:pPr>
        <w:spacing w:before="240"/>
        <w:jc w:val="both"/>
      </w:pPr>
      <w:r w:rsidRPr="00281199">
        <w:t xml:space="preserve">The research was conducted in accordance with the research ethics </w:t>
      </w:r>
      <w:r w:rsidR="003456FE">
        <w:t xml:space="preserve">guidelines </w:t>
      </w:r>
      <w:r w:rsidRPr="00281199">
        <w:t xml:space="preserve">of the British Psychological Society (2021) and the British Society of Criminology (2015). The research topic, interview questions, and participant information sheet were </w:t>
      </w:r>
      <w:r w:rsidR="00DF3C64">
        <w:t>reviewed</w:t>
      </w:r>
      <w:r w:rsidRPr="00281199">
        <w:t xml:space="preserve"> and approved by an authorised scholar. Additionally, the author of this study noted a potential risk of evoking troubling memories or stimulating a significant emotional response to perceived injustices. Therefore, the participants were reminded that they could stop the interview at any time and refuse to answer any question. The information on accessing support agencies was also provided. To ensure confidentiality, the data were stored in a </w:t>
      </w:r>
      <w:r w:rsidR="00DF5EA2">
        <w:t xml:space="preserve">secure </w:t>
      </w:r>
      <w:r w:rsidRPr="00281199">
        <w:t>cloud environment with access limited to the researcher only. The recordings were deleted after the anonymised transcripts of sufficient quality were produced.</w:t>
      </w:r>
    </w:p>
    <w:p w14:paraId="2E681769" w14:textId="4234DC5F" w:rsidR="00542FCB" w:rsidRPr="003D5639" w:rsidRDefault="00542FCB" w:rsidP="003D5639">
      <w:pPr>
        <w:pStyle w:val="Heading3"/>
        <w:spacing w:line="276" w:lineRule="auto"/>
      </w:pPr>
      <w:r w:rsidRPr="00281199">
        <w:t>2.5. Analysis</w:t>
      </w:r>
    </w:p>
    <w:p w14:paraId="26E1B377" w14:textId="057739FB" w:rsidR="00EB3BE0" w:rsidRPr="00435853" w:rsidRDefault="00542FCB" w:rsidP="00435853">
      <w:pPr>
        <w:spacing w:before="240"/>
        <w:jc w:val="both"/>
      </w:pPr>
      <w:r w:rsidRPr="00281199">
        <w:t>The data were analysed in three phases: (</w:t>
      </w:r>
      <w:r w:rsidR="00F55E87">
        <w:t>a</w:t>
      </w:r>
      <w:r w:rsidRPr="00281199">
        <w:t>) the autogenerated transcription of the first interview was corrected to ensure accuracy and truthfulness, and IPA was applied</w:t>
      </w:r>
      <w:r w:rsidR="005529E8">
        <w:t>;</w:t>
      </w:r>
      <w:r w:rsidRPr="00281199">
        <w:t xml:space="preserve"> (</w:t>
      </w:r>
      <w:r w:rsidR="00F55E87">
        <w:t>b</w:t>
      </w:r>
      <w:r w:rsidRPr="00281199">
        <w:t>) the process was repeated with the second interview</w:t>
      </w:r>
      <w:r w:rsidR="009D17C6">
        <w:t>;</w:t>
      </w:r>
      <w:r w:rsidRPr="00281199">
        <w:t xml:space="preserve"> and (</w:t>
      </w:r>
      <w:r w:rsidR="00F55E87">
        <w:t>c</w:t>
      </w:r>
      <w:r w:rsidRPr="00281199">
        <w:t xml:space="preserve">) the defined themes were combined into the final </w:t>
      </w:r>
      <w:r w:rsidR="00C7409A">
        <w:t>set</w:t>
      </w:r>
      <w:r w:rsidRPr="00281199">
        <w:t xml:space="preserve"> (Pietkiewicz and Smith, 2014). To define the themes in each of the interviews, the following criteria </w:t>
      </w:r>
      <w:r w:rsidRPr="00281199">
        <w:lastRenderedPageBreak/>
        <w:t>were used: (</w:t>
      </w:r>
      <w:r w:rsidR="00F55E87">
        <w:t>a</w:t>
      </w:r>
      <w:r w:rsidRPr="00281199">
        <w:t>) relevance to the research question, in combination with either (</w:t>
      </w:r>
      <w:r w:rsidR="00F55E87">
        <w:t>b</w:t>
      </w:r>
      <w:r w:rsidRPr="00281199">
        <w:t>) frequent occurrence or (</w:t>
      </w:r>
      <w:r w:rsidR="00F55E87">
        <w:t>c</w:t>
      </w:r>
      <w:r w:rsidRPr="00281199">
        <w:t xml:space="preserve">) strong emphasis. The validity of the themes was tested </w:t>
      </w:r>
      <w:r w:rsidR="00872C31">
        <w:t>against</w:t>
      </w:r>
      <w:r w:rsidRPr="00281199">
        <w:t xml:space="preserve"> quotes from the transcripts. </w:t>
      </w:r>
      <w:r w:rsidR="0063751C" w:rsidRPr="00281199">
        <w:t>The emergent themes that received insufficient support were eliminated.</w:t>
      </w:r>
      <w:r w:rsidRPr="00281199">
        <w:t xml:space="preserve"> The remaining themes were organised into a table for each interview separately. </w:t>
      </w:r>
      <w:r w:rsidR="00E811E4">
        <w:t>T</w:t>
      </w:r>
      <w:r w:rsidRPr="00281199">
        <w:t xml:space="preserve">hey were </w:t>
      </w:r>
      <w:r w:rsidR="009A4EE4">
        <w:t xml:space="preserve">then </w:t>
      </w:r>
      <w:r w:rsidRPr="00281199">
        <w:t xml:space="preserve">iteratively revised, aligned, and then combined into the final table of themes. For this, the themes from the interview with Jo were used as a baseline, as they better answered the research question. After each iteration, the revised themes were re-validated </w:t>
      </w:r>
      <w:r w:rsidR="009A4EE4">
        <w:t>against supporting</w:t>
      </w:r>
      <w:r w:rsidRPr="00281199">
        <w:t xml:space="preserve"> quotes. The outcomes of each phase are listed in Appendix C. The findings were also shared with the participants to ensure the trustworthiness of the study. However, only Jo approved the results and conclusions. Alex did not provide feedback. </w:t>
      </w:r>
      <w:r w:rsidR="003D6E2E">
        <w:t>Finally</w:t>
      </w:r>
      <w:r w:rsidR="000F6536" w:rsidRPr="000F6536">
        <w:t>, both participants gave their consent via email for this study and its anonymised supplementary materials to be published.</w:t>
      </w:r>
    </w:p>
    <w:p w14:paraId="1E328EC1" w14:textId="1F58A5EA" w:rsidR="00CC3ECF" w:rsidRPr="003D5639" w:rsidRDefault="00CC3ECF" w:rsidP="003D5639">
      <w:pPr>
        <w:pStyle w:val="Heading2"/>
      </w:pPr>
      <w:r w:rsidRPr="00281199">
        <w:t>3. Results</w:t>
      </w:r>
    </w:p>
    <w:p w14:paraId="71A4C2CB" w14:textId="137686D1" w:rsidR="00021D4F" w:rsidRPr="00D5307C" w:rsidRDefault="00CC3ECF" w:rsidP="00CC3ECF">
      <w:pPr>
        <w:spacing w:before="240"/>
        <w:jc w:val="both"/>
        <w:rPr>
          <w:bCs/>
        </w:rPr>
      </w:pPr>
      <w:r w:rsidRPr="00281199">
        <w:t>The</w:t>
      </w:r>
      <w:r w:rsidRPr="00281199">
        <w:rPr>
          <w:bCs/>
        </w:rPr>
        <w:t xml:space="preserve"> IPA produced three superordinate themes: the actions of the CJS, biases and opinions, and personal values (see Table 1).</w:t>
      </w:r>
    </w:p>
    <w:p w14:paraId="23100043" w14:textId="77777777" w:rsidR="00CC3ECF" w:rsidRPr="00281199" w:rsidRDefault="00CC3ECF" w:rsidP="00CC3ECF">
      <w:pPr>
        <w:spacing w:before="240"/>
        <w:jc w:val="both"/>
      </w:pPr>
      <w:r w:rsidRPr="00281199">
        <w:rPr>
          <w:b/>
          <w:bCs/>
        </w:rPr>
        <w:t>Table 1</w:t>
      </w:r>
      <w:r w:rsidRPr="00281199">
        <w:rPr>
          <w:bCs/>
        </w:rPr>
        <w:t xml:space="preserve"> </w:t>
      </w:r>
      <w:r w:rsidRPr="00281199">
        <w:rPr>
          <w:bCs/>
          <w:i/>
          <w:iCs/>
        </w:rPr>
        <w:t>Themes</w:t>
      </w:r>
    </w:p>
    <w:tbl>
      <w:tblPr>
        <w:tblW w:w="4770" w:type="pct"/>
        <w:tblCellMar>
          <w:top w:w="15" w:type="dxa"/>
        </w:tblCellMar>
        <w:tblLook w:val="04A0" w:firstRow="1" w:lastRow="0" w:firstColumn="1" w:lastColumn="0" w:noHBand="0" w:noVBand="1"/>
        <w:tblCaption w:val="Themes"/>
        <w:tblDescription w:val="Each row contains a identified via analysis superordinate theme and its subthemes."/>
      </w:tblPr>
      <w:tblGrid>
        <w:gridCol w:w="3420"/>
        <w:gridCol w:w="5191"/>
      </w:tblGrid>
      <w:tr w:rsidR="00CC3ECF" w:rsidRPr="00281199" w14:paraId="679829F4" w14:textId="77777777" w:rsidTr="00A256B3">
        <w:trPr>
          <w:trHeight w:val="340"/>
        </w:trPr>
        <w:tc>
          <w:tcPr>
            <w:tcW w:w="1986" w:type="pct"/>
            <w:tcBorders>
              <w:top w:val="double" w:sz="4" w:space="0" w:color="auto"/>
              <w:bottom w:val="double" w:sz="4" w:space="0" w:color="auto"/>
            </w:tcBorders>
            <w:noWrap/>
            <w:hideMark/>
          </w:tcPr>
          <w:p w14:paraId="37E6BD24" w14:textId="77777777" w:rsidR="00CC3ECF" w:rsidRPr="00281199" w:rsidRDefault="00CC3ECF" w:rsidP="00E3153B">
            <w:pPr>
              <w:spacing w:after="0"/>
              <w:contextualSpacing/>
              <w:jc w:val="center"/>
              <w:rPr>
                <w:rFonts w:cs="Arial"/>
                <w:b/>
                <w:bCs/>
                <w:color w:val="000000"/>
              </w:rPr>
            </w:pPr>
            <w:r w:rsidRPr="00281199">
              <w:rPr>
                <w:rFonts w:cs="Arial"/>
                <w:b/>
                <w:bCs/>
                <w:color w:val="000000"/>
              </w:rPr>
              <w:t>Superordinate theme</w:t>
            </w:r>
          </w:p>
        </w:tc>
        <w:tc>
          <w:tcPr>
            <w:tcW w:w="3014" w:type="pct"/>
            <w:tcBorders>
              <w:top w:val="double" w:sz="4" w:space="0" w:color="auto"/>
              <w:bottom w:val="double" w:sz="4" w:space="0" w:color="auto"/>
            </w:tcBorders>
            <w:noWrap/>
            <w:hideMark/>
          </w:tcPr>
          <w:p w14:paraId="29F2EDC3" w14:textId="77777777" w:rsidR="00CC3ECF" w:rsidRPr="00281199" w:rsidRDefault="00CC3ECF" w:rsidP="00E3153B">
            <w:pPr>
              <w:spacing w:after="0"/>
              <w:contextualSpacing/>
              <w:jc w:val="center"/>
              <w:rPr>
                <w:rFonts w:cs="Arial"/>
                <w:b/>
                <w:bCs/>
                <w:color w:val="000000"/>
              </w:rPr>
            </w:pPr>
            <w:r w:rsidRPr="00281199">
              <w:rPr>
                <w:rFonts w:cs="Arial"/>
                <w:b/>
                <w:bCs/>
                <w:color w:val="000000"/>
              </w:rPr>
              <w:t>Sub-themes</w:t>
            </w:r>
          </w:p>
        </w:tc>
      </w:tr>
      <w:tr w:rsidR="00CC3ECF" w:rsidRPr="00281199" w14:paraId="62642A3E" w14:textId="77777777" w:rsidTr="00A256B3">
        <w:trPr>
          <w:trHeight w:val="860"/>
        </w:trPr>
        <w:tc>
          <w:tcPr>
            <w:tcW w:w="1986" w:type="pct"/>
            <w:tcBorders>
              <w:top w:val="double" w:sz="4" w:space="0" w:color="auto"/>
              <w:bottom w:val="single" w:sz="4" w:space="0" w:color="auto"/>
            </w:tcBorders>
            <w:hideMark/>
          </w:tcPr>
          <w:p w14:paraId="538E66DB" w14:textId="77777777" w:rsidR="00CC3ECF" w:rsidRPr="00281199" w:rsidRDefault="00CC3ECF" w:rsidP="00E3153B">
            <w:pPr>
              <w:spacing w:after="0"/>
              <w:contextualSpacing/>
              <w:rPr>
                <w:rFonts w:cs="Arial"/>
                <w:color w:val="000000"/>
              </w:rPr>
            </w:pPr>
            <w:r w:rsidRPr="00281199">
              <w:rPr>
                <w:rFonts w:cs="Arial"/>
                <w:color w:val="000000"/>
              </w:rPr>
              <w:t>The actions of the CJS</w:t>
            </w:r>
          </w:p>
        </w:tc>
        <w:tc>
          <w:tcPr>
            <w:tcW w:w="3014" w:type="pct"/>
            <w:tcBorders>
              <w:top w:val="double" w:sz="4" w:space="0" w:color="auto"/>
              <w:bottom w:val="single" w:sz="4" w:space="0" w:color="auto"/>
            </w:tcBorders>
            <w:hideMark/>
          </w:tcPr>
          <w:p w14:paraId="190CCB02" w14:textId="77777777" w:rsidR="00CC3ECF" w:rsidRPr="00281199" w:rsidRDefault="00CC3ECF" w:rsidP="00E3153B">
            <w:pPr>
              <w:pStyle w:val="ListParagraph"/>
              <w:numPr>
                <w:ilvl w:val="0"/>
                <w:numId w:val="4"/>
              </w:numPr>
              <w:spacing w:after="0"/>
              <w:ind w:left="341"/>
              <w:rPr>
                <w:rFonts w:cs="Arial"/>
              </w:rPr>
            </w:pPr>
            <w:r w:rsidRPr="00281199">
              <w:rPr>
                <w:rFonts w:cs="Arial"/>
              </w:rPr>
              <w:t>What it takes to get justice</w:t>
            </w:r>
          </w:p>
          <w:p w14:paraId="1AD4D156" w14:textId="77777777" w:rsidR="00CC3ECF" w:rsidRPr="00281199" w:rsidRDefault="00CC3ECF" w:rsidP="00E3153B">
            <w:pPr>
              <w:pStyle w:val="ListParagraph"/>
              <w:numPr>
                <w:ilvl w:val="0"/>
                <w:numId w:val="4"/>
              </w:numPr>
              <w:spacing w:after="0"/>
              <w:ind w:left="341"/>
              <w:rPr>
                <w:rFonts w:cs="Arial"/>
              </w:rPr>
            </w:pPr>
            <w:r w:rsidRPr="00281199">
              <w:rPr>
                <w:rFonts w:cs="Arial"/>
              </w:rPr>
              <w:t>Offenders get too many chances</w:t>
            </w:r>
          </w:p>
          <w:p w14:paraId="716FA043" w14:textId="77777777" w:rsidR="00CC3ECF" w:rsidRPr="00281199" w:rsidRDefault="00CC3ECF" w:rsidP="00E3153B">
            <w:pPr>
              <w:pStyle w:val="ListParagraph"/>
              <w:numPr>
                <w:ilvl w:val="0"/>
                <w:numId w:val="4"/>
              </w:numPr>
              <w:spacing w:after="0"/>
              <w:ind w:left="341"/>
              <w:rPr>
                <w:rFonts w:cs="Arial"/>
              </w:rPr>
            </w:pPr>
            <w:r w:rsidRPr="00281199">
              <w:rPr>
                <w:rFonts w:cs="Arial"/>
              </w:rPr>
              <w:t>Message to the community</w:t>
            </w:r>
          </w:p>
        </w:tc>
      </w:tr>
      <w:tr w:rsidR="00CC3ECF" w:rsidRPr="00281199" w14:paraId="6476621B" w14:textId="77777777" w:rsidTr="00A256B3">
        <w:trPr>
          <w:trHeight w:val="320"/>
        </w:trPr>
        <w:tc>
          <w:tcPr>
            <w:tcW w:w="1986" w:type="pct"/>
            <w:tcBorders>
              <w:top w:val="single" w:sz="4" w:space="0" w:color="auto"/>
              <w:bottom w:val="single" w:sz="4" w:space="0" w:color="auto"/>
            </w:tcBorders>
            <w:hideMark/>
          </w:tcPr>
          <w:p w14:paraId="37B568C3" w14:textId="77777777" w:rsidR="00CC3ECF" w:rsidRPr="00281199" w:rsidRDefault="00CC3ECF" w:rsidP="00E3153B">
            <w:pPr>
              <w:spacing w:after="0"/>
              <w:contextualSpacing/>
              <w:rPr>
                <w:rFonts w:cs="Arial"/>
                <w:color w:val="000000"/>
              </w:rPr>
            </w:pPr>
            <w:r w:rsidRPr="00281199">
              <w:rPr>
                <w:rFonts w:cs="Arial"/>
                <w:color w:val="000000"/>
              </w:rPr>
              <w:t>Biases and opinions</w:t>
            </w:r>
          </w:p>
        </w:tc>
        <w:tc>
          <w:tcPr>
            <w:tcW w:w="3014" w:type="pct"/>
            <w:tcBorders>
              <w:top w:val="single" w:sz="4" w:space="0" w:color="auto"/>
              <w:bottom w:val="single" w:sz="4" w:space="0" w:color="auto"/>
            </w:tcBorders>
            <w:hideMark/>
          </w:tcPr>
          <w:p w14:paraId="4580CB52" w14:textId="77777777" w:rsidR="00CC3ECF" w:rsidRPr="00281199" w:rsidRDefault="00CC3ECF" w:rsidP="00E3153B">
            <w:pPr>
              <w:pStyle w:val="ListParagraph"/>
              <w:numPr>
                <w:ilvl w:val="0"/>
                <w:numId w:val="4"/>
              </w:numPr>
              <w:spacing w:after="0"/>
              <w:ind w:left="341"/>
              <w:rPr>
                <w:rFonts w:cs="Arial"/>
              </w:rPr>
            </w:pPr>
            <w:r w:rsidRPr="00281199">
              <w:rPr>
                <w:rFonts w:cs="Arial"/>
                <w:color w:val="000000"/>
              </w:rPr>
              <w:t>Authoritative opinion</w:t>
            </w:r>
          </w:p>
          <w:p w14:paraId="7904D164" w14:textId="77777777" w:rsidR="00CC3ECF" w:rsidRPr="00281199" w:rsidRDefault="00CC3ECF" w:rsidP="00E3153B">
            <w:pPr>
              <w:pStyle w:val="ListParagraph"/>
              <w:numPr>
                <w:ilvl w:val="0"/>
                <w:numId w:val="4"/>
              </w:numPr>
              <w:spacing w:after="0"/>
              <w:ind w:left="341"/>
              <w:rPr>
                <w:rFonts w:cs="Arial"/>
              </w:rPr>
            </w:pPr>
            <w:r w:rsidRPr="00281199">
              <w:rPr>
                <w:rFonts w:cs="Arial"/>
              </w:rPr>
              <w:t>Court of public opinion</w:t>
            </w:r>
          </w:p>
          <w:p w14:paraId="48E1E9E8" w14:textId="77777777" w:rsidR="00CC3ECF" w:rsidRPr="00281199" w:rsidRDefault="00CC3ECF" w:rsidP="00E3153B">
            <w:pPr>
              <w:pStyle w:val="ListParagraph"/>
              <w:numPr>
                <w:ilvl w:val="0"/>
                <w:numId w:val="4"/>
              </w:numPr>
              <w:spacing w:after="0"/>
              <w:ind w:left="341"/>
              <w:rPr>
                <w:rFonts w:cs="Arial"/>
              </w:rPr>
            </w:pPr>
            <w:r w:rsidRPr="00281199">
              <w:rPr>
                <w:rFonts w:cs="Arial"/>
              </w:rPr>
              <w:t>Prevalent biases</w:t>
            </w:r>
          </w:p>
          <w:p w14:paraId="1DD7376F" w14:textId="77777777" w:rsidR="00CC3ECF" w:rsidRPr="00281199" w:rsidRDefault="00CC3ECF" w:rsidP="00E3153B">
            <w:pPr>
              <w:pStyle w:val="ListParagraph"/>
              <w:numPr>
                <w:ilvl w:val="0"/>
                <w:numId w:val="4"/>
              </w:numPr>
              <w:spacing w:after="0"/>
              <w:ind w:left="341"/>
              <w:rPr>
                <w:rFonts w:cs="Arial"/>
              </w:rPr>
            </w:pPr>
            <w:r w:rsidRPr="00281199">
              <w:rPr>
                <w:rFonts w:cs="Arial"/>
                <w:color w:val="000000"/>
              </w:rPr>
              <w:t>Personal bias</w:t>
            </w:r>
          </w:p>
        </w:tc>
      </w:tr>
      <w:tr w:rsidR="00CC3ECF" w:rsidRPr="00281199" w14:paraId="0ED7AE2E" w14:textId="77777777" w:rsidTr="00A256B3">
        <w:trPr>
          <w:trHeight w:val="284"/>
        </w:trPr>
        <w:tc>
          <w:tcPr>
            <w:tcW w:w="1986" w:type="pct"/>
            <w:tcBorders>
              <w:top w:val="single" w:sz="4" w:space="0" w:color="auto"/>
              <w:bottom w:val="single" w:sz="4" w:space="0" w:color="auto"/>
            </w:tcBorders>
            <w:hideMark/>
          </w:tcPr>
          <w:p w14:paraId="2C9E9C46" w14:textId="77777777" w:rsidR="00CC3ECF" w:rsidRPr="00281199" w:rsidRDefault="00CC3ECF" w:rsidP="00E3153B">
            <w:pPr>
              <w:spacing w:after="0"/>
              <w:contextualSpacing/>
              <w:rPr>
                <w:rFonts w:cs="Arial"/>
                <w:color w:val="000000"/>
              </w:rPr>
            </w:pPr>
            <w:r w:rsidRPr="00281199">
              <w:rPr>
                <w:rFonts w:cs="Arial"/>
                <w:color w:val="000000"/>
              </w:rPr>
              <w:t>Personal values</w:t>
            </w:r>
          </w:p>
        </w:tc>
        <w:tc>
          <w:tcPr>
            <w:tcW w:w="3014" w:type="pct"/>
            <w:tcBorders>
              <w:top w:val="single" w:sz="4" w:space="0" w:color="auto"/>
              <w:bottom w:val="single" w:sz="4" w:space="0" w:color="auto"/>
            </w:tcBorders>
            <w:hideMark/>
          </w:tcPr>
          <w:p w14:paraId="5BDDE393" w14:textId="77777777" w:rsidR="00CC3ECF" w:rsidRPr="00281199" w:rsidRDefault="00CC3ECF" w:rsidP="00E3153B">
            <w:pPr>
              <w:pStyle w:val="ListParagraph"/>
              <w:numPr>
                <w:ilvl w:val="0"/>
                <w:numId w:val="4"/>
              </w:numPr>
              <w:spacing w:after="0"/>
              <w:ind w:left="341"/>
              <w:rPr>
                <w:rFonts w:cs="Arial"/>
              </w:rPr>
            </w:pPr>
            <w:r w:rsidRPr="00281199">
              <w:rPr>
                <w:rFonts w:cs="Arial"/>
                <w:color w:val="000000"/>
              </w:rPr>
              <w:t>Making informed decisions</w:t>
            </w:r>
          </w:p>
          <w:p w14:paraId="6A705671" w14:textId="77777777" w:rsidR="00CC3ECF" w:rsidRPr="00281199" w:rsidRDefault="00CC3ECF" w:rsidP="00E3153B">
            <w:pPr>
              <w:pStyle w:val="ListParagraph"/>
              <w:numPr>
                <w:ilvl w:val="0"/>
                <w:numId w:val="4"/>
              </w:numPr>
              <w:spacing w:after="0"/>
              <w:ind w:left="341"/>
              <w:rPr>
                <w:rFonts w:cs="Arial"/>
              </w:rPr>
            </w:pPr>
            <w:r w:rsidRPr="00281199">
              <w:rPr>
                <w:rFonts w:cs="Arial"/>
                <w:color w:val="000000"/>
              </w:rPr>
              <w:t>Being humane</w:t>
            </w:r>
          </w:p>
          <w:p w14:paraId="72B1174C" w14:textId="77777777" w:rsidR="00CC3ECF" w:rsidRPr="00281199" w:rsidRDefault="00CC3ECF" w:rsidP="00E3153B">
            <w:pPr>
              <w:pStyle w:val="ListParagraph"/>
              <w:numPr>
                <w:ilvl w:val="0"/>
                <w:numId w:val="4"/>
              </w:numPr>
              <w:spacing w:after="0"/>
              <w:ind w:left="341"/>
              <w:rPr>
                <w:rFonts w:cs="Arial"/>
              </w:rPr>
            </w:pPr>
            <w:r w:rsidRPr="00281199">
              <w:rPr>
                <w:rFonts w:cs="Arial"/>
                <w:color w:val="000000"/>
              </w:rPr>
              <w:t>Understanding the complexity of justice</w:t>
            </w:r>
          </w:p>
        </w:tc>
      </w:tr>
    </w:tbl>
    <w:p w14:paraId="59C6D35B" w14:textId="19BEAFCE" w:rsidR="00B20BE2" w:rsidRPr="003D5639" w:rsidRDefault="00B20BE2" w:rsidP="003D5639">
      <w:pPr>
        <w:pStyle w:val="Heading3"/>
        <w:spacing w:line="276" w:lineRule="auto"/>
      </w:pPr>
      <w:r w:rsidRPr="003D5639">
        <w:t>3.1. The actions of the CJS</w:t>
      </w:r>
    </w:p>
    <w:p w14:paraId="3BA73DAC" w14:textId="443F4E1D" w:rsidR="00B20BE2" w:rsidRPr="00281199" w:rsidRDefault="009B14E3" w:rsidP="00B20BE2">
      <w:pPr>
        <w:spacing w:before="240"/>
        <w:jc w:val="both"/>
      </w:pPr>
      <w:r w:rsidRPr="009B14E3">
        <w:t xml:space="preserve">This theme was derived from what are </w:t>
      </w:r>
      <w:r w:rsidR="00515B58">
        <w:t>termed</w:t>
      </w:r>
      <w:r w:rsidRPr="009B14E3">
        <w:t xml:space="preserve"> ‘shining gems’ </w:t>
      </w:r>
      <w:r w:rsidR="00AA5500">
        <w:t>–</w:t>
      </w:r>
      <w:r w:rsidR="008F1F32">
        <w:t xml:space="preserve"> </w:t>
      </w:r>
      <w:r w:rsidR="00B4379F">
        <w:t>eas</w:t>
      </w:r>
      <w:r w:rsidR="001A3EAC">
        <w:t>ily</w:t>
      </w:r>
      <w:r w:rsidR="00B4379F">
        <w:t xml:space="preserve"> recognisable</w:t>
      </w:r>
      <w:r w:rsidR="009E5DC3">
        <w:t>, dominant</w:t>
      </w:r>
      <w:r w:rsidR="001E065D">
        <w:t xml:space="preserve"> </w:t>
      </w:r>
      <w:r w:rsidR="009E5DC3" w:rsidRPr="009E5DC3">
        <w:t>utterance</w:t>
      </w:r>
      <w:r w:rsidR="00C379BE">
        <w:t>s</w:t>
      </w:r>
      <w:r w:rsidR="009E5DC3" w:rsidRPr="009E5DC3">
        <w:t xml:space="preserve"> </w:t>
      </w:r>
      <w:r w:rsidR="006120C7">
        <w:t xml:space="preserve">with </w:t>
      </w:r>
      <w:r w:rsidR="001A3EAC">
        <w:t>clear</w:t>
      </w:r>
      <w:r w:rsidR="006120C7">
        <w:t xml:space="preserve"> meaning</w:t>
      </w:r>
      <w:r w:rsidR="00B4379F">
        <w:t xml:space="preserve"> </w:t>
      </w:r>
      <w:r w:rsidRPr="009B14E3">
        <w:t>(Eatough and Smith, 2017). For Alex, victims’ effort</w:t>
      </w:r>
      <w:r w:rsidR="001A3EAC">
        <w:t>s</w:t>
      </w:r>
      <w:r w:rsidRPr="009B14E3">
        <w:t xml:space="preserve"> to </w:t>
      </w:r>
      <w:r w:rsidR="00EC4D6C">
        <w:t xml:space="preserve">obtain </w:t>
      </w:r>
      <w:r w:rsidRPr="009B14E3">
        <w:t xml:space="preserve">justice had the </w:t>
      </w:r>
      <w:r w:rsidR="00EC4D6C">
        <w:t>greatest</w:t>
      </w:r>
      <w:r w:rsidRPr="009B14E3">
        <w:t xml:space="preserve"> impact</w:t>
      </w:r>
      <w:r w:rsidR="00E95A63">
        <w:t xml:space="preserve"> on their perception of CJS</w:t>
      </w:r>
      <w:r w:rsidR="00327074">
        <w:t xml:space="preserve"> fairness</w:t>
      </w:r>
      <w:r w:rsidRPr="009B14E3">
        <w:t xml:space="preserve">. The </w:t>
      </w:r>
      <w:r w:rsidR="00A3447C">
        <w:t>impression</w:t>
      </w:r>
      <w:r w:rsidRPr="009B14E3">
        <w:t xml:space="preserve"> that victims “need to fight a lot more to get justice than they should have to” conflicts with </w:t>
      </w:r>
      <w:r w:rsidR="005C4BBD">
        <w:t>the participant’s</w:t>
      </w:r>
      <w:r w:rsidR="008863E5">
        <w:t xml:space="preserve"> understanding of</w:t>
      </w:r>
      <w:r w:rsidRPr="009B14E3">
        <w:t xml:space="preserve"> the CJS’s purpose</w:t>
      </w:r>
      <w:r w:rsidR="0008555A">
        <w:t xml:space="preserve"> –</w:t>
      </w:r>
      <w:r w:rsidRPr="009B14E3">
        <w:t xml:space="preserve"> “getting justice for people who have been wronged”</w:t>
      </w:r>
      <w:r w:rsidR="0008555A">
        <w:t xml:space="preserve"> –</w:t>
      </w:r>
      <w:r w:rsidR="005C4BBD">
        <w:t xml:space="preserve"> </w:t>
      </w:r>
      <w:r w:rsidR="00A7547D">
        <w:t>thereby</w:t>
      </w:r>
      <w:r w:rsidR="0008555A">
        <w:t xml:space="preserve"> </w:t>
      </w:r>
      <w:r w:rsidR="00A7547D">
        <w:t>portraying the</w:t>
      </w:r>
      <w:r w:rsidR="005C4BBD">
        <w:t xml:space="preserve"> </w:t>
      </w:r>
      <w:r w:rsidR="00646725">
        <w:t>CJS as unfair.</w:t>
      </w:r>
      <w:r w:rsidRPr="009B14E3">
        <w:t xml:space="preserve"> </w:t>
      </w:r>
      <w:r w:rsidR="00646725">
        <w:t>Additionally</w:t>
      </w:r>
      <w:r w:rsidRPr="009B14E3">
        <w:t xml:space="preserve">, Alex compared punishment within the Irish </w:t>
      </w:r>
      <w:r>
        <w:t>system</w:t>
      </w:r>
      <w:r w:rsidRPr="009B14E3">
        <w:t xml:space="preserve"> to a joke:</w:t>
      </w:r>
    </w:p>
    <w:p w14:paraId="19F5D3BE" w14:textId="77777777" w:rsidR="00B20BE2" w:rsidRPr="00281199" w:rsidRDefault="00B20BE2" w:rsidP="00B20BE2">
      <w:pPr>
        <w:spacing w:before="240"/>
        <w:ind w:left="720" w:right="746"/>
        <w:jc w:val="both"/>
      </w:pPr>
      <w:r w:rsidRPr="00281199">
        <w:lastRenderedPageBreak/>
        <w:t>[Y]</w:t>
      </w:r>
      <w:proofErr w:type="spellStart"/>
      <w:r w:rsidRPr="00281199">
        <w:t>ou</w:t>
      </w:r>
      <w:proofErr w:type="spellEnd"/>
      <w:r w:rsidRPr="00281199">
        <w:t xml:space="preserve"> can murder someone in Ireland and be out ... in half the time … [W]e </w:t>
      </w:r>
      <w:proofErr w:type="gramStart"/>
      <w:r w:rsidRPr="00281199">
        <w:t>hear</w:t>
      </w:r>
      <w:proofErr w:type="gramEnd"/>
      <w:r w:rsidRPr="00281199">
        <w:t xml:space="preserve"> people saying stuff like, “You get less time for murder.” … And, unfortunately, like it’s a true fact. It’s a joke, but at the same time, … it’s legitimate.</w:t>
      </w:r>
    </w:p>
    <w:p w14:paraId="06C8D4DA" w14:textId="0BE4F218" w:rsidR="00B20BE2" w:rsidRPr="00281199" w:rsidRDefault="00B20BE2" w:rsidP="00B20BE2">
      <w:pPr>
        <w:spacing w:before="240"/>
        <w:jc w:val="both"/>
      </w:pPr>
      <w:r w:rsidRPr="00281199">
        <w:t>While the default conviction for murder in Ireland is life imprisonment, Alex’s comment relat</w:t>
      </w:r>
      <w:r w:rsidR="00B753BF">
        <w:t>es</w:t>
      </w:r>
      <w:r w:rsidRPr="00281199">
        <w:t xml:space="preserve"> to sentence mitigation and the right to parole, which they </w:t>
      </w:r>
      <w:r w:rsidR="00AB6EC9">
        <w:t>view</w:t>
      </w:r>
      <w:r w:rsidRPr="00281199">
        <w:t xml:space="preserve"> as insufficient justice.</w:t>
      </w:r>
    </w:p>
    <w:p w14:paraId="4FA68161" w14:textId="56827418" w:rsidR="009C5167" w:rsidRPr="00281199" w:rsidRDefault="00B20BE2" w:rsidP="009C5167">
      <w:pPr>
        <w:spacing w:before="240"/>
        <w:jc w:val="both"/>
        <w:rPr>
          <w:rStyle w:val="Strong"/>
          <w:b w:val="0"/>
          <w:bCs w:val="0"/>
        </w:rPr>
      </w:pPr>
      <w:r w:rsidRPr="00281199">
        <w:t xml:space="preserve">Similarly, Jo emphasised that offenders </w:t>
      </w:r>
      <w:r w:rsidR="00AB6EC9">
        <w:t>are given</w:t>
      </w:r>
      <w:r w:rsidR="00F94CE7">
        <w:t xml:space="preserve"> </w:t>
      </w:r>
      <w:r w:rsidRPr="00281199">
        <w:t xml:space="preserve">“too many chances”, which, in turn, normalises unacceptable behaviour: “I think oftentimes the message that sends out [sic] to the community is that it’s okay, when it’s absolutely not okay.” </w:t>
      </w:r>
      <w:r w:rsidR="00B47E6A">
        <w:t>As a result</w:t>
      </w:r>
      <w:r w:rsidRPr="00281199">
        <w:t xml:space="preserve">, those who </w:t>
      </w:r>
      <w:r w:rsidR="005E5968">
        <w:t>are given</w:t>
      </w:r>
      <w:r w:rsidRPr="00281199">
        <w:t xml:space="preserve"> </w:t>
      </w:r>
      <w:r w:rsidR="005E5968">
        <w:t>additional</w:t>
      </w:r>
      <w:r w:rsidRPr="00281199">
        <w:t xml:space="preserve"> chance</w:t>
      </w:r>
      <w:r w:rsidR="005E5968">
        <w:t>s</w:t>
      </w:r>
      <w:r w:rsidRPr="00281199">
        <w:t xml:space="preserve"> often fall into a cycle of reoffending, while those who have not yet offended </w:t>
      </w:r>
      <w:r w:rsidR="00FB34F0">
        <w:t>may be</w:t>
      </w:r>
      <w:r w:rsidR="007E2F48" w:rsidRPr="00281199">
        <w:t xml:space="preserve"> just as likely to do so</w:t>
      </w:r>
      <w:r w:rsidRPr="00281199">
        <w:t xml:space="preserve">. </w:t>
      </w:r>
      <w:r w:rsidR="00FF1E93">
        <w:t>In other words</w:t>
      </w:r>
      <w:r w:rsidRPr="00281199">
        <w:t xml:space="preserve">, Jo </w:t>
      </w:r>
      <w:r w:rsidR="002B683A">
        <w:t>perceives</w:t>
      </w:r>
      <w:r w:rsidRPr="00281199">
        <w:t xml:space="preserve"> such leniency in the Irish CJS as an enabler of reoffending rather than </w:t>
      </w:r>
      <w:r w:rsidR="00FF1E93">
        <w:t xml:space="preserve">as </w:t>
      </w:r>
      <w:r w:rsidRPr="00281199">
        <w:t>restorative justice in practice.</w:t>
      </w:r>
    </w:p>
    <w:p w14:paraId="1EB09ED8" w14:textId="77777777" w:rsidR="00B20BE2" w:rsidRPr="003D5639" w:rsidRDefault="00B20BE2" w:rsidP="003D5639">
      <w:pPr>
        <w:pStyle w:val="Heading3"/>
        <w:spacing w:line="276" w:lineRule="auto"/>
      </w:pPr>
      <w:r w:rsidRPr="003D5639">
        <w:t>3.2. Biases and opinions</w:t>
      </w:r>
    </w:p>
    <w:p w14:paraId="78CA76E4" w14:textId="7988E58E" w:rsidR="00B20BE2" w:rsidRPr="00281199" w:rsidRDefault="00B20BE2" w:rsidP="008A10AB">
      <w:pPr>
        <w:spacing w:before="240"/>
        <w:jc w:val="both"/>
      </w:pPr>
      <w:r w:rsidRPr="00281199">
        <w:rPr>
          <w:bCs/>
        </w:rPr>
        <w:t xml:space="preserve">The next theme </w:t>
      </w:r>
      <w:r w:rsidR="00735422">
        <w:rPr>
          <w:bCs/>
        </w:rPr>
        <w:t>examines</w:t>
      </w:r>
      <w:r w:rsidRPr="00281199">
        <w:rPr>
          <w:bCs/>
        </w:rPr>
        <w:t xml:space="preserve"> the impact of biases and opinions</w:t>
      </w:r>
      <w:r w:rsidR="008D2621">
        <w:rPr>
          <w:bCs/>
        </w:rPr>
        <w:t xml:space="preserve"> on </w:t>
      </w:r>
      <w:r w:rsidR="008941EE">
        <w:rPr>
          <w:bCs/>
        </w:rPr>
        <w:t>the formation</w:t>
      </w:r>
      <w:r w:rsidR="008D2621">
        <w:rPr>
          <w:bCs/>
        </w:rPr>
        <w:t xml:space="preserve"> </w:t>
      </w:r>
      <w:r w:rsidR="00801402">
        <w:rPr>
          <w:bCs/>
        </w:rPr>
        <w:t xml:space="preserve">of </w:t>
      </w:r>
      <w:r w:rsidR="008D2621">
        <w:rPr>
          <w:bCs/>
        </w:rPr>
        <w:t>per</w:t>
      </w:r>
      <w:r w:rsidR="00D07338">
        <w:rPr>
          <w:bCs/>
        </w:rPr>
        <w:t>c</w:t>
      </w:r>
      <w:r w:rsidR="008D2621">
        <w:rPr>
          <w:bCs/>
        </w:rPr>
        <w:t>eptions</w:t>
      </w:r>
      <w:r w:rsidRPr="00281199">
        <w:rPr>
          <w:bCs/>
        </w:rPr>
        <w:t>.</w:t>
      </w:r>
      <w:r w:rsidR="00D07338">
        <w:rPr>
          <w:bCs/>
        </w:rPr>
        <w:t xml:space="preserve"> The </w:t>
      </w:r>
      <w:r w:rsidR="00264CDA">
        <w:rPr>
          <w:bCs/>
        </w:rPr>
        <w:t>influence</w:t>
      </w:r>
      <w:r w:rsidR="00D07338">
        <w:rPr>
          <w:bCs/>
        </w:rPr>
        <w:t xml:space="preserve"> of bias on perception </w:t>
      </w:r>
      <w:r w:rsidR="00F70479">
        <w:rPr>
          <w:bCs/>
        </w:rPr>
        <w:t>appears to be complex</w:t>
      </w:r>
      <w:r w:rsidR="00B52AE7">
        <w:rPr>
          <w:bCs/>
        </w:rPr>
        <w:t>, intertwining</w:t>
      </w:r>
      <w:r w:rsidR="00076C82">
        <w:rPr>
          <w:bCs/>
        </w:rPr>
        <w:t xml:space="preserve"> social status bias, </w:t>
      </w:r>
      <w:r w:rsidR="003C6808">
        <w:rPr>
          <w:bCs/>
        </w:rPr>
        <w:t>media representation bias, and personal bias.</w:t>
      </w:r>
      <w:r w:rsidRPr="00281199">
        <w:rPr>
          <w:bCs/>
        </w:rPr>
        <w:t xml:space="preserve"> </w:t>
      </w:r>
      <w:r w:rsidR="00422DF1">
        <w:rPr>
          <w:bCs/>
        </w:rPr>
        <w:t>Both</w:t>
      </w:r>
      <w:r w:rsidRPr="00281199">
        <w:rPr>
          <w:bCs/>
        </w:rPr>
        <w:t xml:space="preserve"> participants believe that the CJ</w:t>
      </w:r>
      <w:r w:rsidRPr="00281199">
        <w:t>S</w:t>
      </w:r>
      <w:r w:rsidRPr="00281199">
        <w:rPr>
          <w:bCs/>
        </w:rPr>
        <w:t xml:space="preserve">’s unfairness results from </w:t>
      </w:r>
      <w:r w:rsidR="00887FBC">
        <w:rPr>
          <w:bCs/>
        </w:rPr>
        <w:t xml:space="preserve">social </w:t>
      </w:r>
      <w:r w:rsidRPr="00281199">
        <w:rPr>
          <w:bCs/>
        </w:rPr>
        <w:t xml:space="preserve">status bias. Alex summarised </w:t>
      </w:r>
      <w:r w:rsidR="00AB1B45">
        <w:rPr>
          <w:bCs/>
        </w:rPr>
        <w:t>this</w:t>
      </w:r>
      <w:r w:rsidRPr="00281199">
        <w:rPr>
          <w:bCs/>
        </w:rPr>
        <w:t xml:space="preserve"> as</w:t>
      </w:r>
      <w:r w:rsidR="001672CB">
        <w:rPr>
          <w:bCs/>
        </w:rPr>
        <w:t>:</w:t>
      </w:r>
      <w:r w:rsidRPr="00281199">
        <w:rPr>
          <w:bCs/>
        </w:rPr>
        <w:t xml:space="preserve"> “it’s like some people … deserve a second chance, but others don’t because of their background.” Similarly, Jo elaborated:</w:t>
      </w:r>
    </w:p>
    <w:p w14:paraId="0A401266" w14:textId="77777777" w:rsidR="00B20BE2" w:rsidRPr="00281199" w:rsidRDefault="00B20BE2" w:rsidP="008A10AB">
      <w:pPr>
        <w:spacing w:before="240"/>
        <w:ind w:left="720" w:right="746"/>
        <w:jc w:val="both"/>
      </w:pPr>
      <w:r w:rsidRPr="00281199">
        <w:rPr>
          <w:bCs/>
        </w:rPr>
        <w:t xml:space="preserve">I </w:t>
      </w:r>
      <w:r w:rsidRPr="00281199">
        <w:t>do think if you have a type of … profile in sport or … if you’re a known person, … you can be treated with lenience. But … because I’m just ordinary Jo, … I’m not going to be treated with the same approach.</w:t>
      </w:r>
    </w:p>
    <w:p w14:paraId="570E9969" w14:textId="3E87917F" w:rsidR="00B20BE2" w:rsidRPr="00281199" w:rsidRDefault="00712436" w:rsidP="008A10AB">
      <w:pPr>
        <w:spacing w:before="240"/>
        <w:jc w:val="both"/>
      </w:pPr>
      <w:r w:rsidRPr="00712436">
        <w:rPr>
          <w:bCs/>
        </w:rPr>
        <w:t xml:space="preserve">As most court cases </w:t>
      </w:r>
      <w:r w:rsidR="001672CB">
        <w:rPr>
          <w:bCs/>
        </w:rPr>
        <w:t>reported</w:t>
      </w:r>
      <w:r w:rsidRPr="00712436">
        <w:rPr>
          <w:bCs/>
        </w:rPr>
        <w:t xml:space="preserve"> in the media involve high-profile individuals, both participants referred to </w:t>
      </w:r>
      <w:r w:rsidR="00D07338">
        <w:rPr>
          <w:bCs/>
        </w:rPr>
        <w:t xml:space="preserve">them </w:t>
      </w:r>
      <w:r w:rsidRPr="00712436">
        <w:rPr>
          <w:bCs/>
        </w:rPr>
        <w:t>to exemplify bias in the CJS. Therefore, this perception is likely the result of the selective representation of court rulings.</w:t>
      </w:r>
      <w:r w:rsidR="00B20BE2" w:rsidRPr="00281199">
        <w:rPr>
          <w:bCs/>
        </w:rPr>
        <w:t xml:space="preserve"> </w:t>
      </w:r>
      <w:r w:rsidR="00D07338">
        <w:rPr>
          <w:bCs/>
        </w:rPr>
        <w:t>At the same time</w:t>
      </w:r>
      <w:r w:rsidR="00B20BE2" w:rsidRPr="00281199">
        <w:rPr>
          <w:bCs/>
        </w:rPr>
        <w:t>, Alex’s comment on another occasion – “Everyone knows what he’s like, so I don’t like him. So, my first opinion was … ‘He’s wrong’” – suggests a projection of their own bias on</w:t>
      </w:r>
      <w:r w:rsidR="00417070">
        <w:rPr>
          <w:bCs/>
        </w:rPr>
        <w:t>to</w:t>
      </w:r>
      <w:r w:rsidR="00B20BE2" w:rsidRPr="00281199">
        <w:rPr>
          <w:bCs/>
        </w:rPr>
        <w:t xml:space="preserve"> CJS decision-making.</w:t>
      </w:r>
    </w:p>
    <w:p w14:paraId="0E09F806" w14:textId="6018959A" w:rsidR="002032DE" w:rsidRDefault="00422DF1" w:rsidP="00497524">
      <w:pPr>
        <w:spacing w:before="240"/>
        <w:jc w:val="both"/>
        <w:rPr>
          <w:bCs/>
        </w:rPr>
      </w:pPr>
      <w:r>
        <w:rPr>
          <w:bCs/>
        </w:rPr>
        <w:t>Further, w</w:t>
      </w:r>
      <w:r w:rsidR="00725CCC" w:rsidRPr="00E8566B">
        <w:rPr>
          <w:bCs/>
        </w:rPr>
        <w:t xml:space="preserve">hile acknowledging </w:t>
      </w:r>
      <w:r w:rsidR="00725CCC">
        <w:rPr>
          <w:bCs/>
        </w:rPr>
        <w:t xml:space="preserve">the </w:t>
      </w:r>
      <w:r w:rsidR="00725CCC" w:rsidRPr="00E8566B">
        <w:rPr>
          <w:bCs/>
        </w:rPr>
        <w:t>impact</w:t>
      </w:r>
      <w:r w:rsidR="00725CCC">
        <w:rPr>
          <w:bCs/>
        </w:rPr>
        <w:t xml:space="preserve"> of </w:t>
      </w:r>
      <w:r w:rsidR="00725CCC" w:rsidRPr="00E8566B">
        <w:rPr>
          <w:bCs/>
        </w:rPr>
        <w:t>authoritative statements</w:t>
      </w:r>
      <w:r w:rsidR="00725CCC">
        <w:rPr>
          <w:bCs/>
        </w:rPr>
        <w:t xml:space="preserve">, </w:t>
      </w:r>
      <w:r w:rsidR="00E8566B" w:rsidRPr="00E8566B">
        <w:rPr>
          <w:bCs/>
        </w:rPr>
        <w:t xml:space="preserve">both participants were somewhat sceptical about </w:t>
      </w:r>
      <w:r w:rsidR="00E71478">
        <w:rPr>
          <w:bCs/>
        </w:rPr>
        <w:t xml:space="preserve">their </w:t>
      </w:r>
      <w:r w:rsidR="001D451C">
        <w:rPr>
          <w:bCs/>
        </w:rPr>
        <w:t xml:space="preserve">relevance and </w:t>
      </w:r>
      <w:r w:rsidR="00E71478">
        <w:rPr>
          <w:bCs/>
        </w:rPr>
        <w:t>use in co</w:t>
      </w:r>
      <w:r w:rsidR="00665940">
        <w:rPr>
          <w:bCs/>
        </w:rPr>
        <w:t>urt</w:t>
      </w:r>
      <w:r w:rsidR="00E8566B" w:rsidRPr="00E8566B">
        <w:rPr>
          <w:bCs/>
        </w:rPr>
        <w:t xml:space="preserve">. For example, Jo </w:t>
      </w:r>
      <w:r w:rsidR="008F2058">
        <w:rPr>
          <w:bCs/>
        </w:rPr>
        <w:t>perceives</w:t>
      </w:r>
      <w:r w:rsidR="00E8566B" w:rsidRPr="00E8566B">
        <w:rPr>
          <w:bCs/>
        </w:rPr>
        <w:t xml:space="preserve"> the value of ‘good character’ evidence as conditional:</w:t>
      </w:r>
    </w:p>
    <w:p w14:paraId="547E0350" w14:textId="77777777" w:rsidR="009843AC" w:rsidRPr="009843AC" w:rsidRDefault="009843AC" w:rsidP="009843AC">
      <w:pPr>
        <w:spacing w:after="120"/>
        <w:ind w:left="720" w:right="656"/>
        <w:jc w:val="both"/>
        <w:rPr>
          <w:rFonts w:cs="Arial"/>
          <w:color w:val="000000"/>
        </w:rPr>
      </w:pPr>
      <w:r w:rsidRPr="009843AC">
        <w:rPr>
          <w:rFonts w:cs="Arial"/>
          <w:color w:val="000000"/>
        </w:rPr>
        <w:t>I have ... to hope that the jury and the judge and the criminal justice system can see that I’m a good person. So maybe I get ... my boss in to talk about how good I am. But if I have 64 previous convictions, those people coming in saying I’m a nice [person], it shouldn’t matter so much.</w:t>
      </w:r>
    </w:p>
    <w:p w14:paraId="6620407C" w14:textId="6D312CE4" w:rsidR="00B20BE2" w:rsidRPr="00281199" w:rsidRDefault="000B4373" w:rsidP="008A10AB">
      <w:pPr>
        <w:spacing w:before="240"/>
        <w:jc w:val="both"/>
        <w:rPr>
          <w:b/>
          <w:bCs/>
        </w:rPr>
      </w:pPr>
      <w:r>
        <w:rPr>
          <w:bCs/>
        </w:rPr>
        <w:t>Meanwhile</w:t>
      </w:r>
      <w:r w:rsidR="00324000" w:rsidRPr="00324000">
        <w:rPr>
          <w:bCs/>
        </w:rPr>
        <w:t xml:space="preserve">, Alex </w:t>
      </w:r>
      <w:r w:rsidR="00436F39">
        <w:rPr>
          <w:bCs/>
        </w:rPr>
        <w:t>highlighted</w:t>
      </w:r>
      <w:r w:rsidR="00324000" w:rsidRPr="00324000">
        <w:rPr>
          <w:bCs/>
        </w:rPr>
        <w:t xml:space="preserve"> </w:t>
      </w:r>
      <w:r w:rsidR="00E86B91">
        <w:rPr>
          <w:bCs/>
        </w:rPr>
        <w:t>a</w:t>
      </w:r>
      <w:r w:rsidR="00324000" w:rsidRPr="00324000">
        <w:rPr>
          <w:bCs/>
        </w:rPr>
        <w:t xml:space="preserve"> dilemma </w:t>
      </w:r>
      <w:r w:rsidR="00DE4EEF">
        <w:rPr>
          <w:bCs/>
        </w:rPr>
        <w:t>in</w:t>
      </w:r>
      <w:r w:rsidR="00324000" w:rsidRPr="00324000">
        <w:rPr>
          <w:bCs/>
        </w:rPr>
        <w:t xml:space="preserve"> accepting ‘good character’ verbal evidence:</w:t>
      </w:r>
    </w:p>
    <w:p w14:paraId="7E56D219" w14:textId="77777777" w:rsidR="00B20BE2" w:rsidRPr="00281199" w:rsidRDefault="00B20BE2" w:rsidP="002D3A51">
      <w:pPr>
        <w:spacing w:before="240"/>
        <w:ind w:left="720" w:right="746"/>
        <w:jc w:val="both"/>
        <w:rPr>
          <w:b/>
          <w:bCs/>
        </w:rPr>
      </w:pPr>
      <w:r w:rsidRPr="00281199">
        <w:rPr>
          <w:bCs/>
        </w:rPr>
        <w:lastRenderedPageBreak/>
        <w:t>So that may be [from the] pressure of the other people of higher ranking … saying that this is a good person. So, I should think that they’re a good person, and would I be judged as a judge for sentencing this person?</w:t>
      </w:r>
    </w:p>
    <w:p w14:paraId="63C70F5A" w14:textId="225A4B37" w:rsidR="00B20BE2" w:rsidRPr="00281199" w:rsidRDefault="0038769B" w:rsidP="008A10AB">
      <w:pPr>
        <w:spacing w:before="240"/>
        <w:jc w:val="both"/>
      </w:pPr>
      <w:r>
        <w:rPr>
          <w:bCs/>
        </w:rPr>
        <w:t>T</w:t>
      </w:r>
      <w:r w:rsidR="00B20BE2" w:rsidRPr="00281199">
        <w:rPr>
          <w:bCs/>
        </w:rPr>
        <w:t>his comment</w:t>
      </w:r>
      <w:r>
        <w:rPr>
          <w:bCs/>
        </w:rPr>
        <w:t>, however,</w:t>
      </w:r>
      <w:r w:rsidR="00B20BE2" w:rsidRPr="00281199">
        <w:rPr>
          <w:bCs/>
        </w:rPr>
        <w:t xml:space="preserve"> </w:t>
      </w:r>
      <w:r w:rsidR="00A25404">
        <w:rPr>
          <w:bCs/>
        </w:rPr>
        <w:t>reflects a</w:t>
      </w:r>
      <w:r w:rsidR="004F6F4C">
        <w:rPr>
          <w:bCs/>
        </w:rPr>
        <w:t xml:space="preserve"> deeper experience of shaping </w:t>
      </w:r>
      <w:r w:rsidR="0050555B">
        <w:rPr>
          <w:bCs/>
        </w:rPr>
        <w:t>perception</w:t>
      </w:r>
      <w:r w:rsidR="00194312">
        <w:rPr>
          <w:bCs/>
        </w:rPr>
        <w:t>,</w:t>
      </w:r>
      <w:r w:rsidR="004F6F4C">
        <w:rPr>
          <w:bCs/>
        </w:rPr>
        <w:t xml:space="preserve"> </w:t>
      </w:r>
      <w:r w:rsidR="0050555B">
        <w:rPr>
          <w:bCs/>
        </w:rPr>
        <w:t xml:space="preserve">beyond </w:t>
      </w:r>
      <w:r w:rsidR="002A232B">
        <w:rPr>
          <w:bCs/>
        </w:rPr>
        <w:t xml:space="preserve">mere </w:t>
      </w:r>
      <w:r w:rsidR="00B20BE2" w:rsidRPr="00281199">
        <w:rPr>
          <w:bCs/>
        </w:rPr>
        <w:t>rel</w:t>
      </w:r>
      <w:r w:rsidR="0050555B">
        <w:rPr>
          <w:bCs/>
        </w:rPr>
        <w:t>iance</w:t>
      </w:r>
      <w:r w:rsidR="00B20BE2" w:rsidRPr="00281199">
        <w:rPr>
          <w:bCs/>
        </w:rPr>
        <w:t xml:space="preserve"> on credible opinions. </w:t>
      </w:r>
      <w:r w:rsidR="00BF757D">
        <w:rPr>
          <w:bCs/>
        </w:rPr>
        <w:t xml:space="preserve">It </w:t>
      </w:r>
      <w:r w:rsidR="00286B51">
        <w:rPr>
          <w:bCs/>
        </w:rPr>
        <w:t>rev</w:t>
      </w:r>
      <w:r w:rsidR="005B5DB9">
        <w:rPr>
          <w:bCs/>
        </w:rPr>
        <w:t>ea</w:t>
      </w:r>
      <w:r w:rsidR="00286B51">
        <w:rPr>
          <w:bCs/>
        </w:rPr>
        <w:t>ls</w:t>
      </w:r>
      <w:r w:rsidR="00BF757D">
        <w:rPr>
          <w:bCs/>
        </w:rPr>
        <w:t xml:space="preserve"> that</w:t>
      </w:r>
      <w:r w:rsidR="00F0054B">
        <w:rPr>
          <w:bCs/>
        </w:rPr>
        <w:t>,</w:t>
      </w:r>
      <w:r w:rsidR="00BF757D">
        <w:rPr>
          <w:bCs/>
        </w:rPr>
        <w:t xml:space="preserve"> while</w:t>
      </w:r>
      <w:r w:rsidR="00B20BE2" w:rsidRPr="00281199">
        <w:rPr>
          <w:bCs/>
        </w:rPr>
        <w:t xml:space="preserve"> </w:t>
      </w:r>
      <w:r w:rsidR="00BF757D">
        <w:rPr>
          <w:bCs/>
        </w:rPr>
        <w:t xml:space="preserve">Alex tends to </w:t>
      </w:r>
      <w:r w:rsidR="00B20BE2" w:rsidRPr="00281199">
        <w:rPr>
          <w:bCs/>
        </w:rPr>
        <w:t xml:space="preserve">question the legitimacy of </w:t>
      </w:r>
      <w:r w:rsidR="00842456">
        <w:rPr>
          <w:bCs/>
        </w:rPr>
        <w:t xml:space="preserve">such </w:t>
      </w:r>
      <w:r w:rsidR="00B20BE2" w:rsidRPr="00281199">
        <w:rPr>
          <w:bCs/>
        </w:rPr>
        <w:t xml:space="preserve">evidence, </w:t>
      </w:r>
      <w:r w:rsidR="00BF757D">
        <w:rPr>
          <w:bCs/>
        </w:rPr>
        <w:t xml:space="preserve">they </w:t>
      </w:r>
      <w:r w:rsidR="001D43D4">
        <w:rPr>
          <w:bCs/>
        </w:rPr>
        <w:t xml:space="preserve">are </w:t>
      </w:r>
      <w:r w:rsidR="00BF757D">
        <w:rPr>
          <w:bCs/>
        </w:rPr>
        <w:t xml:space="preserve">also </w:t>
      </w:r>
      <w:r w:rsidR="00B20BE2" w:rsidRPr="00281199">
        <w:rPr>
          <w:bCs/>
        </w:rPr>
        <w:t>concer</w:t>
      </w:r>
      <w:r w:rsidR="001D43D4">
        <w:rPr>
          <w:bCs/>
        </w:rPr>
        <w:t>ned</w:t>
      </w:r>
      <w:r w:rsidR="00B20BE2" w:rsidRPr="00281199">
        <w:rPr>
          <w:bCs/>
        </w:rPr>
        <w:t xml:space="preserve"> about being criticised for dismissing </w:t>
      </w:r>
      <w:r w:rsidR="00842456">
        <w:rPr>
          <w:bCs/>
        </w:rPr>
        <w:t>it</w:t>
      </w:r>
      <w:r w:rsidR="00B20BE2" w:rsidRPr="00281199">
        <w:rPr>
          <w:bCs/>
        </w:rPr>
        <w:t xml:space="preserve">. </w:t>
      </w:r>
      <w:r w:rsidR="001330A1">
        <w:rPr>
          <w:bCs/>
        </w:rPr>
        <w:t xml:space="preserve">In other words, when </w:t>
      </w:r>
      <w:r w:rsidR="00A25404">
        <w:rPr>
          <w:bCs/>
        </w:rPr>
        <w:t>forming</w:t>
      </w:r>
      <w:r w:rsidR="001330A1">
        <w:rPr>
          <w:bCs/>
        </w:rPr>
        <w:t xml:space="preserve"> their own </w:t>
      </w:r>
      <w:r w:rsidR="00CF0DB7">
        <w:rPr>
          <w:bCs/>
        </w:rPr>
        <w:t>opinion</w:t>
      </w:r>
      <w:r w:rsidR="001330A1">
        <w:rPr>
          <w:bCs/>
        </w:rPr>
        <w:t xml:space="preserve">, </w:t>
      </w:r>
      <w:r w:rsidR="00F0136B">
        <w:rPr>
          <w:bCs/>
        </w:rPr>
        <w:t xml:space="preserve">Alex considers whether </w:t>
      </w:r>
      <w:r w:rsidR="00AA293E">
        <w:rPr>
          <w:bCs/>
        </w:rPr>
        <w:t xml:space="preserve">it </w:t>
      </w:r>
      <w:r w:rsidR="00F0136B">
        <w:rPr>
          <w:bCs/>
        </w:rPr>
        <w:t>will be socially acceptable.</w:t>
      </w:r>
      <w:r w:rsidR="001330A1">
        <w:rPr>
          <w:bCs/>
        </w:rPr>
        <w:t xml:space="preserve"> </w:t>
      </w:r>
      <w:r w:rsidR="00D0679D">
        <w:rPr>
          <w:bCs/>
        </w:rPr>
        <w:t>Consequently</w:t>
      </w:r>
      <w:r w:rsidR="00B20BE2" w:rsidRPr="00281199">
        <w:rPr>
          <w:bCs/>
        </w:rPr>
        <w:t xml:space="preserve">, it </w:t>
      </w:r>
      <w:r w:rsidR="0069282D">
        <w:rPr>
          <w:bCs/>
        </w:rPr>
        <w:t>is un</w:t>
      </w:r>
      <w:r w:rsidR="00B20BE2" w:rsidRPr="00281199">
        <w:rPr>
          <w:bCs/>
        </w:rPr>
        <w:t xml:space="preserve">surprising </w:t>
      </w:r>
      <w:r w:rsidR="0069282D">
        <w:rPr>
          <w:bCs/>
        </w:rPr>
        <w:t xml:space="preserve">that </w:t>
      </w:r>
      <w:r w:rsidR="00B20BE2" w:rsidRPr="00281199">
        <w:rPr>
          <w:bCs/>
        </w:rPr>
        <w:t xml:space="preserve">Alex acknowledged </w:t>
      </w:r>
      <w:r w:rsidR="002A0103" w:rsidRPr="002A0103">
        <w:rPr>
          <w:bCs/>
        </w:rPr>
        <w:t>the greater influence of social media on their judg</w:t>
      </w:r>
      <w:r w:rsidR="001E02E9">
        <w:rPr>
          <w:bCs/>
        </w:rPr>
        <w:t>e</w:t>
      </w:r>
      <w:r w:rsidR="002A0103" w:rsidRPr="002A0103">
        <w:rPr>
          <w:bCs/>
        </w:rPr>
        <w:t>ment compared with other media sources.</w:t>
      </w:r>
    </w:p>
    <w:p w14:paraId="66A4DCB7" w14:textId="645AB95F" w:rsidR="00B20BE2" w:rsidRPr="00281199" w:rsidRDefault="00B20BE2" w:rsidP="008A10AB">
      <w:pPr>
        <w:spacing w:before="240"/>
        <w:jc w:val="both"/>
      </w:pPr>
      <w:r w:rsidRPr="00281199">
        <w:rPr>
          <w:bCs/>
        </w:rPr>
        <w:t xml:space="preserve">In contrast, Jo, who refuses to use social media, firmly stated that “the court of public opinion shouldn’t have the right to influence your trial.” </w:t>
      </w:r>
      <w:r w:rsidR="00746448">
        <w:rPr>
          <w:bCs/>
        </w:rPr>
        <w:t>Nevertheless</w:t>
      </w:r>
      <w:r w:rsidRPr="00281199">
        <w:rPr>
          <w:bCs/>
        </w:rPr>
        <w:t>, they did not deny its effect on the CJS:</w:t>
      </w:r>
    </w:p>
    <w:p w14:paraId="5DB43D55" w14:textId="77777777" w:rsidR="00B20BE2" w:rsidRPr="00281199" w:rsidRDefault="00B20BE2" w:rsidP="002D3A51">
      <w:pPr>
        <w:spacing w:before="240"/>
        <w:ind w:left="720" w:right="746"/>
        <w:jc w:val="both"/>
      </w:pPr>
      <w:r w:rsidRPr="00281199">
        <w:rPr>
          <w:bCs/>
        </w:rPr>
        <w:t>I don’t know if public opinion would sway it in judge [sic] giving a sentence. But had public opinion … not gotten behind Natasha’s case, I don’t think the DPP [Director of Public Prosecutions] would have challenged the verdict.</w:t>
      </w:r>
    </w:p>
    <w:p w14:paraId="66A1D273" w14:textId="6C33AEA8" w:rsidR="00B20BE2" w:rsidRPr="00281199" w:rsidRDefault="00B57F6E" w:rsidP="008A10AB">
      <w:pPr>
        <w:spacing w:before="240"/>
        <w:jc w:val="both"/>
      </w:pPr>
      <w:r>
        <w:rPr>
          <w:bCs/>
        </w:rPr>
        <w:t>Unlike Alex</w:t>
      </w:r>
      <w:r w:rsidR="00B20BE2" w:rsidRPr="00281199">
        <w:rPr>
          <w:bCs/>
        </w:rPr>
        <w:t>, throughout the interview, Jo demonstrated a strong preference for forming their own independent opinion, rarely referring to other sources</w:t>
      </w:r>
      <w:r w:rsidR="00C2123F">
        <w:rPr>
          <w:bCs/>
        </w:rPr>
        <w:t xml:space="preserve">. </w:t>
      </w:r>
      <w:r w:rsidR="0012273F" w:rsidRPr="006E7D6E">
        <w:rPr>
          <w:bCs/>
        </w:rPr>
        <w:t>S</w:t>
      </w:r>
      <w:r w:rsidR="00983375" w:rsidRPr="006E7D6E">
        <w:rPr>
          <w:bCs/>
        </w:rPr>
        <w:t>uch behaviour</w:t>
      </w:r>
      <w:r w:rsidR="0082125C" w:rsidRPr="006E7D6E">
        <w:rPr>
          <w:bCs/>
        </w:rPr>
        <w:t xml:space="preserve"> indicates </w:t>
      </w:r>
      <w:r w:rsidR="00DD0CDD">
        <w:rPr>
          <w:bCs/>
        </w:rPr>
        <w:t xml:space="preserve">a </w:t>
      </w:r>
      <w:r w:rsidR="00B909C2" w:rsidRPr="006E7D6E">
        <w:rPr>
          <w:bCs/>
        </w:rPr>
        <w:t xml:space="preserve">critical approach and </w:t>
      </w:r>
      <w:r w:rsidR="007F2462" w:rsidRPr="006E7D6E">
        <w:rPr>
          <w:bCs/>
        </w:rPr>
        <w:t xml:space="preserve">resilience </w:t>
      </w:r>
      <w:r w:rsidR="002E69CD" w:rsidRPr="006E7D6E">
        <w:rPr>
          <w:bCs/>
        </w:rPr>
        <w:t xml:space="preserve">to </w:t>
      </w:r>
      <w:r w:rsidR="00B909C2" w:rsidRPr="006E7D6E">
        <w:rPr>
          <w:bCs/>
        </w:rPr>
        <w:t xml:space="preserve">unverified </w:t>
      </w:r>
      <w:r w:rsidR="0053313A" w:rsidRPr="006E7D6E">
        <w:rPr>
          <w:bCs/>
        </w:rPr>
        <w:t>mainstream perception</w:t>
      </w:r>
      <w:r w:rsidR="005578DC">
        <w:rPr>
          <w:bCs/>
        </w:rPr>
        <w:t>s</w:t>
      </w:r>
      <w:r w:rsidR="00BF72F1">
        <w:rPr>
          <w:bCs/>
        </w:rPr>
        <w:t xml:space="preserve">. </w:t>
      </w:r>
      <w:r w:rsidR="000079B5">
        <w:rPr>
          <w:bCs/>
        </w:rPr>
        <w:t>Instead, the participant</w:t>
      </w:r>
      <w:r w:rsidR="00166728">
        <w:rPr>
          <w:bCs/>
        </w:rPr>
        <w:t xml:space="preserve"> evaluate</w:t>
      </w:r>
      <w:r w:rsidR="002D55F6">
        <w:rPr>
          <w:bCs/>
        </w:rPr>
        <w:t xml:space="preserve">s information through </w:t>
      </w:r>
      <w:r w:rsidR="005578DC">
        <w:rPr>
          <w:bCs/>
        </w:rPr>
        <w:t xml:space="preserve">a </w:t>
      </w:r>
      <w:r w:rsidR="002D55F6">
        <w:rPr>
          <w:bCs/>
        </w:rPr>
        <w:t>set of personal values</w:t>
      </w:r>
      <w:r w:rsidR="005578DC">
        <w:rPr>
          <w:bCs/>
        </w:rPr>
        <w:t>,</w:t>
      </w:r>
      <w:r w:rsidR="002D55F6">
        <w:rPr>
          <w:bCs/>
        </w:rPr>
        <w:t xml:space="preserve"> </w:t>
      </w:r>
      <w:r w:rsidR="0050210D">
        <w:rPr>
          <w:bCs/>
        </w:rPr>
        <w:t xml:space="preserve">which is </w:t>
      </w:r>
      <w:r w:rsidR="002D55F6">
        <w:rPr>
          <w:bCs/>
        </w:rPr>
        <w:t>discussed next.</w:t>
      </w:r>
      <w:r w:rsidR="00BF72F1">
        <w:rPr>
          <w:bCs/>
        </w:rPr>
        <w:t xml:space="preserve"> </w:t>
      </w:r>
    </w:p>
    <w:p w14:paraId="6913672F" w14:textId="77777777" w:rsidR="00B20BE2" w:rsidRPr="003D5639" w:rsidRDefault="00B20BE2" w:rsidP="003D5639">
      <w:pPr>
        <w:pStyle w:val="Heading3"/>
        <w:spacing w:line="276" w:lineRule="auto"/>
      </w:pPr>
      <w:r w:rsidRPr="003D5639">
        <w:t>3.3. Personal values</w:t>
      </w:r>
    </w:p>
    <w:p w14:paraId="286A5503" w14:textId="1E3DE896" w:rsidR="00B20BE2" w:rsidRPr="00281199" w:rsidRDefault="00B20BE2" w:rsidP="007222B3">
      <w:pPr>
        <w:spacing w:before="240"/>
        <w:jc w:val="both"/>
      </w:pPr>
      <w:r w:rsidRPr="00281199">
        <w:t xml:space="preserve">The last identified influential factor was the participants’ values. For Alex, </w:t>
      </w:r>
      <w:r w:rsidR="002B7517" w:rsidRPr="002B7517">
        <w:t>being correctly informed is essential for making</w:t>
      </w:r>
      <w:r w:rsidR="004C4EC9">
        <w:t xml:space="preserve"> </w:t>
      </w:r>
      <w:r w:rsidRPr="00281199">
        <w:t>judg</w:t>
      </w:r>
      <w:r w:rsidR="008710A3">
        <w:t>e</w:t>
      </w:r>
      <w:r w:rsidR="002D6B73">
        <w:t>ments</w:t>
      </w:r>
      <w:r w:rsidRPr="00281199">
        <w:t xml:space="preserve">: “[I]f people want to research, they probably should be researching facts. I mean, the actual facts of a case, the scripts in cases.” In </w:t>
      </w:r>
      <w:r w:rsidR="00F10E40">
        <w:t xml:space="preserve">this </w:t>
      </w:r>
      <w:r w:rsidRPr="00281199">
        <w:t>way, Alex counterbalances their susceptibility to public opinion with more objective sources of information.</w:t>
      </w:r>
    </w:p>
    <w:p w14:paraId="124C0CE3" w14:textId="4DBF2FA2" w:rsidR="00B20BE2" w:rsidRPr="00281199" w:rsidRDefault="00B20BE2" w:rsidP="007222B3">
      <w:pPr>
        <w:spacing w:before="240"/>
        <w:jc w:val="both"/>
      </w:pPr>
      <w:r w:rsidRPr="00281199">
        <w:t xml:space="preserve">While Alex strives to make informed decisions, Jo believes that their </w:t>
      </w:r>
      <w:r w:rsidR="0029757C">
        <w:t>pro-</w:t>
      </w:r>
      <w:r w:rsidRPr="00281199">
        <w:t>victim</w:t>
      </w:r>
      <w:r w:rsidR="0029757C">
        <w:t xml:space="preserve"> attitude</w:t>
      </w:r>
      <w:r w:rsidRPr="00281199">
        <w:t xml:space="preserve"> influences their perception of CJS fairness:</w:t>
      </w:r>
    </w:p>
    <w:p w14:paraId="0A972E2B" w14:textId="77777777" w:rsidR="00B20BE2" w:rsidRPr="00281199" w:rsidRDefault="00B20BE2" w:rsidP="007222B3">
      <w:pPr>
        <w:spacing w:before="240"/>
        <w:ind w:left="720" w:right="656"/>
        <w:jc w:val="both"/>
      </w:pPr>
      <w:r w:rsidRPr="00281199">
        <w:t>I think I am the type of person who can relate to an underdog, … to a weaker person. … I would always be the type of person who would have sympathy with the victim.</w:t>
      </w:r>
    </w:p>
    <w:p w14:paraId="64D2E8F5" w14:textId="3D1C8794" w:rsidR="00B20BE2" w:rsidRPr="00281199" w:rsidRDefault="00B20BE2" w:rsidP="007222B3">
      <w:pPr>
        <w:spacing w:before="240"/>
        <w:jc w:val="both"/>
      </w:pPr>
      <w:r w:rsidRPr="00281199">
        <w:t>Interestingly, this comment contradicts the balanced arguments and examples</w:t>
      </w:r>
      <w:r w:rsidR="00182C69">
        <w:t xml:space="preserve"> that</w:t>
      </w:r>
      <w:r w:rsidRPr="00281199">
        <w:t xml:space="preserve"> Jo used during the interview. For example:</w:t>
      </w:r>
    </w:p>
    <w:p w14:paraId="0A3FE7D5" w14:textId="77777777" w:rsidR="00B20BE2" w:rsidRPr="00281199" w:rsidRDefault="00B20BE2" w:rsidP="007222B3">
      <w:pPr>
        <w:spacing w:before="240"/>
        <w:ind w:left="720" w:right="746"/>
        <w:jc w:val="both"/>
      </w:pPr>
      <w:r w:rsidRPr="00281199">
        <w:t>[A]</w:t>
      </w:r>
      <w:proofErr w:type="spellStart"/>
      <w:r w:rsidRPr="00281199">
        <w:t>nybody</w:t>
      </w:r>
      <w:proofErr w:type="spellEnd"/>
      <w:r w:rsidRPr="00281199">
        <w:t xml:space="preserve"> can make a mistake. And that’s why you have to be careful when you talk about harsher sentences. It’s about harsher sentences in the appropriate situation.</w:t>
      </w:r>
    </w:p>
    <w:p w14:paraId="50AD8E46" w14:textId="177485C4" w:rsidR="00B20BE2" w:rsidRPr="00281199" w:rsidRDefault="000E6DDA" w:rsidP="00090FF4">
      <w:pPr>
        <w:spacing w:before="240"/>
        <w:jc w:val="both"/>
      </w:pPr>
      <w:r>
        <w:lastRenderedPageBreak/>
        <w:t xml:space="preserve">This contradiction, however, is not </w:t>
      </w:r>
      <w:r w:rsidR="00991BE8">
        <w:t>the</w:t>
      </w:r>
      <w:r>
        <w:t xml:space="preserve"> result </w:t>
      </w:r>
      <w:r w:rsidR="00131CF8">
        <w:t xml:space="preserve">of internal conflict. Instead, </w:t>
      </w:r>
      <w:r w:rsidR="00286B51">
        <w:t xml:space="preserve">it </w:t>
      </w:r>
      <w:r w:rsidR="00D033AA">
        <w:t xml:space="preserve">indicates </w:t>
      </w:r>
      <w:r w:rsidR="009864F8">
        <w:t>that th</w:t>
      </w:r>
      <w:r w:rsidR="00265734">
        <w:t>is</w:t>
      </w:r>
      <w:r w:rsidR="009864F8">
        <w:t xml:space="preserve"> participant perceives CJS fairness through the </w:t>
      </w:r>
      <w:r w:rsidR="006A5304">
        <w:t>lens</w:t>
      </w:r>
      <w:r w:rsidR="009864F8">
        <w:t xml:space="preserve"> of humanity.</w:t>
      </w:r>
      <w:r w:rsidR="00D14829" w:rsidRPr="00D14829">
        <w:t xml:space="preserve"> For them, it is important to account for the circumstances of the offending</w:t>
      </w:r>
      <w:r w:rsidR="00265734">
        <w:t xml:space="preserve"> when making </w:t>
      </w:r>
      <w:r w:rsidR="00CC7163">
        <w:t>judg</w:t>
      </w:r>
      <w:r w:rsidR="001E02E9">
        <w:t>e</w:t>
      </w:r>
      <w:r w:rsidR="00CC7163">
        <w:t>ment</w:t>
      </w:r>
      <w:r w:rsidR="008E38AB">
        <w:t>s</w:t>
      </w:r>
      <w:r w:rsidR="00D14829" w:rsidRPr="00D14829">
        <w:t xml:space="preserve">. </w:t>
      </w:r>
      <w:r w:rsidR="005E5C04">
        <w:t>Furthermore</w:t>
      </w:r>
      <w:r w:rsidR="00D14829" w:rsidRPr="00D14829">
        <w:t xml:space="preserve">, on </w:t>
      </w:r>
      <w:r w:rsidR="002C5626">
        <w:t>several</w:t>
      </w:r>
      <w:r w:rsidR="00D14829" w:rsidRPr="00D14829">
        <w:t xml:space="preserve"> occasions throughout the interview, Jo referred to the importance of being “a good character</w:t>
      </w:r>
      <w:r w:rsidR="003816AD">
        <w:t>.</w:t>
      </w:r>
      <w:r w:rsidR="00D14829" w:rsidRPr="00D14829">
        <w:t xml:space="preserve">” In other words, fair justice should </w:t>
      </w:r>
      <w:r w:rsidR="00BA7CC9">
        <w:t xml:space="preserve">consider </w:t>
      </w:r>
      <w:r w:rsidR="00D14829" w:rsidRPr="00D14829">
        <w:t xml:space="preserve">the kind of person the offender is. </w:t>
      </w:r>
      <w:r w:rsidR="003816AD">
        <w:t>This</w:t>
      </w:r>
      <w:r w:rsidR="00D14829" w:rsidRPr="00D14829">
        <w:t xml:space="preserve"> does not mean that people should receive a lenient sentence </w:t>
      </w:r>
      <w:r w:rsidR="008E0A93" w:rsidRPr="008E0A93">
        <w:t>simply because they are perceived as ‘good’ by witnesses or according to the offender’s profile</w:t>
      </w:r>
      <w:r w:rsidR="00D14829" w:rsidRPr="00D14829">
        <w:t xml:space="preserve">. Such an interpretation would </w:t>
      </w:r>
      <w:r w:rsidR="00874635">
        <w:t>not align with</w:t>
      </w:r>
      <w:r w:rsidR="00D14829" w:rsidRPr="00D14829">
        <w:t xml:space="preserve"> the participant’s sceptical opinion about </w:t>
      </w:r>
      <w:r w:rsidR="00C61CE0">
        <w:t>this kind of</w:t>
      </w:r>
      <w:r w:rsidR="00D14829" w:rsidRPr="00D14829">
        <w:t xml:space="preserve"> evidence</w:t>
      </w:r>
      <w:r w:rsidR="00EC476C">
        <w:t xml:space="preserve"> (see 3.2. Biases and opinions)</w:t>
      </w:r>
      <w:r w:rsidR="00D14829" w:rsidRPr="00D14829">
        <w:t xml:space="preserve">. Instead, for Jo, </w:t>
      </w:r>
      <w:r w:rsidR="00B34ED8">
        <w:t>an</w:t>
      </w:r>
      <w:r w:rsidR="00D14829" w:rsidRPr="00D14829">
        <w:t xml:space="preserve"> indication of good character is one’s ability to acknowledge mistakes and accept punishment. Conclusively, fair justice is the wise one: strict but understanding.</w:t>
      </w:r>
    </w:p>
    <w:p w14:paraId="2D38009A" w14:textId="15911BEF" w:rsidR="00B20BE2" w:rsidRPr="00281199" w:rsidRDefault="00B20BE2" w:rsidP="007222B3">
      <w:pPr>
        <w:spacing w:before="240"/>
        <w:jc w:val="both"/>
      </w:pPr>
      <w:r w:rsidRPr="00281199">
        <w:t>It is</w:t>
      </w:r>
      <w:r w:rsidR="00EF211B">
        <w:t xml:space="preserve"> also</w:t>
      </w:r>
      <w:r w:rsidRPr="00281199">
        <w:t xml:space="preserve"> important to note that whenever personal values </w:t>
      </w:r>
      <w:r w:rsidR="001760B5">
        <w:t>emerged</w:t>
      </w:r>
      <w:r w:rsidR="002B013B">
        <w:t xml:space="preserve"> during</w:t>
      </w:r>
      <w:r w:rsidRPr="00281199">
        <w:t xml:space="preserve"> the conversations, both Alex and Jo were very firm and </w:t>
      </w:r>
      <w:r w:rsidR="00044D6B">
        <w:t>used</w:t>
      </w:r>
      <w:r w:rsidRPr="00281199">
        <w:t xml:space="preserve"> a convincing tone </w:t>
      </w:r>
      <w:r w:rsidR="00044D6B">
        <w:t>to</w:t>
      </w:r>
      <w:r w:rsidRPr="00281199">
        <w:t xml:space="preserve"> mak</w:t>
      </w:r>
      <w:r w:rsidR="00044D6B">
        <w:t>e</w:t>
      </w:r>
      <w:r w:rsidRPr="00281199">
        <w:t xml:space="preserve"> their points. Such emotional investment suggests that this factor has the strongest and deepest impact on their decision-making. It also plays a safeguarding role for their independent thinking</w:t>
      </w:r>
      <w:r w:rsidR="0043770A">
        <w:t xml:space="preserve">: </w:t>
      </w:r>
      <w:r w:rsidR="009B530D" w:rsidRPr="009B530D">
        <w:t>personal values actively shape how information is processed and perceived, rather than passively adjusting to the opinions of others.</w:t>
      </w:r>
    </w:p>
    <w:p w14:paraId="587BE05F" w14:textId="733C1C76" w:rsidR="00B20BE2" w:rsidRPr="00281199" w:rsidRDefault="0032488A" w:rsidP="007222B3">
      <w:pPr>
        <w:spacing w:before="240"/>
        <w:jc w:val="both"/>
      </w:pPr>
      <w:r>
        <w:t>Finally</w:t>
      </w:r>
      <w:r w:rsidR="00B20BE2" w:rsidRPr="00281199">
        <w:t xml:space="preserve">, both participants recognised the complexity of justice. </w:t>
      </w:r>
      <w:r w:rsidR="0083606E">
        <w:t>A</w:t>
      </w:r>
      <w:r w:rsidR="00B20BE2" w:rsidRPr="00281199">
        <w:t>t the end of the interview, Jo concluded:</w:t>
      </w:r>
    </w:p>
    <w:p w14:paraId="235B80D8" w14:textId="77777777" w:rsidR="00B20BE2" w:rsidRPr="00281199" w:rsidRDefault="00B20BE2" w:rsidP="007222B3">
      <w:pPr>
        <w:spacing w:before="240"/>
        <w:ind w:left="720" w:right="746"/>
        <w:jc w:val="both"/>
      </w:pPr>
      <w:r w:rsidRPr="00281199">
        <w:t>It can’t be an easy position to be … a judge or … the Minister for Justice … [b]</w:t>
      </w:r>
      <w:proofErr w:type="spellStart"/>
      <w:r w:rsidRPr="00281199">
        <w:t>ecause</w:t>
      </w:r>
      <w:proofErr w:type="spellEnd"/>
      <w:r w:rsidRPr="00281199">
        <w:t xml:space="preserve"> … they have to be able to tell the difference between somebody who’s made a mistake and somebody who’s just in and out and a bad person. And sometimes that line can be a bit hard to identify.</w:t>
      </w:r>
    </w:p>
    <w:p w14:paraId="07A635FB" w14:textId="32DB41BA" w:rsidR="00F54A1F" w:rsidRPr="003D5639" w:rsidRDefault="0083606E" w:rsidP="003D5639">
      <w:pPr>
        <w:spacing w:before="240"/>
        <w:jc w:val="both"/>
      </w:pPr>
      <w:r>
        <w:t>Such</w:t>
      </w:r>
      <w:r w:rsidR="000178EF">
        <w:t xml:space="preserve"> an</w:t>
      </w:r>
      <w:r w:rsidR="00B20BE2" w:rsidRPr="00281199">
        <w:t xml:space="preserve"> acknowledgement demonstrates </w:t>
      </w:r>
      <w:r w:rsidR="00D97E88">
        <w:t>an</w:t>
      </w:r>
      <w:r w:rsidR="00B20BE2" w:rsidRPr="00281199">
        <w:t xml:space="preserve"> understanding that there is much more to CJS fairness than one’s </w:t>
      </w:r>
      <w:r w:rsidR="008D2082">
        <w:t xml:space="preserve">personal </w:t>
      </w:r>
      <w:r w:rsidR="00B20BE2" w:rsidRPr="00281199">
        <w:t xml:space="preserve">opinion. </w:t>
      </w:r>
      <w:r w:rsidR="009677D5">
        <w:t>In turn</w:t>
      </w:r>
      <w:r w:rsidR="00B20BE2" w:rsidRPr="00281199">
        <w:t xml:space="preserve">, this critical thinking </w:t>
      </w:r>
      <w:r w:rsidR="00E84022">
        <w:t xml:space="preserve">reduces the </w:t>
      </w:r>
      <w:r w:rsidR="00B20BE2" w:rsidRPr="00281199">
        <w:t>participants</w:t>
      </w:r>
      <w:r w:rsidR="00E84022">
        <w:t>’</w:t>
      </w:r>
      <w:r w:rsidR="00B20BE2" w:rsidRPr="00281199">
        <w:t xml:space="preserve"> </w:t>
      </w:r>
      <w:r w:rsidR="00884E5D" w:rsidRPr="00884E5D">
        <w:t>susceptibility</w:t>
      </w:r>
      <w:r w:rsidR="00884E5D">
        <w:t xml:space="preserve"> </w:t>
      </w:r>
      <w:r w:rsidR="00C219AB">
        <w:t>to</w:t>
      </w:r>
      <w:r w:rsidR="00B20BE2" w:rsidRPr="00281199">
        <w:t xml:space="preserve"> radicalis</w:t>
      </w:r>
      <w:r w:rsidR="005D6958">
        <w:t>ation</w:t>
      </w:r>
      <w:r w:rsidR="00B20BE2" w:rsidRPr="00281199">
        <w:t>.</w:t>
      </w:r>
    </w:p>
    <w:p w14:paraId="1A982C9E" w14:textId="599A1861" w:rsidR="000D6496" w:rsidRPr="003D5639" w:rsidRDefault="000D6496" w:rsidP="003D5639">
      <w:pPr>
        <w:pStyle w:val="Heading2"/>
      </w:pPr>
      <w:r w:rsidRPr="00281199">
        <w:t>4. Discussion</w:t>
      </w:r>
    </w:p>
    <w:p w14:paraId="39F29D35" w14:textId="4A83352F" w:rsidR="008701E5" w:rsidRPr="00281199" w:rsidRDefault="008701E5" w:rsidP="000D51BB">
      <w:pPr>
        <w:spacing w:before="240"/>
        <w:jc w:val="both"/>
      </w:pPr>
      <w:r w:rsidRPr="00281199">
        <w:t xml:space="preserve">Concerned about the public’s susceptibility to malicious manipulation, this research aimed to understand </w:t>
      </w:r>
      <w:r w:rsidR="001E1C3A">
        <w:t>individual</w:t>
      </w:r>
      <w:r w:rsidR="002829C9">
        <w:t>s’</w:t>
      </w:r>
      <w:r w:rsidR="001E1C3A">
        <w:t xml:space="preserve"> experience</w:t>
      </w:r>
      <w:r w:rsidR="002829C9">
        <w:t>s</w:t>
      </w:r>
      <w:r w:rsidR="001E1C3A">
        <w:t xml:space="preserve"> </w:t>
      </w:r>
      <w:r w:rsidR="00297284">
        <w:t>of perceiving CJS fairness</w:t>
      </w:r>
      <w:r w:rsidRPr="00281199">
        <w:t xml:space="preserve">. For this purpose, IPA was applied to data from two semi-structured interviews with Irish citizens. The results revealed three superordinate themes: the actions of the CJS, biases and opinions, and personal values. </w:t>
      </w:r>
      <w:r w:rsidR="00191E1A">
        <w:t>The influence of social media</w:t>
      </w:r>
      <w:r w:rsidR="001D02D5">
        <w:t xml:space="preserve"> on perception</w:t>
      </w:r>
      <w:r w:rsidR="00191E1A">
        <w:t xml:space="preserve"> was</w:t>
      </w:r>
      <w:r w:rsidR="002A2BAB">
        <w:t xml:space="preserve"> indeed</w:t>
      </w:r>
      <w:r w:rsidR="00191E1A">
        <w:t xml:space="preserve"> </w:t>
      </w:r>
      <w:r w:rsidR="002A2BAB">
        <w:t xml:space="preserve">mentioned </w:t>
      </w:r>
      <w:r w:rsidR="00DF732A">
        <w:t xml:space="preserve">by the participants </w:t>
      </w:r>
      <w:r w:rsidR="004124D8">
        <w:t xml:space="preserve">under the second theme. However, this factor </w:t>
      </w:r>
      <w:r w:rsidR="00DE6A04">
        <w:t xml:space="preserve">did not appear to be predominant in shaping </w:t>
      </w:r>
      <w:r w:rsidR="00C224B6">
        <w:t>opinion</w:t>
      </w:r>
      <w:r w:rsidR="00171854">
        <w:t>s</w:t>
      </w:r>
      <w:r w:rsidR="001C5635">
        <w:t xml:space="preserve"> and was </w:t>
      </w:r>
      <w:r w:rsidR="00703D56" w:rsidRPr="00703D56">
        <w:t>counterbalanced</w:t>
      </w:r>
      <w:r w:rsidR="00703D56">
        <w:t xml:space="preserve"> </w:t>
      </w:r>
      <w:r w:rsidR="0033623F">
        <w:t xml:space="preserve">by the participants’ critical </w:t>
      </w:r>
      <w:r w:rsidR="0033623F" w:rsidRPr="00732915">
        <w:rPr>
          <w:color w:val="000000" w:themeColor="text1"/>
        </w:rPr>
        <w:t>thin</w:t>
      </w:r>
      <w:r w:rsidR="00FB7A4D" w:rsidRPr="00732915">
        <w:rPr>
          <w:color w:val="000000" w:themeColor="text1"/>
        </w:rPr>
        <w:t>k</w:t>
      </w:r>
      <w:r w:rsidR="0033623F" w:rsidRPr="00732915">
        <w:rPr>
          <w:color w:val="000000" w:themeColor="text1"/>
        </w:rPr>
        <w:t>ing</w:t>
      </w:r>
      <w:r w:rsidR="00E00D39" w:rsidRPr="00732915">
        <w:rPr>
          <w:color w:val="000000" w:themeColor="text1"/>
        </w:rPr>
        <w:t>.</w:t>
      </w:r>
      <w:r w:rsidR="0033623F" w:rsidRPr="00732915">
        <w:rPr>
          <w:color w:val="000000" w:themeColor="text1"/>
        </w:rPr>
        <w:t xml:space="preserve"> </w:t>
      </w:r>
      <w:r w:rsidR="004F284B" w:rsidRPr="00732915">
        <w:rPr>
          <w:color w:val="000000" w:themeColor="text1"/>
          <w:lang w:val="en-IE"/>
        </w:rPr>
        <w:t>Moreover</w:t>
      </w:r>
      <w:r w:rsidR="0033623F" w:rsidRPr="00732915">
        <w:rPr>
          <w:color w:val="000000" w:themeColor="text1"/>
        </w:rPr>
        <w:t xml:space="preserve">, the </w:t>
      </w:r>
      <w:r w:rsidR="00177767" w:rsidRPr="00732915">
        <w:rPr>
          <w:color w:val="000000" w:themeColor="text1"/>
        </w:rPr>
        <w:t xml:space="preserve">findings </w:t>
      </w:r>
      <w:r w:rsidR="001004A5" w:rsidRPr="00732915">
        <w:rPr>
          <w:color w:val="000000" w:themeColor="text1"/>
          <w:lang w:val="en-IE"/>
        </w:rPr>
        <w:t>revealed</w:t>
      </w:r>
      <w:r w:rsidR="004F284B" w:rsidRPr="00732915">
        <w:rPr>
          <w:color w:val="000000" w:themeColor="text1"/>
        </w:rPr>
        <w:t xml:space="preserve"> that</w:t>
      </w:r>
      <w:r w:rsidRPr="00732915">
        <w:rPr>
          <w:color w:val="000000" w:themeColor="text1"/>
        </w:rPr>
        <w:t xml:space="preserve"> themes </w:t>
      </w:r>
      <w:r w:rsidRPr="00281199">
        <w:t>outlined in this study are not isolated from one another.</w:t>
      </w:r>
      <w:r w:rsidR="009D49FF">
        <w:t xml:space="preserve"> In other words, the CJS fai</w:t>
      </w:r>
      <w:r w:rsidR="00C5579D">
        <w:t>r</w:t>
      </w:r>
      <w:r w:rsidR="009D49FF">
        <w:t xml:space="preserve">ness perception is a result </w:t>
      </w:r>
      <w:r w:rsidR="00C5579D">
        <w:t xml:space="preserve">of </w:t>
      </w:r>
      <w:r w:rsidR="00DD5487">
        <w:t>synergy between different influenceable factors.</w:t>
      </w:r>
      <w:r w:rsidRPr="00281199">
        <w:t xml:space="preserve"> </w:t>
      </w:r>
      <w:r w:rsidR="00F67173">
        <w:t xml:space="preserve">To understand this </w:t>
      </w:r>
      <w:r w:rsidR="00D179B3">
        <w:t xml:space="preserve">phenomenon </w:t>
      </w:r>
      <w:r w:rsidR="00F67173">
        <w:t xml:space="preserve">better, </w:t>
      </w:r>
      <w:r w:rsidRPr="00281199">
        <w:t xml:space="preserve">it is </w:t>
      </w:r>
      <w:r w:rsidR="00F67173">
        <w:t xml:space="preserve">worth exploring </w:t>
      </w:r>
      <w:r w:rsidRPr="00281199">
        <w:t>an ‘influence framework’</w:t>
      </w:r>
      <w:r w:rsidR="00D179B3">
        <w:t xml:space="preserve"> presented with </w:t>
      </w:r>
      <w:r w:rsidRPr="00281199">
        <w:t>Figure 1.</w:t>
      </w:r>
    </w:p>
    <w:p w14:paraId="43FF8ECC" w14:textId="77777777" w:rsidR="003D5639" w:rsidRDefault="003D5639" w:rsidP="00C92EF0">
      <w:pPr>
        <w:spacing w:before="240"/>
        <w:jc w:val="both"/>
        <w:rPr>
          <w:b/>
          <w:bCs/>
        </w:rPr>
      </w:pPr>
    </w:p>
    <w:p w14:paraId="2D743157" w14:textId="5147A130" w:rsidR="00C92EF0" w:rsidRPr="00281199" w:rsidRDefault="00C92EF0" w:rsidP="00C92EF0">
      <w:pPr>
        <w:spacing w:before="240"/>
        <w:jc w:val="both"/>
        <w:rPr>
          <w:i/>
          <w:iCs/>
        </w:rPr>
      </w:pPr>
      <w:r w:rsidRPr="00281199">
        <w:rPr>
          <w:b/>
          <w:bCs/>
        </w:rPr>
        <w:lastRenderedPageBreak/>
        <w:t>Figure 1</w:t>
      </w:r>
      <w:r w:rsidRPr="00281199">
        <w:t xml:space="preserve"> </w:t>
      </w:r>
      <w:r w:rsidRPr="00281199">
        <w:rPr>
          <w:i/>
          <w:iCs/>
        </w:rPr>
        <w:t>Influence framework</w:t>
      </w:r>
    </w:p>
    <w:p w14:paraId="778110F3" w14:textId="011DF44A" w:rsidR="00C92EF0" w:rsidRPr="00281199" w:rsidRDefault="00C92EF0" w:rsidP="00C92EF0">
      <w:pPr>
        <w:jc w:val="center"/>
      </w:pPr>
      <w:r w:rsidRPr="00281199">
        <w:rPr>
          <w:rFonts w:cs="Arial"/>
          <w:noProof/>
          <w:color w:val="0E101A"/>
          <w14:ligatures w14:val="standardContextual"/>
        </w:rPr>
        <w:drawing>
          <wp:inline distT="0" distB="0" distL="0" distR="0" wp14:anchorId="507CAFA8" wp14:editId="057C0143">
            <wp:extent cx="5282254" cy="4680641"/>
            <wp:effectExtent l="0" t="0" r="1270" b="5715"/>
            <wp:docPr id="1314745838" name="Picture 3" descr="A conceptual “influence framework” diagram showing how perceptions of criminal justice system (CJS) fairness are formed. “Media” (top) represents the actions of the CJS. At the centre, “actions of the CJS” interact with two components: “biases and opinions” (left) and “personal values” (right). CJS actions generate biases and opinions, which are also used to interpret those actions. Simultaneously, actions are evaluated through personal values, which shape reactions to them. Biases and opinions and personal values mutually reinforce one another. Together, these elements influence the “perception of CJS fairness”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745838" name="Picture 3" descr="A conceptual “influence framework” diagram showing how perceptions of criminal justice system (CJS) fairness are formed. “Media” (top) represents the actions of the CJS. At the centre, “actions of the CJS” interact with two components: “biases and opinions” (left) and “personal values” (right). CJS actions generate biases and opinions, which are also used to interpret those actions. Simultaneously, actions are evaluated through personal values, which shape reactions to them. Biases and opinions and personal values mutually reinforce one another. Together, these elements influence the “perception of CJS fairness” (bottom)."/>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20107" cy="5157236"/>
                    </a:xfrm>
                    <a:prstGeom prst="rect">
                      <a:avLst/>
                    </a:prstGeom>
                  </pic:spPr>
                </pic:pic>
              </a:graphicData>
            </a:graphic>
          </wp:inline>
        </w:drawing>
      </w:r>
    </w:p>
    <w:p w14:paraId="7889333F" w14:textId="490FDB49" w:rsidR="0003187B" w:rsidRPr="00281199" w:rsidRDefault="00122214" w:rsidP="00B7665F">
      <w:pPr>
        <w:spacing w:before="240"/>
        <w:jc w:val="both"/>
      </w:pPr>
      <w:r>
        <w:t xml:space="preserve">In a nutshell, </w:t>
      </w:r>
      <w:r w:rsidR="00770F11">
        <w:t xml:space="preserve">following the principles of </w:t>
      </w:r>
      <w:r w:rsidR="00770F11" w:rsidRPr="00CA0ACD">
        <w:t>hermeneutics</w:t>
      </w:r>
      <w:r w:rsidR="00770F11" w:rsidRPr="00281199">
        <w:t xml:space="preserve"> and phenomenology</w:t>
      </w:r>
      <w:r w:rsidR="00770F11">
        <w:t xml:space="preserve">, </w:t>
      </w:r>
      <w:r w:rsidR="000E0D39">
        <w:t xml:space="preserve">one must </w:t>
      </w:r>
      <w:r w:rsidR="00C3425C">
        <w:t xml:space="preserve">experience or observe </w:t>
      </w:r>
      <w:r w:rsidR="005D40DE">
        <w:t xml:space="preserve">the </w:t>
      </w:r>
      <w:r w:rsidR="00C3425C" w:rsidRPr="00281199">
        <w:t>CJS act</w:t>
      </w:r>
      <w:r w:rsidR="00C3425C">
        <w:t>ing</w:t>
      </w:r>
      <w:r w:rsidR="00C3425C" w:rsidRPr="00281199">
        <w:t xml:space="preserve"> (un)fairly</w:t>
      </w:r>
      <w:r w:rsidR="000E0D39">
        <w:t xml:space="preserve"> </w:t>
      </w:r>
      <w:r w:rsidR="00E43F0B">
        <w:t>to</w:t>
      </w:r>
      <w:r w:rsidR="000E0D39">
        <w:t xml:space="preserve"> </w:t>
      </w:r>
      <w:r w:rsidR="005D0653">
        <w:t>make</w:t>
      </w:r>
      <w:r w:rsidR="000E0D39">
        <w:t xml:space="preserve"> </w:t>
      </w:r>
      <w:r w:rsidR="003F0DB8">
        <w:t xml:space="preserve">an </w:t>
      </w:r>
      <w:r w:rsidR="000E0D39">
        <w:t xml:space="preserve">opinion </w:t>
      </w:r>
      <w:r w:rsidR="003F0DB8">
        <w:t xml:space="preserve">of </w:t>
      </w:r>
      <w:r w:rsidR="00E66494">
        <w:t>its</w:t>
      </w:r>
      <w:r w:rsidR="000E0D39" w:rsidRPr="00281199">
        <w:t xml:space="preserve"> fairness</w:t>
      </w:r>
      <w:r w:rsidR="00E43F0B">
        <w:t xml:space="preserve"> </w:t>
      </w:r>
      <w:r w:rsidR="00183C6F" w:rsidRPr="00281199">
        <w:t>(Smith, Flowers and Larkin, 2022)</w:t>
      </w:r>
      <w:r w:rsidR="008D3B57">
        <w:t>.</w:t>
      </w:r>
      <w:r w:rsidR="008D5E35">
        <w:t xml:space="preserve"> </w:t>
      </w:r>
      <w:r w:rsidR="00B930FB" w:rsidRPr="00281199">
        <w:t>As most people do not directly encounter</w:t>
      </w:r>
      <w:r w:rsidR="007214BE">
        <w:t xml:space="preserve"> the</w:t>
      </w:r>
      <w:r w:rsidR="00B930FB" w:rsidRPr="00281199">
        <w:t xml:space="preserve"> CJS, th</w:t>
      </w:r>
      <w:r w:rsidR="00E317C2">
        <w:t xml:space="preserve">is experience </w:t>
      </w:r>
      <w:r w:rsidR="00F7775D">
        <w:t xml:space="preserve">normally is obtained </w:t>
      </w:r>
      <w:r w:rsidR="00C02443">
        <w:t>from</w:t>
      </w:r>
      <w:r w:rsidR="00B930FB" w:rsidRPr="00281199">
        <w:t xml:space="preserve"> </w:t>
      </w:r>
      <w:r w:rsidR="00044B63">
        <w:t>criminal cases represented by</w:t>
      </w:r>
      <w:r w:rsidR="007214BE">
        <w:t xml:space="preserve"> the</w:t>
      </w:r>
      <w:r w:rsidR="00044B63">
        <w:t xml:space="preserve"> </w:t>
      </w:r>
      <w:r w:rsidR="00B930FB" w:rsidRPr="00281199">
        <w:t xml:space="preserve">media (Mensah, 2024). </w:t>
      </w:r>
      <w:r w:rsidR="003F0DB8">
        <w:t>On one hand, as the media representation is selective, it</w:t>
      </w:r>
      <w:r w:rsidR="00977B8A">
        <w:t xml:space="preserve"> creates a </w:t>
      </w:r>
      <w:r w:rsidR="00977B8A" w:rsidRPr="00281199">
        <w:t>tendency</w:t>
      </w:r>
      <w:r w:rsidR="00977B8A">
        <w:t xml:space="preserve"> to perceive CJS’s actions from either positive or negative, but less often neutral, perspective </w:t>
      </w:r>
      <w:r w:rsidR="00977B8A" w:rsidRPr="00281199">
        <w:t>(Chancellor, 2019).</w:t>
      </w:r>
      <w:r w:rsidR="00977B8A">
        <w:t xml:space="preserve"> In turn, </w:t>
      </w:r>
      <w:r w:rsidR="0002405E">
        <w:t xml:space="preserve">the public interprets </w:t>
      </w:r>
      <w:r w:rsidR="00B14B10">
        <w:t>what they are shown</w:t>
      </w:r>
      <w:r w:rsidR="0002405E">
        <w:t xml:space="preserve"> through </w:t>
      </w:r>
      <w:r w:rsidR="00B004A1">
        <w:t xml:space="preserve">their </w:t>
      </w:r>
      <w:r w:rsidR="004475CD">
        <w:t xml:space="preserve">own confirmation bias </w:t>
      </w:r>
      <w:r w:rsidR="004475CD" w:rsidRPr="00281199">
        <w:t>(Hurwitz and Peffley, 2005)</w:t>
      </w:r>
      <w:r w:rsidR="004475CD">
        <w:t xml:space="preserve">. On the other hand, individuals </w:t>
      </w:r>
      <w:r w:rsidR="007903A3">
        <w:t xml:space="preserve">also </w:t>
      </w:r>
      <w:r w:rsidR="004475CD">
        <w:t>evaluate p</w:t>
      </w:r>
      <w:r w:rsidR="00F11B60">
        <w:t xml:space="preserve">resented </w:t>
      </w:r>
      <w:r w:rsidR="00E01336">
        <w:t>actions</w:t>
      </w:r>
      <w:r w:rsidR="00F11B60">
        <w:t xml:space="preserve"> </w:t>
      </w:r>
      <w:r w:rsidR="000C2F74">
        <w:t xml:space="preserve">using </w:t>
      </w:r>
      <w:r w:rsidR="007B6252">
        <w:t>their</w:t>
      </w:r>
      <w:r w:rsidR="000C2F74">
        <w:t xml:space="preserve"> personal values (</w:t>
      </w:r>
      <w:r w:rsidR="000C2F74" w:rsidRPr="009A46F2">
        <w:t>Ignelzi, 2000</w:t>
      </w:r>
      <w:r w:rsidR="000C2F74">
        <w:t xml:space="preserve">). </w:t>
      </w:r>
      <w:r w:rsidR="00E01336">
        <w:t xml:space="preserve">A result is </w:t>
      </w:r>
      <w:r w:rsidR="000C2F74">
        <w:t xml:space="preserve">a perception of fairness that further </w:t>
      </w:r>
      <w:r w:rsidR="00532C96">
        <w:t>is expressed as a reaction to the events (</w:t>
      </w:r>
      <w:r w:rsidR="00532C96" w:rsidRPr="009A46F2">
        <w:t>Ignelzi, 2000</w:t>
      </w:r>
      <w:r w:rsidR="00532C96">
        <w:t xml:space="preserve">). </w:t>
      </w:r>
      <w:r w:rsidR="00C24384">
        <w:t xml:space="preserve"> </w:t>
      </w:r>
      <w:r w:rsidR="005740C1" w:rsidRPr="009A46F2">
        <w:t xml:space="preserve">In </w:t>
      </w:r>
      <w:r w:rsidR="00AB208B" w:rsidRPr="009A46F2">
        <w:t xml:space="preserve">the current context, </w:t>
      </w:r>
      <w:r w:rsidR="00CD64AF" w:rsidRPr="009A46F2">
        <w:t xml:space="preserve">the </w:t>
      </w:r>
      <w:r w:rsidR="00BD0FDE" w:rsidRPr="009A46F2">
        <w:t xml:space="preserve">event is </w:t>
      </w:r>
      <w:r w:rsidR="003E58E6" w:rsidRPr="009A46F2">
        <w:t>a particular</w:t>
      </w:r>
      <w:r w:rsidR="00BD0FDE" w:rsidRPr="009A46F2">
        <w:t xml:space="preserve"> </w:t>
      </w:r>
      <w:r w:rsidR="00CD64AF" w:rsidRPr="009A46F2">
        <w:t>CJS’s action</w:t>
      </w:r>
      <w:r w:rsidR="003E58E6" w:rsidRPr="009A46F2">
        <w:t xml:space="preserve"> at </w:t>
      </w:r>
      <w:r w:rsidR="007C57F5">
        <w:t xml:space="preserve">a </w:t>
      </w:r>
      <w:r w:rsidR="00A22405" w:rsidRPr="009A46F2">
        <w:t>given</w:t>
      </w:r>
      <w:r w:rsidR="003E58E6" w:rsidRPr="009A46F2">
        <w:t xml:space="preserve"> point </w:t>
      </w:r>
      <w:r w:rsidR="00B94EF0">
        <w:t>in</w:t>
      </w:r>
      <w:r w:rsidR="003E58E6" w:rsidRPr="009A46F2">
        <w:t xml:space="preserve"> time</w:t>
      </w:r>
      <w:r w:rsidR="00A60D25" w:rsidRPr="009A46F2">
        <w:t>,</w:t>
      </w:r>
      <w:r w:rsidR="00FF04A3" w:rsidRPr="009A46F2">
        <w:t xml:space="preserve"> and </w:t>
      </w:r>
      <w:r w:rsidR="00A60D25" w:rsidRPr="009A46F2">
        <w:t>the individual’s</w:t>
      </w:r>
      <w:r w:rsidR="00C279DB" w:rsidRPr="009A46F2">
        <w:t xml:space="preserve"> reaction to it depends </w:t>
      </w:r>
      <w:r w:rsidR="00B87AEC" w:rsidRPr="009A46F2">
        <w:t xml:space="preserve">on how well </w:t>
      </w:r>
      <w:r w:rsidR="009A46F2" w:rsidRPr="009A46F2">
        <w:t>it</w:t>
      </w:r>
      <w:r w:rsidR="00B87AEC" w:rsidRPr="009A46F2">
        <w:t xml:space="preserve"> </w:t>
      </w:r>
      <w:r w:rsidR="00B930FB" w:rsidRPr="009A46F2">
        <w:t>align</w:t>
      </w:r>
      <w:r w:rsidR="00B87AEC" w:rsidRPr="009A46F2">
        <w:t>s</w:t>
      </w:r>
      <w:r w:rsidR="00B930FB" w:rsidRPr="009A46F2">
        <w:t xml:space="preserve"> with </w:t>
      </w:r>
      <w:r w:rsidR="009A46F2" w:rsidRPr="009A46F2">
        <w:t xml:space="preserve">their </w:t>
      </w:r>
      <w:r w:rsidR="00E01336">
        <w:t>personal</w:t>
      </w:r>
      <w:r w:rsidR="009A46F2" w:rsidRPr="009A46F2">
        <w:t xml:space="preserve"> </w:t>
      </w:r>
      <w:r w:rsidR="00B930FB" w:rsidRPr="009A46F2">
        <w:t>values.</w:t>
      </w:r>
      <w:r w:rsidR="008F0DA3">
        <w:t xml:space="preserve"> </w:t>
      </w:r>
      <w:r w:rsidR="00186C17">
        <w:t xml:space="preserve">Eventually, </w:t>
      </w:r>
      <w:r w:rsidR="00924318">
        <w:t xml:space="preserve">the system </w:t>
      </w:r>
      <w:r w:rsidR="00244731">
        <w:t xml:space="preserve">closes in a </w:t>
      </w:r>
      <w:r w:rsidR="00924318">
        <w:t xml:space="preserve">loop </w:t>
      </w:r>
      <w:r w:rsidR="00EA3117">
        <w:t>through</w:t>
      </w:r>
      <w:r w:rsidR="007B0B7A">
        <w:t xml:space="preserve"> mutual reinforcement between personal values and bias</w:t>
      </w:r>
      <w:r w:rsidR="00435172">
        <w:t>.</w:t>
      </w:r>
      <w:r w:rsidR="00186C17">
        <w:t xml:space="preserve"> </w:t>
      </w:r>
      <w:r w:rsidR="00086C32" w:rsidRPr="00DB573C">
        <w:t>W</w:t>
      </w:r>
      <w:r w:rsidR="00B930FB" w:rsidRPr="00DB573C">
        <w:t xml:space="preserve">hen there is concordance </w:t>
      </w:r>
      <w:r w:rsidR="00965E5D">
        <w:t>between them</w:t>
      </w:r>
      <w:r w:rsidR="00B930FB" w:rsidRPr="00DB573C">
        <w:t xml:space="preserve">, </w:t>
      </w:r>
      <w:r w:rsidR="00965E5D">
        <w:t xml:space="preserve">the established perception gains </w:t>
      </w:r>
      <w:r w:rsidR="00B930FB" w:rsidRPr="00DB573C">
        <w:t>‘double support’ (Elster and Sagiv, 2024).</w:t>
      </w:r>
    </w:p>
    <w:p w14:paraId="6FD56DA5" w14:textId="20D90E2A" w:rsidR="00793EE0" w:rsidRPr="00281199" w:rsidRDefault="00793EE0" w:rsidP="00793EE0">
      <w:pPr>
        <w:spacing w:before="240"/>
        <w:jc w:val="both"/>
      </w:pPr>
      <w:r w:rsidRPr="00281199">
        <w:t>Th</w:t>
      </w:r>
      <w:r w:rsidR="007903A3">
        <w:t>e</w:t>
      </w:r>
      <w:r w:rsidRPr="00281199">
        <w:t xml:space="preserve"> </w:t>
      </w:r>
      <w:r w:rsidR="00BB393E">
        <w:t xml:space="preserve">discussed </w:t>
      </w:r>
      <w:r w:rsidRPr="00281199">
        <w:t xml:space="preserve">synergy </w:t>
      </w:r>
      <w:r w:rsidR="007903A3">
        <w:t xml:space="preserve">of influential factors </w:t>
      </w:r>
      <w:r w:rsidR="007B42B5">
        <w:t>has</w:t>
      </w:r>
      <w:r w:rsidRPr="00281199">
        <w:t xml:space="preserve"> implication</w:t>
      </w:r>
      <w:r w:rsidR="00B015E7">
        <w:t>s</w:t>
      </w:r>
      <w:r w:rsidRPr="00281199">
        <w:t xml:space="preserve"> </w:t>
      </w:r>
      <w:r w:rsidR="00B015E7">
        <w:t xml:space="preserve">for </w:t>
      </w:r>
      <w:r w:rsidRPr="00281199">
        <w:t>policymaking</w:t>
      </w:r>
      <w:r w:rsidR="00BB393E">
        <w:t>.</w:t>
      </w:r>
      <w:r w:rsidRPr="00281199">
        <w:t xml:space="preserve"> For example, a greater focus on representing the ‘fair’ side of the CJS may lead to a shift in </w:t>
      </w:r>
      <w:r w:rsidR="00B015E7">
        <w:t xml:space="preserve">public </w:t>
      </w:r>
      <w:r w:rsidRPr="00281199">
        <w:t xml:space="preserve">opinion. Similarly, </w:t>
      </w:r>
      <w:r w:rsidRPr="00281199">
        <w:lastRenderedPageBreak/>
        <w:t xml:space="preserve">investment in the development of pro-just personal values </w:t>
      </w:r>
      <w:r w:rsidR="000624D8">
        <w:t>can</w:t>
      </w:r>
      <w:r w:rsidRPr="00281199">
        <w:t xml:space="preserve"> reframe what people understand </w:t>
      </w:r>
      <w:r w:rsidR="000624D8">
        <w:t>as</w:t>
      </w:r>
      <w:r w:rsidRPr="00281199">
        <w:t xml:space="preserve"> fair justice. </w:t>
      </w:r>
      <w:r w:rsidR="00DF4B3B">
        <w:t xml:space="preserve">However, </w:t>
      </w:r>
      <w:r w:rsidR="00623333">
        <w:t xml:space="preserve">this does </w:t>
      </w:r>
      <w:r w:rsidR="002D0C69" w:rsidRPr="00281199">
        <w:t>not</w:t>
      </w:r>
      <w:r w:rsidR="00817781">
        <w:t xml:space="preserve"> </w:t>
      </w:r>
      <w:r w:rsidR="002D0C69" w:rsidRPr="00281199">
        <w:t xml:space="preserve">necessarily result in a better or more accurate </w:t>
      </w:r>
      <w:r w:rsidR="008501DF">
        <w:t>perception of</w:t>
      </w:r>
      <w:r w:rsidR="002D0C69" w:rsidRPr="00281199">
        <w:t xml:space="preserve"> </w:t>
      </w:r>
      <w:r w:rsidR="0039597B">
        <w:t xml:space="preserve">the </w:t>
      </w:r>
      <w:r w:rsidR="002D0C69" w:rsidRPr="00281199">
        <w:t>CJS</w:t>
      </w:r>
      <w:r w:rsidRPr="00281199">
        <w:t>.</w:t>
      </w:r>
      <w:r w:rsidR="00817781">
        <w:t xml:space="preserve"> </w:t>
      </w:r>
      <w:r w:rsidR="00DF4B3B">
        <w:t xml:space="preserve">For </w:t>
      </w:r>
      <w:r w:rsidR="00623333">
        <w:t>instance</w:t>
      </w:r>
      <w:r w:rsidR="00DF4B3B">
        <w:t xml:space="preserve">, </w:t>
      </w:r>
      <w:r w:rsidR="000C0140">
        <w:t xml:space="preserve">if </w:t>
      </w:r>
      <w:r w:rsidR="00623333">
        <w:t>the</w:t>
      </w:r>
      <w:r w:rsidR="000C0140">
        <w:t xml:space="preserve"> way </w:t>
      </w:r>
      <w:r w:rsidR="008B1ACE">
        <w:t xml:space="preserve">the CJS </w:t>
      </w:r>
      <w:r w:rsidR="0010177F">
        <w:t>is portrayed</w:t>
      </w:r>
      <w:r w:rsidR="008B1ACE">
        <w:t xml:space="preserve"> in </w:t>
      </w:r>
      <w:r w:rsidR="000C0140">
        <w:t>the media contradict</w:t>
      </w:r>
      <w:r w:rsidR="008B1ACE">
        <w:t xml:space="preserve">s </w:t>
      </w:r>
      <w:r w:rsidR="00D325A1">
        <w:t xml:space="preserve">the ‘court of public opinion’, </w:t>
      </w:r>
      <w:r w:rsidR="00623333">
        <w:t>the media itself</w:t>
      </w:r>
      <w:r w:rsidR="00D325A1">
        <w:t xml:space="preserve"> may</w:t>
      </w:r>
      <w:r w:rsidR="00C21B5E">
        <w:t xml:space="preserve"> be perceived as biased or </w:t>
      </w:r>
      <w:r w:rsidR="00D325A1">
        <w:t xml:space="preserve">corrupted. </w:t>
      </w:r>
      <w:r w:rsidR="00586B22">
        <w:t xml:space="preserve">Likewise, </w:t>
      </w:r>
      <w:r w:rsidR="004B0225">
        <w:t>improved</w:t>
      </w:r>
      <w:r w:rsidR="00586B22">
        <w:t xml:space="preserve"> </w:t>
      </w:r>
      <w:r w:rsidR="0081118A">
        <w:t>public education</w:t>
      </w:r>
      <w:r w:rsidR="00586B22">
        <w:t xml:space="preserve"> </w:t>
      </w:r>
      <w:r w:rsidR="0081118A">
        <w:t>on</w:t>
      </w:r>
      <w:r w:rsidR="00586B22">
        <w:t xml:space="preserve"> law and human rights </w:t>
      </w:r>
      <w:r w:rsidR="0081118A">
        <w:t>does not guarant</w:t>
      </w:r>
      <w:r w:rsidR="00C75882">
        <w:t>ee</w:t>
      </w:r>
      <w:r w:rsidR="0081118A">
        <w:t xml:space="preserve"> that this knowledge will not be </w:t>
      </w:r>
      <w:r w:rsidR="00983C29">
        <w:t>filtered through</w:t>
      </w:r>
      <w:r w:rsidR="0081118A">
        <w:t xml:space="preserve"> </w:t>
      </w:r>
      <w:r w:rsidR="009E438E">
        <w:t xml:space="preserve">confirmation bias </w:t>
      </w:r>
      <w:r w:rsidR="00A0276E">
        <w:t>or</w:t>
      </w:r>
      <w:r w:rsidR="00EC3F57">
        <w:t xml:space="preserve"> that it will not</w:t>
      </w:r>
      <w:r w:rsidR="00A0276E">
        <w:t xml:space="preserve"> </w:t>
      </w:r>
      <w:r w:rsidR="009E438E">
        <w:t>intensify the impact of public opinion.</w:t>
      </w:r>
      <w:r w:rsidR="000C0140">
        <w:t xml:space="preserve"> </w:t>
      </w:r>
      <w:r w:rsidR="00D92181">
        <w:t>Therefore</w:t>
      </w:r>
      <w:r w:rsidR="005F78DD">
        <w:t>,</w:t>
      </w:r>
      <w:r w:rsidR="00D92181">
        <w:t xml:space="preserve"> polic</w:t>
      </w:r>
      <w:r w:rsidR="00E75CFE">
        <w:t>ies</w:t>
      </w:r>
      <w:r w:rsidR="00D92181">
        <w:t xml:space="preserve"> should </w:t>
      </w:r>
      <w:r w:rsidR="00D65D8D">
        <w:t xml:space="preserve">account for possible side effects and </w:t>
      </w:r>
      <w:r w:rsidR="00727C5A">
        <w:t>address</w:t>
      </w:r>
      <w:r w:rsidR="00E37279">
        <w:t xml:space="preserve"> all components</w:t>
      </w:r>
      <w:r w:rsidR="005F78DD">
        <w:t xml:space="preserve"> </w:t>
      </w:r>
      <w:r w:rsidR="00D65D8D">
        <w:t>of</w:t>
      </w:r>
      <w:r w:rsidR="009D5C0E">
        <w:t xml:space="preserve"> </w:t>
      </w:r>
      <w:r w:rsidR="00727C5A">
        <w:t xml:space="preserve">the </w:t>
      </w:r>
      <w:r w:rsidR="009D5C0E">
        <w:t xml:space="preserve">‘influence framework’ </w:t>
      </w:r>
      <w:r w:rsidR="00387EF8">
        <w:t>collectively</w:t>
      </w:r>
      <w:r w:rsidR="0039597B">
        <w:t>,</w:t>
      </w:r>
      <w:r w:rsidR="009D5C0E">
        <w:t xml:space="preserve"> </w:t>
      </w:r>
      <w:r w:rsidR="002042E2">
        <w:t xml:space="preserve">rather </w:t>
      </w:r>
      <w:r w:rsidR="009D5C0E">
        <w:t xml:space="preserve">than </w:t>
      </w:r>
      <w:r w:rsidR="00F04210">
        <w:t>regulating each factor separate</w:t>
      </w:r>
      <w:r w:rsidR="00F04210" w:rsidRPr="00F04210">
        <w:t>ly</w:t>
      </w:r>
      <w:r w:rsidRPr="00F04210">
        <w:t>.</w:t>
      </w:r>
    </w:p>
    <w:p w14:paraId="51C43942" w14:textId="0E62C587" w:rsidR="00793EE0" w:rsidRPr="00281199" w:rsidRDefault="007C3FF1" w:rsidP="00CB2346">
      <w:pPr>
        <w:spacing w:before="240"/>
        <w:jc w:val="both"/>
      </w:pPr>
      <w:r w:rsidRPr="001F4879">
        <w:rPr>
          <w:color w:val="000000" w:themeColor="text1"/>
        </w:rPr>
        <w:t xml:space="preserve">It is also worth noting the study’s limitations. </w:t>
      </w:r>
      <w:r w:rsidR="003A07F3" w:rsidRPr="001F4879">
        <w:rPr>
          <w:color w:val="000000" w:themeColor="text1"/>
        </w:rPr>
        <w:t>First, t</w:t>
      </w:r>
      <w:r w:rsidR="00D654A3" w:rsidRPr="001F4879">
        <w:rPr>
          <w:color w:val="000000" w:themeColor="text1"/>
        </w:rPr>
        <w:t xml:space="preserve">he study design </w:t>
      </w:r>
      <w:r w:rsidR="007B401E" w:rsidRPr="001F4879">
        <w:rPr>
          <w:color w:val="000000" w:themeColor="text1"/>
        </w:rPr>
        <w:t>does not allow for generalisation</w:t>
      </w:r>
      <w:r w:rsidR="00793DC4" w:rsidRPr="001F4879">
        <w:rPr>
          <w:color w:val="000000" w:themeColor="text1"/>
        </w:rPr>
        <w:t xml:space="preserve">. </w:t>
      </w:r>
      <w:r w:rsidR="005E1BEB" w:rsidRPr="001F4879">
        <w:rPr>
          <w:color w:val="000000" w:themeColor="text1"/>
        </w:rPr>
        <w:t>Second</w:t>
      </w:r>
      <w:r w:rsidR="00793DC4" w:rsidRPr="001F4879">
        <w:rPr>
          <w:color w:val="000000" w:themeColor="text1"/>
        </w:rPr>
        <w:t xml:space="preserve">, </w:t>
      </w:r>
      <w:r w:rsidRPr="001F4879">
        <w:rPr>
          <w:color w:val="000000" w:themeColor="text1"/>
        </w:rPr>
        <w:t xml:space="preserve">this research </w:t>
      </w:r>
      <w:r w:rsidR="00793DC4" w:rsidRPr="001F4879">
        <w:rPr>
          <w:color w:val="000000" w:themeColor="text1"/>
        </w:rPr>
        <w:t>explored</w:t>
      </w:r>
      <w:r w:rsidRPr="001F4879">
        <w:rPr>
          <w:color w:val="000000" w:themeColor="text1"/>
        </w:rPr>
        <w:t xml:space="preserve"> the perception of the Irish CJS</w:t>
      </w:r>
      <w:r w:rsidR="00FC001B" w:rsidRPr="001F4879">
        <w:rPr>
          <w:color w:val="000000" w:themeColor="text1"/>
        </w:rPr>
        <w:t xml:space="preserve">. </w:t>
      </w:r>
      <w:r w:rsidR="000915FE">
        <w:rPr>
          <w:color w:val="000000" w:themeColor="text1"/>
        </w:rPr>
        <w:t>Therefore, t</w:t>
      </w:r>
      <w:r w:rsidRPr="001F4879">
        <w:rPr>
          <w:color w:val="000000" w:themeColor="text1"/>
        </w:rPr>
        <w:t xml:space="preserve">he results obtained in other countries may vary </w:t>
      </w:r>
      <w:r w:rsidR="00721A79" w:rsidRPr="001F4879">
        <w:rPr>
          <w:color w:val="000000" w:themeColor="text1"/>
        </w:rPr>
        <w:t>depending</w:t>
      </w:r>
      <w:r w:rsidRPr="001F4879">
        <w:rPr>
          <w:color w:val="000000" w:themeColor="text1"/>
        </w:rPr>
        <w:t xml:space="preserve"> </w:t>
      </w:r>
      <w:r w:rsidRPr="007C3FF1">
        <w:t xml:space="preserve">on the structure, functioning, and representation of the local CJS. </w:t>
      </w:r>
      <w:r w:rsidR="00654023">
        <w:t>Similarly</w:t>
      </w:r>
      <w:r w:rsidRPr="007C3FF1">
        <w:t xml:space="preserve">, differences in cultural and political environments may </w:t>
      </w:r>
      <w:r w:rsidR="00721A79">
        <w:t>influence</w:t>
      </w:r>
      <w:r w:rsidRPr="007C3FF1">
        <w:t xml:space="preserve"> the level of susceptibility to different sources of information. </w:t>
      </w:r>
      <w:r w:rsidR="001165A2">
        <w:t>T</w:t>
      </w:r>
      <w:r w:rsidRPr="007C3FF1">
        <w:t xml:space="preserve">he </w:t>
      </w:r>
      <w:r w:rsidR="001165A2">
        <w:t xml:space="preserve">social class of the </w:t>
      </w:r>
      <w:r w:rsidRPr="007C3FF1">
        <w:t xml:space="preserve">participants </w:t>
      </w:r>
      <w:r w:rsidR="001165A2">
        <w:t>also limit</w:t>
      </w:r>
      <w:r w:rsidR="00734CC4">
        <w:t>s</w:t>
      </w:r>
      <w:r w:rsidR="001165A2">
        <w:t xml:space="preserve"> the </w:t>
      </w:r>
      <w:r w:rsidR="00B61091">
        <w:t>findings</w:t>
      </w:r>
      <w:r w:rsidR="00AF3E86">
        <w:t xml:space="preserve"> to </w:t>
      </w:r>
      <w:r w:rsidRPr="007C3FF1">
        <w:t xml:space="preserve">Irish middle-class citizens. </w:t>
      </w:r>
      <w:r w:rsidR="000E440C">
        <w:t>T</w:t>
      </w:r>
      <w:r w:rsidRPr="007C3FF1">
        <w:t>he perception</w:t>
      </w:r>
      <w:r w:rsidR="00C31A9B">
        <w:t>s</w:t>
      </w:r>
      <w:r w:rsidRPr="007C3FF1">
        <w:t xml:space="preserve"> of immigrants, as well as th</w:t>
      </w:r>
      <w:r w:rsidR="00C31A9B">
        <w:t>ose</w:t>
      </w:r>
      <w:r w:rsidRPr="007C3FF1">
        <w:t xml:space="preserve"> of residents from other social classes, may </w:t>
      </w:r>
      <w:r w:rsidR="00F60C04">
        <w:t xml:space="preserve">therefore </w:t>
      </w:r>
      <w:r w:rsidRPr="007C3FF1">
        <w:t xml:space="preserve">differ. </w:t>
      </w:r>
      <w:r w:rsidR="0003105C">
        <w:t>In summary</w:t>
      </w:r>
      <w:r w:rsidR="00A97AA4">
        <w:t xml:space="preserve">, </w:t>
      </w:r>
      <w:r w:rsidR="00315CD7">
        <w:t xml:space="preserve">as the design suggests, </w:t>
      </w:r>
      <w:r w:rsidR="00A63622">
        <w:t>this study</w:t>
      </w:r>
      <w:r w:rsidR="00315CD7">
        <w:t xml:space="preserve"> </w:t>
      </w:r>
      <w:r w:rsidR="001162A7">
        <w:t xml:space="preserve">aimed to explore CJS fairness perception in depth, without </w:t>
      </w:r>
      <w:r w:rsidR="00A63622">
        <w:t>claim</w:t>
      </w:r>
      <w:r w:rsidR="001162A7">
        <w:t xml:space="preserve">ing </w:t>
      </w:r>
      <w:r w:rsidR="00315CD7">
        <w:t>exter</w:t>
      </w:r>
      <w:r w:rsidR="001162A7">
        <w:t>nal validity</w:t>
      </w:r>
      <w:r w:rsidRPr="007C3FF1">
        <w:t xml:space="preserve">. </w:t>
      </w:r>
      <w:r w:rsidR="00F60C04">
        <w:t>I</w:t>
      </w:r>
      <w:r w:rsidRPr="007C3FF1">
        <w:t>t</w:t>
      </w:r>
      <w:r w:rsidR="00983431">
        <w:t xml:space="preserve"> </w:t>
      </w:r>
      <w:r w:rsidR="00267C13">
        <w:t xml:space="preserve">was </w:t>
      </w:r>
      <w:r w:rsidR="00983431">
        <w:t xml:space="preserve">also </w:t>
      </w:r>
      <w:r w:rsidR="00267C13">
        <w:t xml:space="preserve">conducted to </w:t>
      </w:r>
      <w:r w:rsidR="00412181">
        <w:t xml:space="preserve">encourage </w:t>
      </w:r>
      <w:r w:rsidRPr="007C3FF1">
        <w:t>further research</w:t>
      </w:r>
      <w:r w:rsidR="00C322FB">
        <w:t xml:space="preserve">, </w:t>
      </w:r>
      <w:r w:rsidR="00412181">
        <w:t>including</w:t>
      </w:r>
      <w:r w:rsidRPr="007C3FF1">
        <w:t>:</w:t>
      </w:r>
      <w:r w:rsidR="00084406" w:rsidRPr="00084406">
        <w:t xml:space="preserve"> (</w:t>
      </w:r>
      <w:r w:rsidR="009973AB">
        <w:t>a</w:t>
      </w:r>
      <w:r w:rsidR="00084406" w:rsidRPr="00084406">
        <w:t>) investigating other factors and their synergy to obtain a full picture; (</w:t>
      </w:r>
      <w:r w:rsidR="009973AB">
        <w:t>b</w:t>
      </w:r>
      <w:r w:rsidR="00084406" w:rsidRPr="00084406">
        <w:t>) examining the strength of the relationships between the identified factors; and (</w:t>
      </w:r>
      <w:r w:rsidR="009973AB">
        <w:t>c</w:t>
      </w:r>
      <w:r w:rsidR="00084406" w:rsidRPr="00084406">
        <w:t>) assessing the impact of household members on each other’s opinions, especially in contexts where domestic abuse is present.</w:t>
      </w:r>
    </w:p>
    <w:p w14:paraId="1C0E7A29" w14:textId="77777777" w:rsidR="00B45D8B" w:rsidRPr="003D5639" w:rsidRDefault="00B45D8B" w:rsidP="001F5E08">
      <w:pPr>
        <w:pStyle w:val="Heading2"/>
      </w:pPr>
      <w:r w:rsidRPr="00281199">
        <w:t>References</w:t>
      </w:r>
    </w:p>
    <w:p w14:paraId="4449859B" w14:textId="3FFA6D3A" w:rsidR="001F5B5A" w:rsidRPr="00281199" w:rsidRDefault="00CB2346" w:rsidP="00407BA2">
      <w:pPr>
        <w:spacing w:before="240"/>
        <w:ind w:left="720" w:hanging="720"/>
        <w:rPr>
          <w:rFonts w:cs="Arial"/>
        </w:rPr>
      </w:pPr>
      <w:r w:rsidRPr="00281199">
        <w:rPr>
          <w:rFonts w:cs="Arial"/>
        </w:rPr>
        <w:t xml:space="preserve">Alda, E. </w:t>
      </w:r>
      <w:r w:rsidR="00EE3108" w:rsidRPr="00EE3108">
        <w:rPr>
          <w:rFonts w:cs="Arial"/>
          <w:i/>
        </w:rPr>
        <w:t>et al.</w:t>
      </w:r>
      <w:r w:rsidRPr="00281199">
        <w:rPr>
          <w:rFonts w:cs="Arial"/>
        </w:rPr>
        <w:t xml:space="preserve"> (2020) ‘Antecedents of Perceived Fairness in Criminal Courts: A Comparative Analysis’, </w:t>
      </w:r>
      <w:r w:rsidRPr="00281199">
        <w:rPr>
          <w:rFonts w:cs="Arial"/>
          <w:i/>
          <w:iCs/>
        </w:rPr>
        <w:t>International Journal of Comparative and Applied Criminal Justice</w:t>
      </w:r>
      <w:r w:rsidRPr="00281199">
        <w:rPr>
          <w:rFonts w:cs="Arial"/>
        </w:rPr>
        <w:t>, 44(3), pp. 201-219. Available at: https://doi.org/10.1080/01924036.2019.1615521</w:t>
      </w:r>
    </w:p>
    <w:p w14:paraId="43D92699" w14:textId="4F672D81" w:rsidR="00CB2346" w:rsidRPr="00281199" w:rsidRDefault="00CB2346" w:rsidP="00CB2346">
      <w:pPr>
        <w:pStyle w:val="NormalWeb"/>
        <w:spacing w:before="240" w:beforeAutospacing="0" w:after="200" w:afterAutospacing="0" w:line="276" w:lineRule="auto"/>
        <w:ind w:left="720" w:hanging="720"/>
        <w:rPr>
          <w:rFonts w:ascii="Sylfaen" w:hAnsi="Sylfaen" w:cs="Arial"/>
          <w:sz w:val="22"/>
          <w:szCs w:val="22"/>
        </w:rPr>
      </w:pPr>
      <w:r w:rsidRPr="00281199">
        <w:rPr>
          <w:rFonts w:ascii="Sylfaen" w:hAnsi="Sylfaen" w:cs="Arial"/>
          <w:sz w:val="22"/>
          <w:szCs w:val="22"/>
        </w:rPr>
        <w:t xml:space="preserve">Augustyn, M. B. (2016) ‘Updating Perceptions of (In)Justice’, </w:t>
      </w:r>
      <w:r w:rsidRPr="00281199">
        <w:rPr>
          <w:rFonts w:ascii="Sylfaen" w:hAnsi="Sylfaen" w:cs="Arial"/>
          <w:i/>
          <w:iCs/>
          <w:sz w:val="22"/>
          <w:szCs w:val="22"/>
        </w:rPr>
        <w:t>Journal of Research in Crime and Delinquency</w:t>
      </w:r>
      <w:r w:rsidRPr="00281199">
        <w:rPr>
          <w:rFonts w:ascii="Sylfaen" w:hAnsi="Sylfaen" w:cs="Arial"/>
          <w:sz w:val="22"/>
          <w:szCs w:val="22"/>
        </w:rPr>
        <w:t>, 53(2), pp. 255-286. Available at: https://doi.org/10.1177/0022427815616991</w:t>
      </w:r>
    </w:p>
    <w:p w14:paraId="7CAAA048" w14:textId="137B0BA2" w:rsidR="00CB2346" w:rsidRPr="00281199" w:rsidRDefault="00CB2346" w:rsidP="00CB2346">
      <w:pPr>
        <w:pStyle w:val="NormalWeb"/>
        <w:spacing w:before="240" w:beforeAutospacing="0" w:after="200" w:afterAutospacing="0" w:line="276" w:lineRule="auto"/>
        <w:ind w:left="720" w:hanging="720"/>
        <w:rPr>
          <w:rFonts w:ascii="Sylfaen" w:hAnsi="Sylfaen" w:cs="Arial"/>
          <w:sz w:val="22"/>
          <w:szCs w:val="22"/>
        </w:rPr>
      </w:pPr>
      <w:r w:rsidRPr="00281199">
        <w:rPr>
          <w:rFonts w:ascii="Sylfaen" w:hAnsi="Sylfaen" w:cs="Arial"/>
          <w:sz w:val="22"/>
          <w:szCs w:val="22"/>
        </w:rPr>
        <w:t xml:space="preserve">Beier, S. </w:t>
      </w:r>
      <w:r w:rsidR="00EE3108" w:rsidRPr="00EE3108">
        <w:rPr>
          <w:rFonts w:ascii="Sylfaen" w:hAnsi="Sylfaen" w:cs="Arial"/>
          <w:i/>
          <w:sz w:val="22"/>
          <w:szCs w:val="22"/>
        </w:rPr>
        <w:t>et al.</w:t>
      </w:r>
      <w:r w:rsidRPr="00281199">
        <w:rPr>
          <w:rFonts w:ascii="Sylfaen" w:hAnsi="Sylfaen" w:cs="Arial"/>
          <w:sz w:val="22"/>
          <w:szCs w:val="22"/>
        </w:rPr>
        <w:t xml:space="preserve"> (2014) ‘Influence of judges’ </w:t>
      </w:r>
      <w:proofErr w:type="spellStart"/>
      <w:r w:rsidRPr="00281199">
        <w:rPr>
          <w:rFonts w:ascii="Sylfaen" w:hAnsi="Sylfaen" w:cs="Arial"/>
          <w:sz w:val="22"/>
          <w:szCs w:val="22"/>
        </w:rPr>
        <w:t>behaviors</w:t>
      </w:r>
      <w:proofErr w:type="spellEnd"/>
      <w:r w:rsidRPr="00281199">
        <w:rPr>
          <w:rFonts w:ascii="Sylfaen" w:hAnsi="Sylfaen" w:cs="Arial"/>
          <w:sz w:val="22"/>
          <w:szCs w:val="22"/>
        </w:rPr>
        <w:t xml:space="preserve"> on perceived procedural justice’, </w:t>
      </w:r>
      <w:r w:rsidRPr="00281199">
        <w:rPr>
          <w:rFonts w:ascii="Sylfaen" w:hAnsi="Sylfaen" w:cs="Arial"/>
          <w:i/>
          <w:iCs/>
          <w:sz w:val="22"/>
          <w:szCs w:val="22"/>
        </w:rPr>
        <w:t>Journal of Applied Social Psychology</w:t>
      </w:r>
      <w:r w:rsidRPr="00281199">
        <w:rPr>
          <w:rFonts w:ascii="Sylfaen" w:hAnsi="Sylfaen" w:cs="Arial"/>
          <w:sz w:val="22"/>
          <w:szCs w:val="22"/>
        </w:rPr>
        <w:t>, 44(1), pp. 46-59. Available at: https://doi.org/10.1111/jasp.12199</w:t>
      </w:r>
    </w:p>
    <w:p w14:paraId="11751E7F" w14:textId="15E0C922" w:rsidR="00401460" w:rsidRDefault="00401460" w:rsidP="00233406">
      <w:pPr>
        <w:pStyle w:val="NormalWeb"/>
        <w:spacing w:before="240"/>
        <w:ind w:left="720" w:hanging="720"/>
        <w:rPr>
          <w:rStyle w:val="Strong"/>
          <w:rFonts w:ascii="Sylfaen" w:eastAsiaTheme="majorEastAsia" w:hAnsi="Sylfaen" w:cs="Arial"/>
          <w:b w:val="0"/>
          <w:color w:val="0E101A"/>
          <w:sz w:val="22"/>
          <w:szCs w:val="22"/>
        </w:rPr>
      </w:pPr>
      <w:r w:rsidRPr="00401460">
        <w:rPr>
          <w:rStyle w:val="Strong"/>
          <w:rFonts w:ascii="Sylfaen" w:eastAsiaTheme="majorEastAsia" w:hAnsi="Sylfaen" w:cs="Arial"/>
          <w:b w:val="0"/>
          <w:color w:val="0E101A"/>
          <w:sz w:val="22"/>
          <w:szCs w:val="22"/>
        </w:rPr>
        <w:t>Boothe-Perry</w:t>
      </w:r>
      <w:r>
        <w:rPr>
          <w:rStyle w:val="Strong"/>
          <w:rFonts w:ascii="Sylfaen" w:eastAsiaTheme="majorEastAsia" w:hAnsi="Sylfaen" w:cs="Arial"/>
          <w:b w:val="0"/>
          <w:color w:val="0E101A"/>
          <w:sz w:val="22"/>
          <w:szCs w:val="22"/>
        </w:rPr>
        <w:t xml:space="preserve">, N. A. (2014) </w:t>
      </w:r>
      <w:r w:rsidR="00233406">
        <w:rPr>
          <w:rStyle w:val="Strong"/>
          <w:rFonts w:ascii="Sylfaen" w:eastAsiaTheme="majorEastAsia" w:hAnsi="Sylfaen" w:cs="Arial"/>
          <w:b w:val="0"/>
          <w:color w:val="0E101A"/>
          <w:sz w:val="22"/>
          <w:szCs w:val="22"/>
        </w:rPr>
        <w:t>‘</w:t>
      </w:r>
      <w:r w:rsidR="00233406" w:rsidRPr="00233406">
        <w:rPr>
          <w:rStyle w:val="Strong"/>
          <w:rFonts w:ascii="Sylfaen" w:eastAsiaTheme="majorEastAsia" w:hAnsi="Sylfaen" w:cs="Arial"/>
          <w:b w:val="0"/>
          <w:color w:val="0E101A"/>
          <w:sz w:val="22"/>
          <w:szCs w:val="22"/>
        </w:rPr>
        <w:t>Friends of justice: does social media impact the public</w:t>
      </w:r>
      <w:r w:rsidR="00233406">
        <w:rPr>
          <w:rStyle w:val="Strong"/>
          <w:rFonts w:ascii="Sylfaen" w:eastAsiaTheme="majorEastAsia" w:hAnsi="Sylfaen" w:cs="Arial"/>
          <w:b w:val="0"/>
          <w:color w:val="0E101A"/>
          <w:sz w:val="22"/>
          <w:szCs w:val="22"/>
        </w:rPr>
        <w:t xml:space="preserve"> </w:t>
      </w:r>
      <w:r w:rsidR="00233406" w:rsidRPr="00233406">
        <w:rPr>
          <w:rStyle w:val="Strong"/>
          <w:rFonts w:ascii="Sylfaen" w:eastAsiaTheme="majorEastAsia" w:hAnsi="Sylfaen" w:cs="Arial"/>
          <w:b w:val="0"/>
          <w:color w:val="0E101A"/>
          <w:sz w:val="22"/>
          <w:szCs w:val="22"/>
        </w:rPr>
        <w:t>perception of the justice system</w:t>
      </w:r>
      <w:r w:rsidR="00233406">
        <w:rPr>
          <w:rStyle w:val="Strong"/>
          <w:rFonts w:ascii="Sylfaen" w:eastAsiaTheme="majorEastAsia" w:hAnsi="Sylfaen" w:cs="Arial"/>
          <w:b w:val="0"/>
          <w:color w:val="0E101A"/>
          <w:sz w:val="22"/>
          <w:szCs w:val="22"/>
        </w:rPr>
        <w:t>’,</w:t>
      </w:r>
      <w:r w:rsidR="00233406" w:rsidRPr="00233406">
        <w:rPr>
          <w:rStyle w:val="Strong"/>
          <w:rFonts w:ascii="Sylfaen" w:eastAsiaTheme="majorEastAsia" w:hAnsi="Sylfaen" w:cs="Arial"/>
          <w:b w:val="0"/>
          <w:color w:val="0E101A"/>
          <w:sz w:val="22"/>
          <w:szCs w:val="22"/>
        </w:rPr>
        <w:t xml:space="preserve"> </w:t>
      </w:r>
      <w:r w:rsidR="00233406" w:rsidRPr="00233406">
        <w:rPr>
          <w:rStyle w:val="Strong"/>
          <w:rFonts w:ascii="Sylfaen" w:eastAsiaTheme="majorEastAsia" w:hAnsi="Sylfaen" w:cs="Arial"/>
          <w:b w:val="0"/>
          <w:i/>
          <w:iCs/>
          <w:color w:val="0E101A"/>
          <w:sz w:val="22"/>
          <w:szCs w:val="22"/>
        </w:rPr>
        <w:t>Pace Law Review</w:t>
      </w:r>
      <w:r w:rsidR="00233406" w:rsidRPr="00233406">
        <w:rPr>
          <w:rStyle w:val="Strong"/>
          <w:rFonts w:ascii="Sylfaen" w:eastAsiaTheme="majorEastAsia" w:hAnsi="Sylfaen" w:cs="Arial"/>
          <w:b w:val="0"/>
          <w:color w:val="0E101A"/>
          <w:sz w:val="22"/>
          <w:szCs w:val="22"/>
        </w:rPr>
        <w:t xml:space="preserve">, 35(1), </w:t>
      </w:r>
      <w:r w:rsidR="00233406">
        <w:rPr>
          <w:rStyle w:val="Strong"/>
          <w:rFonts w:ascii="Sylfaen" w:eastAsiaTheme="majorEastAsia" w:hAnsi="Sylfaen" w:cs="Arial"/>
          <w:b w:val="0"/>
          <w:color w:val="0E101A"/>
          <w:sz w:val="22"/>
          <w:szCs w:val="22"/>
        </w:rPr>
        <w:t xml:space="preserve">pp. </w:t>
      </w:r>
      <w:r w:rsidR="00233406" w:rsidRPr="00233406">
        <w:rPr>
          <w:rStyle w:val="Strong"/>
          <w:rFonts w:ascii="Sylfaen" w:eastAsiaTheme="majorEastAsia" w:hAnsi="Sylfaen" w:cs="Arial"/>
          <w:b w:val="0"/>
          <w:color w:val="0E101A"/>
          <w:sz w:val="22"/>
          <w:szCs w:val="22"/>
        </w:rPr>
        <w:t>72-114.</w:t>
      </w:r>
      <w:r w:rsidR="00233406">
        <w:rPr>
          <w:rStyle w:val="Strong"/>
          <w:rFonts w:ascii="Sylfaen" w:eastAsiaTheme="majorEastAsia" w:hAnsi="Sylfaen" w:cs="Arial"/>
          <w:b w:val="0"/>
          <w:color w:val="0E101A"/>
          <w:sz w:val="22"/>
          <w:szCs w:val="22"/>
        </w:rPr>
        <w:t xml:space="preserve"> Available at: </w:t>
      </w:r>
      <w:r w:rsidR="00D77343" w:rsidRPr="00D77343">
        <w:rPr>
          <w:rStyle w:val="Strong"/>
          <w:rFonts w:ascii="Sylfaen" w:eastAsiaTheme="majorEastAsia" w:hAnsi="Sylfaen" w:cs="Arial"/>
          <w:b w:val="0"/>
          <w:color w:val="0E101A"/>
          <w:sz w:val="22"/>
          <w:szCs w:val="22"/>
        </w:rPr>
        <w:t>https://heinonline.org/HOL/Page?collection=journals&amp;handle=hein.journals/pace35&amp;id=76&amp;men_tab=srchresults</w:t>
      </w:r>
      <w:r w:rsidR="00D77343">
        <w:rPr>
          <w:rStyle w:val="Strong"/>
          <w:rFonts w:ascii="Sylfaen" w:eastAsiaTheme="majorEastAsia" w:hAnsi="Sylfaen" w:cs="Arial"/>
          <w:b w:val="0"/>
          <w:color w:val="0E101A"/>
          <w:sz w:val="22"/>
          <w:szCs w:val="22"/>
        </w:rPr>
        <w:t xml:space="preserve"> </w:t>
      </w:r>
      <w:r w:rsidR="00FF2B36">
        <w:rPr>
          <w:rStyle w:val="Strong"/>
          <w:rFonts w:ascii="Sylfaen" w:eastAsiaTheme="majorEastAsia" w:hAnsi="Sylfaen" w:cs="Arial"/>
          <w:b w:val="0"/>
          <w:color w:val="0E101A"/>
          <w:sz w:val="22"/>
          <w:szCs w:val="22"/>
        </w:rPr>
        <w:t>(Accessed: 16 December 2025).</w:t>
      </w:r>
    </w:p>
    <w:p w14:paraId="38D3EF28" w14:textId="1E1E74D7" w:rsidR="00CB2346" w:rsidRPr="00281199" w:rsidRDefault="00CB2346" w:rsidP="00CB2346">
      <w:pPr>
        <w:pStyle w:val="NormalWeb"/>
        <w:spacing w:before="240" w:beforeAutospacing="0" w:after="200" w:afterAutospacing="0" w:line="276" w:lineRule="auto"/>
        <w:ind w:left="720" w:hanging="720"/>
        <w:rPr>
          <w:rFonts w:ascii="Sylfaen" w:hAnsi="Sylfaen" w:cs="Arial"/>
          <w:color w:val="0E101A"/>
          <w:sz w:val="22"/>
          <w:szCs w:val="22"/>
        </w:rPr>
      </w:pPr>
      <w:r w:rsidRPr="00281199">
        <w:rPr>
          <w:rStyle w:val="Strong"/>
          <w:rFonts w:ascii="Sylfaen" w:eastAsiaTheme="majorEastAsia" w:hAnsi="Sylfaen" w:cs="Arial"/>
          <w:b w:val="0"/>
          <w:color w:val="0E101A"/>
          <w:sz w:val="22"/>
          <w:szCs w:val="22"/>
        </w:rPr>
        <w:t>Bowling, B., Parmar, A. and Phillips, C. (2009) ‘Policing minority ethnic communities’,</w:t>
      </w:r>
      <w:r w:rsidRPr="00281199">
        <w:rPr>
          <w:rStyle w:val="Strong"/>
          <w:rFonts w:ascii="Sylfaen" w:eastAsiaTheme="majorEastAsia" w:hAnsi="Sylfaen" w:cs="Arial"/>
          <w:color w:val="0E101A"/>
          <w:sz w:val="22"/>
          <w:szCs w:val="22"/>
        </w:rPr>
        <w:t xml:space="preserve"> </w:t>
      </w:r>
      <w:r w:rsidRPr="00281199">
        <w:rPr>
          <w:rFonts w:ascii="Sylfaen" w:hAnsi="Sylfaen" w:cs="Arial"/>
          <w:color w:val="0E101A"/>
          <w:sz w:val="22"/>
          <w:szCs w:val="22"/>
        </w:rPr>
        <w:t xml:space="preserve">in T. Newburn (ed) </w:t>
      </w:r>
      <w:r w:rsidRPr="00281199">
        <w:rPr>
          <w:rStyle w:val="Emphasis"/>
          <w:rFonts w:ascii="Sylfaen" w:hAnsi="Sylfaen" w:cs="Arial"/>
          <w:color w:val="0E101A"/>
          <w:sz w:val="22"/>
          <w:szCs w:val="22"/>
        </w:rPr>
        <w:t>Handbook of policing</w:t>
      </w:r>
      <w:r w:rsidRPr="00281199">
        <w:rPr>
          <w:rFonts w:ascii="Sylfaen" w:hAnsi="Sylfaen" w:cs="Arial"/>
          <w:color w:val="0E101A"/>
          <w:sz w:val="22"/>
          <w:szCs w:val="22"/>
        </w:rPr>
        <w:t xml:space="preserve">. </w:t>
      </w:r>
      <w:r w:rsidRPr="00D7092D">
        <w:rPr>
          <w:rStyle w:val="Emphasis"/>
          <w:rFonts w:ascii="Sylfaen" w:hAnsi="Sylfaen"/>
          <w:i w:val="0"/>
          <w:iCs w:val="0"/>
          <w:color w:val="1C1C1C"/>
          <w:sz w:val="22"/>
          <w:szCs w:val="22"/>
          <w:bdr w:val="none" w:sz="0" w:space="0" w:color="auto" w:frame="1"/>
        </w:rPr>
        <w:t xml:space="preserve">2nd </w:t>
      </w:r>
      <w:proofErr w:type="spellStart"/>
      <w:r w:rsidRPr="00D7092D">
        <w:rPr>
          <w:rStyle w:val="Emphasis"/>
          <w:rFonts w:ascii="Sylfaen" w:hAnsi="Sylfaen"/>
          <w:i w:val="0"/>
          <w:iCs w:val="0"/>
          <w:color w:val="1C1C1C"/>
          <w:sz w:val="22"/>
          <w:szCs w:val="22"/>
          <w:bdr w:val="none" w:sz="0" w:space="0" w:color="auto" w:frame="1"/>
        </w:rPr>
        <w:t>edn</w:t>
      </w:r>
      <w:proofErr w:type="spellEnd"/>
      <w:r w:rsidRPr="00D7092D">
        <w:rPr>
          <w:rStyle w:val="Emphasis"/>
          <w:rFonts w:ascii="Sylfaen" w:hAnsi="Sylfaen"/>
          <w:i w:val="0"/>
          <w:iCs w:val="0"/>
          <w:color w:val="1C1C1C"/>
          <w:sz w:val="22"/>
          <w:szCs w:val="22"/>
          <w:bdr w:val="none" w:sz="0" w:space="0" w:color="auto" w:frame="1"/>
        </w:rPr>
        <w:t>.</w:t>
      </w:r>
      <w:r w:rsidRPr="00281199">
        <w:rPr>
          <w:rStyle w:val="Emphasis"/>
          <w:rFonts w:ascii="Sylfaen" w:hAnsi="Sylfaen"/>
          <w:color w:val="1C1C1C"/>
          <w:sz w:val="22"/>
          <w:szCs w:val="22"/>
          <w:bdr w:val="none" w:sz="0" w:space="0" w:color="auto" w:frame="1"/>
        </w:rPr>
        <w:t xml:space="preserve"> </w:t>
      </w:r>
      <w:r w:rsidRPr="00281199">
        <w:rPr>
          <w:rFonts w:ascii="Sylfaen" w:hAnsi="Sylfaen" w:cs="Arial"/>
          <w:color w:val="0E101A"/>
          <w:sz w:val="22"/>
          <w:szCs w:val="22"/>
        </w:rPr>
        <w:t>London: Willan, pp. 611-641.</w:t>
      </w:r>
    </w:p>
    <w:p w14:paraId="358A94E5" w14:textId="77777777" w:rsidR="00CB2346" w:rsidRPr="00281199" w:rsidRDefault="00CB2346" w:rsidP="00CB2346">
      <w:pPr>
        <w:pStyle w:val="NormalWeb"/>
        <w:spacing w:before="240" w:beforeAutospacing="0" w:after="200" w:afterAutospacing="0" w:line="276" w:lineRule="auto"/>
        <w:ind w:left="720" w:hanging="720"/>
        <w:rPr>
          <w:rFonts w:ascii="Sylfaen" w:hAnsi="Sylfaen" w:cs="Arial"/>
          <w:color w:val="0E101A"/>
          <w:sz w:val="22"/>
          <w:szCs w:val="22"/>
        </w:rPr>
      </w:pPr>
      <w:r w:rsidRPr="00281199">
        <w:rPr>
          <w:rFonts w:ascii="Sylfaen" w:hAnsi="Sylfaen" w:cs="Arial"/>
          <w:sz w:val="22"/>
          <w:szCs w:val="22"/>
        </w:rPr>
        <w:lastRenderedPageBreak/>
        <w:t xml:space="preserve">British Psychological Society. (2021) </w:t>
      </w:r>
      <w:r w:rsidRPr="00281199">
        <w:rPr>
          <w:rFonts w:ascii="Sylfaen" w:hAnsi="Sylfaen" w:cs="Arial"/>
          <w:i/>
          <w:iCs/>
          <w:sz w:val="22"/>
          <w:szCs w:val="22"/>
        </w:rPr>
        <w:t>BPS Code of Human Research Ethics</w:t>
      </w:r>
      <w:r w:rsidRPr="00281199">
        <w:rPr>
          <w:rFonts w:ascii="Sylfaen" w:hAnsi="Sylfaen" w:cs="Arial"/>
          <w:sz w:val="22"/>
          <w:szCs w:val="22"/>
        </w:rPr>
        <w:t>. Available at: https://www.bps.org.uk/guideline/bps-code-human-research-ethics (Accessed: 12 July 2025).</w:t>
      </w:r>
    </w:p>
    <w:p w14:paraId="207ED3FC" w14:textId="77777777" w:rsidR="00CB2346" w:rsidRPr="00281199" w:rsidRDefault="00CB2346" w:rsidP="00CB2346">
      <w:pPr>
        <w:pStyle w:val="NormalWeb"/>
        <w:spacing w:before="240" w:beforeAutospacing="0" w:after="200" w:afterAutospacing="0" w:line="276" w:lineRule="auto"/>
        <w:ind w:left="720" w:hanging="720"/>
        <w:rPr>
          <w:rStyle w:val="Strong"/>
          <w:rFonts w:ascii="Sylfaen" w:eastAsiaTheme="majorEastAsia" w:hAnsi="Sylfaen" w:cs="Arial"/>
          <w:b w:val="0"/>
          <w:bCs w:val="0"/>
          <w:color w:val="0E101A"/>
          <w:sz w:val="22"/>
          <w:szCs w:val="22"/>
        </w:rPr>
      </w:pPr>
      <w:r w:rsidRPr="00281199">
        <w:rPr>
          <w:rStyle w:val="Strong"/>
          <w:rFonts w:ascii="Sylfaen" w:eastAsiaTheme="majorEastAsia" w:hAnsi="Sylfaen" w:cs="Arial"/>
          <w:b w:val="0"/>
          <w:color w:val="0E101A"/>
          <w:sz w:val="22"/>
          <w:szCs w:val="22"/>
        </w:rPr>
        <w:t>British Society of Criminology. (2015) Statement of Ethics for Researchers in the Field of Criminology. Available at: https://www.britsoccrim.org/ethics/ (Accessed: 12 July 2025).</w:t>
      </w:r>
    </w:p>
    <w:p w14:paraId="3C972644" w14:textId="77777777" w:rsidR="00CB2346" w:rsidRPr="00281199" w:rsidRDefault="00CB2346" w:rsidP="00CB2346">
      <w:pPr>
        <w:pStyle w:val="NormalWeb"/>
        <w:spacing w:before="240" w:beforeAutospacing="0" w:after="200" w:afterAutospacing="0" w:line="276" w:lineRule="auto"/>
        <w:ind w:left="720" w:hanging="720"/>
        <w:rPr>
          <w:rFonts w:ascii="Sylfaen" w:hAnsi="Sylfaen" w:cs="Arial"/>
          <w:color w:val="0E101A"/>
          <w:sz w:val="22"/>
          <w:szCs w:val="22"/>
        </w:rPr>
      </w:pPr>
      <w:r w:rsidRPr="00281199">
        <w:rPr>
          <w:rFonts w:ascii="Sylfaen" w:hAnsi="Sylfaen" w:cs="Arial"/>
          <w:color w:val="0E101A"/>
          <w:sz w:val="22"/>
          <w:szCs w:val="22"/>
        </w:rPr>
        <w:t xml:space="preserve">Buckler, K., Cullen, F. T. and </w:t>
      </w:r>
      <w:proofErr w:type="spellStart"/>
      <w:r w:rsidRPr="00281199">
        <w:rPr>
          <w:rFonts w:ascii="Sylfaen" w:hAnsi="Sylfaen" w:cs="Arial"/>
          <w:color w:val="0E101A"/>
          <w:sz w:val="22"/>
          <w:szCs w:val="22"/>
        </w:rPr>
        <w:t>Unnever</w:t>
      </w:r>
      <w:proofErr w:type="spellEnd"/>
      <w:r w:rsidRPr="00281199">
        <w:rPr>
          <w:rFonts w:ascii="Sylfaen" w:hAnsi="Sylfaen" w:cs="Arial"/>
          <w:color w:val="0E101A"/>
          <w:sz w:val="22"/>
          <w:szCs w:val="22"/>
        </w:rPr>
        <w:t xml:space="preserve">, J. D. (2007) ‘Citizen assessment of local criminal courts: Does fairness matter?’, </w:t>
      </w:r>
      <w:r w:rsidRPr="00281199">
        <w:rPr>
          <w:rFonts w:ascii="Sylfaen" w:hAnsi="Sylfaen" w:cs="Arial"/>
          <w:i/>
          <w:iCs/>
          <w:color w:val="0E101A"/>
          <w:sz w:val="22"/>
          <w:szCs w:val="22"/>
        </w:rPr>
        <w:t>Journal of Criminal Justice</w:t>
      </w:r>
      <w:r w:rsidRPr="00281199">
        <w:rPr>
          <w:rFonts w:ascii="Sylfaen" w:hAnsi="Sylfaen" w:cs="Arial"/>
          <w:color w:val="0E101A"/>
          <w:sz w:val="22"/>
          <w:szCs w:val="22"/>
        </w:rPr>
        <w:t>, 35(5), pp. 524-536. Available at: https://doi.org/10.1016/j.jcrimjus.2007.07.005</w:t>
      </w:r>
    </w:p>
    <w:p w14:paraId="0DA3CFA1" w14:textId="77777777" w:rsidR="00CB2346" w:rsidRPr="00281199" w:rsidRDefault="00CB2346" w:rsidP="00CB2346">
      <w:pPr>
        <w:pStyle w:val="NormalWeb"/>
        <w:spacing w:before="240" w:beforeAutospacing="0" w:after="200" w:afterAutospacing="0" w:line="276" w:lineRule="auto"/>
        <w:ind w:left="720" w:hanging="720"/>
        <w:rPr>
          <w:rFonts w:ascii="Sylfaen" w:hAnsi="Sylfaen" w:cs="Arial"/>
          <w:color w:val="0E101A"/>
          <w:sz w:val="22"/>
          <w:szCs w:val="22"/>
        </w:rPr>
      </w:pPr>
      <w:r w:rsidRPr="00281199">
        <w:rPr>
          <w:rFonts w:ascii="Sylfaen" w:hAnsi="Sylfaen" w:cs="Arial"/>
          <w:color w:val="0E101A"/>
          <w:sz w:val="22"/>
          <w:szCs w:val="22"/>
        </w:rPr>
        <w:t xml:space="preserve">Chancellor, L. (2019) ‘Public contempt and compassion: media biases and their effect on juror impartiality and wrongful convictions’, </w:t>
      </w:r>
      <w:r w:rsidRPr="00281199">
        <w:rPr>
          <w:rFonts w:ascii="Sylfaen" w:hAnsi="Sylfaen" w:cs="Arial"/>
          <w:i/>
          <w:iCs/>
          <w:color w:val="0E101A"/>
          <w:sz w:val="22"/>
          <w:szCs w:val="22"/>
        </w:rPr>
        <w:t>Manitoba Law Journal</w:t>
      </w:r>
      <w:r w:rsidRPr="00281199">
        <w:rPr>
          <w:rFonts w:ascii="Sylfaen" w:hAnsi="Sylfaen" w:cs="Arial"/>
          <w:color w:val="0E101A"/>
          <w:sz w:val="22"/>
          <w:szCs w:val="22"/>
        </w:rPr>
        <w:t>, 42(3), pp. 427-444. Available at: https://heinonline.org/hol-cgi-bin/get_pdf.cgi?handle=hein.journals/manitob42&amp;section=40 (Accessed: 5 July 2025).</w:t>
      </w:r>
    </w:p>
    <w:p w14:paraId="60610D8E" w14:textId="4D6D1108" w:rsidR="00CB2346" w:rsidRPr="00281199" w:rsidRDefault="00CB2346" w:rsidP="00CB2346">
      <w:pPr>
        <w:pStyle w:val="NormalWeb"/>
        <w:spacing w:before="240" w:beforeAutospacing="0" w:after="200" w:afterAutospacing="0" w:line="276" w:lineRule="auto"/>
        <w:ind w:left="720" w:hanging="720"/>
        <w:rPr>
          <w:rFonts w:ascii="Sylfaen" w:hAnsi="Sylfaen" w:cs="Arial"/>
          <w:color w:val="0E101A"/>
          <w:sz w:val="22"/>
          <w:szCs w:val="22"/>
        </w:rPr>
      </w:pPr>
      <w:r w:rsidRPr="00281199">
        <w:rPr>
          <w:rFonts w:ascii="Sylfaen" w:hAnsi="Sylfaen" w:cs="Arial"/>
          <w:color w:val="0E101A"/>
          <w:sz w:val="22"/>
          <w:szCs w:val="22"/>
        </w:rPr>
        <w:t xml:space="preserve">Clark, T. </w:t>
      </w:r>
      <w:r w:rsidR="00EE3108" w:rsidRPr="00EE3108">
        <w:rPr>
          <w:rFonts w:ascii="Sylfaen" w:hAnsi="Sylfaen" w:cs="Arial"/>
          <w:i/>
          <w:color w:val="0E101A"/>
          <w:sz w:val="22"/>
          <w:szCs w:val="22"/>
        </w:rPr>
        <w:t>et al.</w:t>
      </w:r>
      <w:r w:rsidRPr="00281199">
        <w:rPr>
          <w:rFonts w:ascii="Sylfaen" w:hAnsi="Sylfaen" w:cs="Arial"/>
          <w:color w:val="0E101A"/>
          <w:sz w:val="22"/>
          <w:szCs w:val="22"/>
        </w:rPr>
        <w:t xml:space="preserve"> (2021) </w:t>
      </w:r>
      <w:r w:rsidRPr="00281199">
        <w:rPr>
          <w:rFonts w:ascii="Sylfaen" w:hAnsi="Sylfaen" w:cs="Arial"/>
          <w:i/>
          <w:iCs/>
          <w:color w:val="0E101A"/>
          <w:sz w:val="22"/>
          <w:szCs w:val="22"/>
        </w:rPr>
        <w:t>Bryman’s Social Research Methods</w:t>
      </w:r>
      <w:r w:rsidRPr="00281199">
        <w:rPr>
          <w:rFonts w:ascii="Sylfaen" w:hAnsi="Sylfaen" w:cs="Arial"/>
          <w:color w:val="0E101A"/>
          <w:sz w:val="22"/>
          <w:szCs w:val="22"/>
        </w:rPr>
        <w:t>. 6th ed. Oxford: Oxford University Press.</w:t>
      </w:r>
    </w:p>
    <w:p w14:paraId="0651F807" w14:textId="77777777" w:rsidR="00CB2346" w:rsidRPr="00281199" w:rsidRDefault="00CB2346" w:rsidP="00CB2346">
      <w:pPr>
        <w:pStyle w:val="NormalWeb"/>
        <w:spacing w:before="240" w:beforeAutospacing="0" w:after="200" w:afterAutospacing="0" w:line="276" w:lineRule="auto"/>
        <w:ind w:left="720" w:hanging="720"/>
        <w:rPr>
          <w:rFonts w:ascii="Sylfaen" w:hAnsi="Sylfaen" w:cs="Arial"/>
          <w:color w:val="0E101A"/>
          <w:sz w:val="22"/>
          <w:szCs w:val="22"/>
        </w:rPr>
      </w:pPr>
      <w:r w:rsidRPr="00281199">
        <w:rPr>
          <w:rFonts w:ascii="Sylfaen" w:hAnsi="Sylfaen" w:cs="Arial"/>
          <w:color w:val="0E101A"/>
          <w:sz w:val="22"/>
          <w:szCs w:val="22"/>
        </w:rPr>
        <w:t xml:space="preserve">Eatough, V. and Smith, J. A. (2017) ‘Interpretative Phenomenological Analysis’, in C. Willig and W. Stainton-Rogers (eds) </w:t>
      </w:r>
      <w:r w:rsidRPr="00281199">
        <w:rPr>
          <w:rFonts w:ascii="Sylfaen" w:hAnsi="Sylfaen" w:cs="Arial"/>
          <w:i/>
          <w:iCs/>
          <w:color w:val="0E101A"/>
          <w:sz w:val="22"/>
          <w:szCs w:val="22"/>
        </w:rPr>
        <w:t>The SAGE Handbook of Qualitative Research in Psychology</w:t>
      </w:r>
      <w:r w:rsidRPr="00281199">
        <w:rPr>
          <w:rFonts w:ascii="Sylfaen" w:hAnsi="Sylfaen" w:cs="Arial"/>
          <w:color w:val="0E101A"/>
          <w:sz w:val="22"/>
          <w:szCs w:val="22"/>
        </w:rPr>
        <w:t xml:space="preserve">. 2nd </w:t>
      </w:r>
      <w:proofErr w:type="spellStart"/>
      <w:r w:rsidRPr="00281199">
        <w:rPr>
          <w:rFonts w:ascii="Sylfaen" w:hAnsi="Sylfaen" w:cs="Arial"/>
          <w:color w:val="0E101A"/>
          <w:sz w:val="22"/>
          <w:szCs w:val="22"/>
        </w:rPr>
        <w:t>edn</w:t>
      </w:r>
      <w:proofErr w:type="spellEnd"/>
      <w:r w:rsidRPr="00281199">
        <w:rPr>
          <w:rFonts w:ascii="Sylfaen" w:hAnsi="Sylfaen" w:cs="Arial"/>
          <w:color w:val="0E101A"/>
          <w:sz w:val="22"/>
          <w:szCs w:val="22"/>
        </w:rPr>
        <w:t>. London: SAGE Publications, pp. 193-211. Available at: https://doi.org/10.4135/9781526405555.n12</w:t>
      </w:r>
    </w:p>
    <w:p w14:paraId="1AAB558C" w14:textId="1AC25665" w:rsidR="005B270F" w:rsidRDefault="005B270F" w:rsidP="00CB2346">
      <w:pPr>
        <w:pStyle w:val="NormalWeb"/>
        <w:spacing w:before="240" w:beforeAutospacing="0" w:after="200" w:afterAutospacing="0" w:line="276" w:lineRule="auto"/>
        <w:ind w:left="720" w:hanging="720"/>
        <w:rPr>
          <w:rFonts w:ascii="Sylfaen" w:hAnsi="Sylfaen" w:cs="Arial"/>
          <w:color w:val="0E101A"/>
          <w:sz w:val="22"/>
          <w:szCs w:val="22"/>
        </w:rPr>
      </w:pPr>
      <w:r w:rsidRPr="005B270F">
        <w:rPr>
          <w:rFonts w:ascii="Sylfaen" w:hAnsi="Sylfaen" w:cs="Arial"/>
          <w:color w:val="0E101A"/>
          <w:sz w:val="22"/>
          <w:szCs w:val="22"/>
        </w:rPr>
        <w:t xml:space="preserve">Efron, R. (1969) ‘What is Perception?’, in R. S. Cohen and M. W. </w:t>
      </w:r>
      <w:proofErr w:type="spellStart"/>
      <w:r w:rsidRPr="005B270F">
        <w:rPr>
          <w:rFonts w:ascii="Sylfaen" w:hAnsi="Sylfaen" w:cs="Arial"/>
          <w:color w:val="0E101A"/>
          <w:sz w:val="22"/>
          <w:szCs w:val="22"/>
        </w:rPr>
        <w:t>Wartofsky</w:t>
      </w:r>
      <w:proofErr w:type="spellEnd"/>
      <w:r w:rsidRPr="005B270F">
        <w:rPr>
          <w:rFonts w:ascii="Sylfaen" w:hAnsi="Sylfaen" w:cs="Arial"/>
          <w:color w:val="0E101A"/>
          <w:sz w:val="22"/>
          <w:szCs w:val="22"/>
        </w:rPr>
        <w:t xml:space="preserve"> (eds) </w:t>
      </w:r>
      <w:r w:rsidRPr="00250EC4">
        <w:rPr>
          <w:rFonts w:ascii="Sylfaen" w:hAnsi="Sylfaen" w:cs="Arial"/>
          <w:i/>
          <w:iCs/>
          <w:color w:val="0E101A"/>
          <w:sz w:val="22"/>
          <w:szCs w:val="22"/>
        </w:rPr>
        <w:t>Proceedings of the Boston Colloquium for the Philosophy of Science 1966/1968. Boston Studies in the Philosophy of Science</w:t>
      </w:r>
      <w:r w:rsidRPr="005B270F">
        <w:rPr>
          <w:rFonts w:ascii="Sylfaen" w:hAnsi="Sylfaen" w:cs="Arial"/>
          <w:color w:val="0E101A"/>
          <w:sz w:val="22"/>
          <w:szCs w:val="22"/>
        </w:rPr>
        <w:t>. 4. Dordrecht: Springer, pp. 137–173. Available at: https://doi.org/10.1007/978-94-010-3378-7_4</w:t>
      </w:r>
    </w:p>
    <w:p w14:paraId="11A4C630" w14:textId="260B4D90" w:rsidR="00CB2346" w:rsidRPr="00281199" w:rsidRDefault="00CB2346" w:rsidP="00CB2346">
      <w:pPr>
        <w:pStyle w:val="NormalWeb"/>
        <w:spacing w:before="240" w:beforeAutospacing="0" w:after="200" w:afterAutospacing="0" w:line="276" w:lineRule="auto"/>
        <w:ind w:left="720" w:hanging="720"/>
        <w:rPr>
          <w:rFonts w:ascii="Sylfaen" w:hAnsi="Sylfaen" w:cs="Arial"/>
          <w:color w:val="0E101A"/>
          <w:sz w:val="22"/>
          <w:szCs w:val="22"/>
        </w:rPr>
      </w:pPr>
      <w:r w:rsidRPr="00281199">
        <w:rPr>
          <w:rFonts w:ascii="Sylfaen" w:hAnsi="Sylfaen" w:cs="Arial"/>
          <w:color w:val="0E101A"/>
          <w:sz w:val="22"/>
          <w:szCs w:val="22"/>
        </w:rPr>
        <w:t xml:space="preserve">Elster, A. and Sagiv, L. (2024) ‘Personal Values and Cognitive Biases’, </w:t>
      </w:r>
      <w:r w:rsidRPr="00281199">
        <w:rPr>
          <w:rFonts w:ascii="Sylfaen" w:hAnsi="Sylfaen" w:cs="Arial"/>
          <w:i/>
          <w:iCs/>
          <w:color w:val="0E101A"/>
          <w:sz w:val="22"/>
          <w:szCs w:val="22"/>
        </w:rPr>
        <w:t>Journal of Personality</w:t>
      </w:r>
      <w:r w:rsidRPr="00281199">
        <w:rPr>
          <w:rFonts w:ascii="Sylfaen" w:hAnsi="Sylfaen" w:cs="Arial"/>
          <w:color w:val="0E101A"/>
          <w:sz w:val="22"/>
          <w:szCs w:val="22"/>
        </w:rPr>
        <w:t>, Early View. Available at: https://doi.org/10.1111/jopy.13001</w:t>
      </w:r>
    </w:p>
    <w:p w14:paraId="7953E844" w14:textId="039A2D4E" w:rsidR="00CB2346" w:rsidRPr="00281199" w:rsidRDefault="00CB2346" w:rsidP="00CB2346">
      <w:pPr>
        <w:pStyle w:val="NormalWeb"/>
        <w:spacing w:before="240" w:beforeAutospacing="0" w:after="200" w:afterAutospacing="0" w:line="276" w:lineRule="auto"/>
        <w:ind w:left="720" w:hanging="720"/>
        <w:rPr>
          <w:rFonts w:ascii="Sylfaen" w:hAnsi="Sylfaen" w:cs="Arial"/>
          <w:color w:val="0E101A"/>
          <w:sz w:val="22"/>
          <w:szCs w:val="22"/>
        </w:rPr>
      </w:pPr>
      <w:r w:rsidRPr="00281199">
        <w:rPr>
          <w:rFonts w:ascii="Sylfaen" w:hAnsi="Sylfaen" w:cs="Arial"/>
          <w:color w:val="0E101A"/>
          <w:sz w:val="22"/>
          <w:szCs w:val="22"/>
        </w:rPr>
        <w:t xml:space="preserve">Hester, M. </w:t>
      </w:r>
      <w:r w:rsidR="00EE3108" w:rsidRPr="00EE3108">
        <w:rPr>
          <w:rFonts w:ascii="Sylfaen" w:hAnsi="Sylfaen" w:cs="Arial"/>
          <w:i/>
          <w:color w:val="0E101A"/>
          <w:sz w:val="22"/>
          <w:szCs w:val="22"/>
        </w:rPr>
        <w:t>et al.</w:t>
      </w:r>
      <w:r w:rsidRPr="00281199">
        <w:rPr>
          <w:rFonts w:ascii="Sylfaen" w:hAnsi="Sylfaen" w:cs="Arial"/>
          <w:color w:val="0E101A"/>
          <w:sz w:val="22"/>
          <w:szCs w:val="22"/>
        </w:rPr>
        <w:t xml:space="preserve"> (2025) ‘What Is Justice? Perspectives of Victims-Survivors of Gender-Based Violence’, </w:t>
      </w:r>
      <w:r w:rsidRPr="00281199">
        <w:rPr>
          <w:rFonts w:ascii="Sylfaen" w:hAnsi="Sylfaen" w:cs="Arial"/>
          <w:i/>
          <w:iCs/>
          <w:color w:val="0E101A"/>
          <w:sz w:val="22"/>
          <w:szCs w:val="22"/>
        </w:rPr>
        <w:t>Violence Against Women</w:t>
      </w:r>
      <w:r w:rsidRPr="00281199">
        <w:rPr>
          <w:rFonts w:ascii="Sylfaen" w:hAnsi="Sylfaen" w:cs="Arial"/>
          <w:color w:val="0E101A"/>
          <w:sz w:val="22"/>
          <w:szCs w:val="22"/>
        </w:rPr>
        <w:t>, 31(2), pp. 570-597. Available at: https://doi.org/10.1177/10778012231214772</w:t>
      </w:r>
    </w:p>
    <w:p w14:paraId="230267D3" w14:textId="77777777" w:rsidR="00CB2346" w:rsidRPr="00281199" w:rsidRDefault="00CB2346" w:rsidP="00CB2346">
      <w:pPr>
        <w:pStyle w:val="NormalWeb"/>
        <w:spacing w:before="240" w:beforeAutospacing="0" w:after="200" w:afterAutospacing="0" w:line="276" w:lineRule="auto"/>
        <w:ind w:left="720" w:hanging="720"/>
        <w:rPr>
          <w:rFonts w:ascii="Sylfaen" w:hAnsi="Sylfaen" w:cs="Arial"/>
          <w:color w:val="0E101A"/>
          <w:sz w:val="22"/>
          <w:szCs w:val="22"/>
        </w:rPr>
      </w:pPr>
      <w:r w:rsidRPr="00281199">
        <w:rPr>
          <w:rFonts w:ascii="Sylfaen" w:hAnsi="Sylfaen" w:cs="Arial"/>
          <w:color w:val="0E101A"/>
          <w:sz w:val="22"/>
          <w:szCs w:val="22"/>
        </w:rPr>
        <w:t xml:space="preserve">Hurwitz, J. and Peffley, M. (2005) ‘Explaining the Great Racial Divide: Perceptions of Fairness in the U.S. Criminal Justice System’, </w:t>
      </w:r>
      <w:r w:rsidRPr="00281199">
        <w:rPr>
          <w:rFonts w:ascii="Sylfaen" w:hAnsi="Sylfaen" w:cs="Arial"/>
          <w:i/>
          <w:iCs/>
          <w:color w:val="0E101A"/>
          <w:sz w:val="22"/>
          <w:szCs w:val="22"/>
        </w:rPr>
        <w:t>The Journal of Politics</w:t>
      </w:r>
      <w:r w:rsidRPr="00281199">
        <w:rPr>
          <w:rFonts w:ascii="Sylfaen" w:hAnsi="Sylfaen" w:cs="Arial"/>
          <w:color w:val="0E101A"/>
          <w:sz w:val="22"/>
          <w:szCs w:val="22"/>
        </w:rPr>
        <w:t>, 67(3), pp. 762-783. Available at: https://doi.org/10.1111/j.1468-2508.2005.00338.x</w:t>
      </w:r>
    </w:p>
    <w:p w14:paraId="2E55CB84" w14:textId="77777777" w:rsidR="00CB2346" w:rsidRPr="00281199" w:rsidRDefault="00CB2346" w:rsidP="00CB2346">
      <w:pPr>
        <w:pStyle w:val="NormalWeb"/>
        <w:spacing w:before="240" w:beforeAutospacing="0" w:after="200" w:afterAutospacing="0" w:line="276" w:lineRule="auto"/>
        <w:ind w:left="720" w:hanging="720"/>
        <w:rPr>
          <w:rFonts w:ascii="Sylfaen" w:hAnsi="Sylfaen" w:cs="Arial"/>
          <w:color w:val="0E101A"/>
          <w:sz w:val="22"/>
          <w:szCs w:val="22"/>
        </w:rPr>
      </w:pPr>
      <w:r w:rsidRPr="00281199">
        <w:rPr>
          <w:rFonts w:ascii="Sylfaen" w:hAnsi="Sylfaen" w:cs="Arial"/>
          <w:color w:val="0E101A"/>
          <w:sz w:val="22"/>
          <w:szCs w:val="22"/>
        </w:rPr>
        <w:t xml:space="preserve">Ignelzi, M. (2000) ‘Meaning-Making in the Learning and Teaching Process’, </w:t>
      </w:r>
      <w:r w:rsidRPr="00281199">
        <w:rPr>
          <w:rFonts w:ascii="Sylfaen" w:hAnsi="Sylfaen" w:cs="Arial"/>
          <w:i/>
          <w:iCs/>
          <w:color w:val="0E101A"/>
          <w:sz w:val="22"/>
          <w:szCs w:val="22"/>
        </w:rPr>
        <w:t>New Directions for Teaching &amp; Learning</w:t>
      </w:r>
      <w:r w:rsidRPr="00281199">
        <w:rPr>
          <w:rFonts w:ascii="Sylfaen" w:hAnsi="Sylfaen" w:cs="Arial"/>
          <w:color w:val="0E101A"/>
          <w:sz w:val="22"/>
          <w:szCs w:val="22"/>
        </w:rPr>
        <w:t xml:space="preserve">, 2000(82), pp. 5-14. Available at: https://pressbooks.uiowa.edu/app/uploads/sites/215/2021/06/Ignelzi-Meaning-Making.pdf (Accessed: 5 July 2025). </w:t>
      </w:r>
    </w:p>
    <w:p w14:paraId="2D1BC332" w14:textId="7C69E352" w:rsidR="009428E5" w:rsidRPr="00281199" w:rsidRDefault="009428E5" w:rsidP="00CB2346">
      <w:pPr>
        <w:pStyle w:val="NormalWeb"/>
        <w:spacing w:before="240" w:beforeAutospacing="0" w:after="200" w:afterAutospacing="0" w:line="276" w:lineRule="auto"/>
        <w:ind w:left="720" w:hanging="720"/>
        <w:rPr>
          <w:rFonts w:ascii="Sylfaen" w:hAnsi="Sylfaen" w:cs="Arial"/>
          <w:color w:val="0E101A"/>
          <w:sz w:val="22"/>
          <w:szCs w:val="22"/>
        </w:rPr>
      </w:pPr>
      <w:r w:rsidRPr="00281199">
        <w:rPr>
          <w:rFonts w:ascii="Sylfaen" w:hAnsi="Sylfaen" w:cs="Arial"/>
          <w:color w:val="0E101A"/>
          <w:sz w:val="22"/>
          <w:szCs w:val="22"/>
        </w:rPr>
        <w:lastRenderedPageBreak/>
        <w:t>Marques, P. B. and Paulino, M. (202</w:t>
      </w:r>
      <w:r w:rsidR="003D471A" w:rsidRPr="00281199">
        <w:rPr>
          <w:rFonts w:ascii="Sylfaen" w:hAnsi="Sylfaen" w:cs="Arial"/>
          <w:color w:val="0E101A"/>
          <w:sz w:val="22"/>
          <w:szCs w:val="22"/>
        </w:rPr>
        <w:t>2</w:t>
      </w:r>
      <w:r w:rsidRPr="00281199">
        <w:rPr>
          <w:rFonts w:ascii="Sylfaen" w:hAnsi="Sylfaen" w:cs="Arial"/>
          <w:color w:val="0E101A"/>
          <w:sz w:val="22"/>
          <w:szCs w:val="22"/>
        </w:rPr>
        <w:t>) ‘Conclusion Police psychology and contemporary challenges in an uncertain world’, in</w:t>
      </w:r>
      <w:r w:rsidR="001E2264" w:rsidRPr="00281199">
        <w:rPr>
          <w:rFonts w:ascii="Sylfaen" w:hAnsi="Sylfaen" w:cs="Arial"/>
          <w:color w:val="0E101A"/>
          <w:sz w:val="22"/>
          <w:szCs w:val="22"/>
        </w:rPr>
        <w:t xml:space="preserve"> P. B. Marques (ed)</w:t>
      </w:r>
      <w:r w:rsidRPr="00281199">
        <w:rPr>
          <w:rFonts w:ascii="Sylfaen" w:hAnsi="Sylfaen" w:cs="Arial"/>
          <w:color w:val="0E101A"/>
          <w:sz w:val="22"/>
          <w:szCs w:val="22"/>
        </w:rPr>
        <w:t xml:space="preserve"> </w:t>
      </w:r>
      <w:r w:rsidR="001E2264" w:rsidRPr="00281199">
        <w:rPr>
          <w:rFonts w:ascii="Sylfaen" w:hAnsi="Sylfaen" w:cs="Arial"/>
          <w:i/>
          <w:iCs/>
          <w:color w:val="0E101A"/>
          <w:sz w:val="22"/>
          <w:szCs w:val="22"/>
        </w:rPr>
        <w:t>Police Psychology</w:t>
      </w:r>
      <w:r w:rsidR="003D471A" w:rsidRPr="00281199">
        <w:rPr>
          <w:rFonts w:ascii="Sylfaen" w:hAnsi="Sylfaen" w:cs="Arial"/>
          <w:i/>
          <w:iCs/>
          <w:color w:val="0E101A"/>
          <w:sz w:val="22"/>
          <w:szCs w:val="22"/>
        </w:rPr>
        <w:t>: New Trends in Forensic Psychological Science</w:t>
      </w:r>
      <w:r w:rsidR="008E080D" w:rsidRPr="00281199">
        <w:rPr>
          <w:rFonts w:ascii="Sylfaen" w:hAnsi="Sylfaen" w:cs="Arial"/>
          <w:color w:val="0E101A"/>
          <w:sz w:val="22"/>
          <w:szCs w:val="22"/>
        </w:rPr>
        <w:t>. Ac</w:t>
      </w:r>
      <w:r w:rsidR="003E01DC" w:rsidRPr="00281199">
        <w:rPr>
          <w:rFonts w:ascii="Sylfaen" w:hAnsi="Sylfaen" w:cs="Arial"/>
          <w:color w:val="0E101A"/>
          <w:sz w:val="22"/>
          <w:szCs w:val="22"/>
        </w:rPr>
        <w:t>ademic Press</w:t>
      </w:r>
      <w:r w:rsidR="00E43E59" w:rsidRPr="00281199">
        <w:rPr>
          <w:rFonts w:ascii="Sylfaen" w:hAnsi="Sylfaen" w:cs="Arial"/>
          <w:color w:val="0E101A"/>
          <w:sz w:val="22"/>
          <w:szCs w:val="22"/>
        </w:rPr>
        <w:t>,</w:t>
      </w:r>
      <w:r w:rsidR="003E01DC" w:rsidRPr="00281199">
        <w:rPr>
          <w:rFonts w:ascii="Sylfaen" w:hAnsi="Sylfaen" w:cs="Arial"/>
          <w:color w:val="0E101A"/>
          <w:sz w:val="22"/>
          <w:szCs w:val="22"/>
        </w:rPr>
        <w:t xml:space="preserve"> </w:t>
      </w:r>
      <w:r w:rsidRPr="00281199">
        <w:rPr>
          <w:rFonts w:ascii="Sylfaen" w:hAnsi="Sylfaen" w:cs="Arial"/>
          <w:color w:val="0E101A"/>
          <w:sz w:val="22"/>
          <w:szCs w:val="22"/>
        </w:rPr>
        <w:t>pp. 395-405. Available at: https://doi.org/10.1016/b978-0-12-816544-7.15001-6</w:t>
      </w:r>
    </w:p>
    <w:p w14:paraId="2C6D53D5" w14:textId="0DB9D48C" w:rsidR="00CB2346" w:rsidRPr="00281199" w:rsidRDefault="00CB2346" w:rsidP="00CB2346">
      <w:pPr>
        <w:pStyle w:val="NormalWeb"/>
        <w:spacing w:before="240" w:beforeAutospacing="0" w:after="200" w:afterAutospacing="0" w:line="276" w:lineRule="auto"/>
        <w:ind w:left="720" w:hanging="720"/>
        <w:rPr>
          <w:rFonts w:ascii="Sylfaen" w:hAnsi="Sylfaen" w:cs="Arial"/>
          <w:color w:val="0E101A"/>
          <w:sz w:val="22"/>
          <w:szCs w:val="22"/>
        </w:rPr>
      </w:pPr>
      <w:r w:rsidRPr="00281199">
        <w:rPr>
          <w:rFonts w:ascii="Sylfaen" w:hAnsi="Sylfaen" w:cs="Arial"/>
          <w:color w:val="0E101A"/>
          <w:sz w:val="22"/>
          <w:szCs w:val="22"/>
        </w:rPr>
        <w:t xml:space="preserve">Mensah, E. K. G. (2024) </w:t>
      </w:r>
      <w:r w:rsidRPr="00281199">
        <w:rPr>
          <w:rFonts w:ascii="Sylfaen" w:hAnsi="Sylfaen" w:cs="Arial"/>
          <w:i/>
          <w:iCs/>
          <w:color w:val="0E101A"/>
          <w:sz w:val="22"/>
          <w:szCs w:val="22"/>
        </w:rPr>
        <w:t>Assessing the Role of Media Influence and Public Perception in Legal Decision-Making</w:t>
      </w:r>
      <w:r w:rsidRPr="00281199">
        <w:rPr>
          <w:rFonts w:ascii="Sylfaen" w:hAnsi="Sylfaen" w:cs="Arial"/>
          <w:color w:val="0E101A"/>
          <w:sz w:val="22"/>
          <w:szCs w:val="22"/>
        </w:rPr>
        <w:t>. Available at: http://dx.doi.org/10.2139/ssrn.4811277</w:t>
      </w:r>
    </w:p>
    <w:p w14:paraId="31F5C8E6" w14:textId="4C0608FA" w:rsidR="00BA19E0" w:rsidRDefault="00BA19E0" w:rsidP="00CB2346">
      <w:pPr>
        <w:pStyle w:val="NormalWeb"/>
        <w:spacing w:before="240" w:beforeAutospacing="0" w:after="200" w:afterAutospacing="0" w:line="276" w:lineRule="auto"/>
        <w:ind w:left="720" w:hanging="720"/>
        <w:rPr>
          <w:rFonts w:ascii="Sylfaen" w:hAnsi="Sylfaen" w:cs="Arial"/>
          <w:color w:val="0E101A"/>
          <w:sz w:val="22"/>
          <w:szCs w:val="22"/>
        </w:rPr>
      </w:pPr>
      <w:r w:rsidRPr="008368A5">
        <w:rPr>
          <w:rFonts w:ascii="Sylfaen" w:hAnsi="Sylfaen" w:cs="Arial"/>
          <w:color w:val="0E101A"/>
          <w:sz w:val="22"/>
          <w:szCs w:val="22"/>
        </w:rPr>
        <w:t xml:space="preserve">Oluwaseyi, </w:t>
      </w:r>
      <w:r w:rsidR="00031D9B" w:rsidRPr="008368A5">
        <w:rPr>
          <w:rFonts w:ascii="Sylfaen" w:hAnsi="Sylfaen" w:cs="Arial"/>
          <w:color w:val="0E101A"/>
          <w:sz w:val="22"/>
          <w:szCs w:val="22"/>
        </w:rPr>
        <w:t>J.</w:t>
      </w:r>
      <w:r w:rsidRPr="008368A5">
        <w:rPr>
          <w:rFonts w:ascii="Sylfaen" w:hAnsi="Sylfaen" w:cs="Arial"/>
          <w:color w:val="0E101A"/>
          <w:sz w:val="22"/>
          <w:szCs w:val="22"/>
        </w:rPr>
        <w:t xml:space="preserve"> </w:t>
      </w:r>
      <w:r w:rsidR="00EE3108" w:rsidRPr="00EE3108">
        <w:rPr>
          <w:rFonts w:ascii="Sylfaen" w:hAnsi="Sylfaen" w:cs="Arial"/>
          <w:i/>
          <w:iCs/>
          <w:color w:val="0E101A"/>
          <w:sz w:val="22"/>
          <w:szCs w:val="22"/>
        </w:rPr>
        <w:t>et al.</w:t>
      </w:r>
      <w:r w:rsidR="00031D9B" w:rsidRPr="008368A5">
        <w:rPr>
          <w:rFonts w:ascii="Sylfaen" w:hAnsi="Sylfaen" w:cs="Arial"/>
          <w:color w:val="0E101A"/>
          <w:sz w:val="22"/>
          <w:szCs w:val="22"/>
        </w:rPr>
        <w:t xml:space="preserve"> (2025) </w:t>
      </w:r>
      <w:r w:rsidR="00585A59" w:rsidRPr="00585A59">
        <w:rPr>
          <w:rFonts w:ascii="Sylfaen" w:hAnsi="Sylfaen" w:cs="Arial"/>
          <w:i/>
          <w:iCs/>
          <w:color w:val="0E101A"/>
          <w:sz w:val="22"/>
          <w:szCs w:val="22"/>
        </w:rPr>
        <w:t>Social Justice Movements: The Role of Movements Like Black Lives Matter and MeToo in Shaping Politics and Society</w:t>
      </w:r>
      <w:r w:rsidR="00585A59">
        <w:rPr>
          <w:rFonts w:ascii="Sylfaen" w:hAnsi="Sylfaen" w:cs="Arial"/>
          <w:color w:val="0E101A"/>
          <w:sz w:val="22"/>
          <w:szCs w:val="22"/>
        </w:rPr>
        <w:t>.</w:t>
      </w:r>
      <w:r w:rsidR="00585A59" w:rsidRPr="00585A59">
        <w:rPr>
          <w:rFonts w:ascii="Sylfaen" w:hAnsi="Sylfaen" w:cs="Arial"/>
          <w:color w:val="0E101A"/>
          <w:sz w:val="22"/>
          <w:szCs w:val="22"/>
        </w:rPr>
        <w:t xml:space="preserve"> </w:t>
      </w:r>
      <w:r w:rsidR="008368A5" w:rsidRPr="008368A5">
        <w:rPr>
          <w:rFonts w:ascii="Sylfaen" w:hAnsi="Sylfaen" w:cs="Arial"/>
          <w:color w:val="0E101A"/>
          <w:sz w:val="22"/>
          <w:szCs w:val="22"/>
        </w:rPr>
        <w:t>Available at: https://www.researchgate.net/publication/391279166</w:t>
      </w:r>
      <w:r w:rsidR="008368A5">
        <w:rPr>
          <w:rFonts w:ascii="Sylfaen" w:hAnsi="Sylfaen" w:cs="Arial"/>
          <w:color w:val="0E101A"/>
          <w:sz w:val="22"/>
          <w:szCs w:val="22"/>
        </w:rPr>
        <w:t xml:space="preserve"> (Accessed: </w:t>
      </w:r>
      <w:r w:rsidR="00585A59">
        <w:rPr>
          <w:rFonts w:ascii="Sylfaen" w:hAnsi="Sylfaen" w:cs="Arial"/>
          <w:color w:val="0E101A"/>
          <w:sz w:val="22"/>
          <w:szCs w:val="22"/>
        </w:rPr>
        <w:t>16 December 2025).</w:t>
      </w:r>
    </w:p>
    <w:p w14:paraId="7935D3CA" w14:textId="0FA40C12" w:rsidR="00CB2346" w:rsidRPr="00281199" w:rsidRDefault="00CB2346" w:rsidP="00CB2346">
      <w:pPr>
        <w:pStyle w:val="NormalWeb"/>
        <w:spacing w:before="240" w:beforeAutospacing="0" w:after="200" w:afterAutospacing="0" w:line="276" w:lineRule="auto"/>
        <w:ind w:left="720" w:hanging="720"/>
        <w:rPr>
          <w:rFonts w:ascii="Sylfaen" w:hAnsi="Sylfaen" w:cs="Arial"/>
          <w:color w:val="0E101A"/>
          <w:sz w:val="22"/>
          <w:szCs w:val="22"/>
        </w:rPr>
      </w:pPr>
      <w:r w:rsidRPr="00281199">
        <w:rPr>
          <w:rFonts w:ascii="Sylfaen" w:hAnsi="Sylfaen" w:cs="Arial"/>
          <w:color w:val="0E101A"/>
          <w:sz w:val="22"/>
          <w:szCs w:val="22"/>
        </w:rPr>
        <w:t xml:space="preserve">Pickett, J. T. </w:t>
      </w:r>
      <w:r w:rsidR="00EE3108" w:rsidRPr="00EE3108">
        <w:rPr>
          <w:rFonts w:ascii="Sylfaen" w:hAnsi="Sylfaen" w:cs="Arial"/>
          <w:i/>
          <w:color w:val="0E101A"/>
          <w:sz w:val="22"/>
          <w:szCs w:val="22"/>
        </w:rPr>
        <w:t>et al.</w:t>
      </w:r>
      <w:r w:rsidRPr="00281199">
        <w:rPr>
          <w:rFonts w:ascii="Sylfaen" w:hAnsi="Sylfaen" w:cs="Arial"/>
          <w:color w:val="0E101A"/>
          <w:sz w:val="22"/>
          <w:szCs w:val="22"/>
        </w:rPr>
        <w:t xml:space="preserve"> (2015) ‘Public (Mis)Understanding of Crime Policy: The Effects of Criminal Justice Experience and Media Reliance’, </w:t>
      </w:r>
      <w:r w:rsidRPr="00281199">
        <w:rPr>
          <w:rFonts w:ascii="Sylfaen" w:hAnsi="Sylfaen" w:cs="Arial"/>
          <w:i/>
          <w:iCs/>
          <w:color w:val="0E101A"/>
          <w:sz w:val="22"/>
          <w:szCs w:val="22"/>
        </w:rPr>
        <w:t>Criminal Justice Policy Review</w:t>
      </w:r>
      <w:r w:rsidRPr="00281199">
        <w:rPr>
          <w:rFonts w:ascii="Sylfaen" w:hAnsi="Sylfaen" w:cs="Arial"/>
          <w:color w:val="0E101A"/>
          <w:sz w:val="22"/>
          <w:szCs w:val="22"/>
        </w:rPr>
        <w:t>, 26(5), pp. 500-522. Available at: https://doi.org/10.1177/0887403414526228</w:t>
      </w:r>
    </w:p>
    <w:p w14:paraId="210ADC2E" w14:textId="77777777" w:rsidR="00CB2346" w:rsidRPr="00281199" w:rsidRDefault="00CB2346" w:rsidP="00CB2346">
      <w:pPr>
        <w:pStyle w:val="NormalWeb"/>
        <w:spacing w:before="240" w:beforeAutospacing="0" w:after="200" w:afterAutospacing="0" w:line="276" w:lineRule="auto"/>
        <w:ind w:left="720" w:hanging="720"/>
        <w:rPr>
          <w:rFonts w:ascii="Sylfaen" w:hAnsi="Sylfaen" w:cs="Arial"/>
          <w:color w:val="0E101A"/>
          <w:sz w:val="22"/>
          <w:szCs w:val="22"/>
        </w:rPr>
      </w:pPr>
      <w:r w:rsidRPr="00281199">
        <w:rPr>
          <w:rFonts w:ascii="Sylfaen" w:hAnsi="Sylfaen" w:cs="Arial"/>
          <w:color w:val="0E101A"/>
          <w:sz w:val="22"/>
          <w:szCs w:val="22"/>
        </w:rPr>
        <w:t xml:space="preserve">Pietkiewicz, I. and Smith, J. A. (2014) ‘A Practical Guide to Using Interpretative Phenomenological Analysis in Qualitative Research Psychology’, </w:t>
      </w:r>
      <w:r w:rsidRPr="00281199">
        <w:rPr>
          <w:rFonts w:ascii="Sylfaen" w:hAnsi="Sylfaen" w:cs="Arial"/>
          <w:i/>
          <w:iCs/>
          <w:color w:val="0E101A"/>
          <w:sz w:val="22"/>
          <w:szCs w:val="22"/>
        </w:rPr>
        <w:t>Psychological Journal</w:t>
      </w:r>
      <w:r w:rsidRPr="00281199">
        <w:rPr>
          <w:rFonts w:ascii="Sylfaen" w:hAnsi="Sylfaen" w:cs="Arial"/>
          <w:color w:val="0E101A"/>
          <w:sz w:val="22"/>
          <w:szCs w:val="22"/>
        </w:rPr>
        <w:t>, 20(1), pp. 7-14. Available at: https://doi.org/10.14691/CPPJ.20.1.7</w:t>
      </w:r>
    </w:p>
    <w:p w14:paraId="38AD847D" w14:textId="77777777" w:rsidR="00CB2346" w:rsidRPr="00281199" w:rsidRDefault="00CB2346" w:rsidP="00CB2346">
      <w:pPr>
        <w:pStyle w:val="NormalWeb"/>
        <w:spacing w:before="240" w:beforeAutospacing="0" w:after="200" w:afterAutospacing="0" w:line="276" w:lineRule="auto"/>
        <w:ind w:left="720" w:hanging="720"/>
        <w:rPr>
          <w:rFonts w:ascii="Sylfaen" w:hAnsi="Sylfaen" w:cs="Arial"/>
          <w:color w:val="0E101A"/>
          <w:sz w:val="22"/>
          <w:szCs w:val="22"/>
        </w:rPr>
      </w:pPr>
      <w:r w:rsidRPr="00281199">
        <w:rPr>
          <w:rFonts w:ascii="Sylfaen" w:hAnsi="Sylfaen" w:cs="Arial"/>
          <w:color w:val="0E101A"/>
          <w:sz w:val="22"/>
          <w:szCs w:val="22"/>
        </w:rPr>
        <w:t xml:space="preserve">Rowe, M., Ralph, L. and Malik, A. (2024) </w:t>
      </w:r>
      <w:r w:rsidRPr="00281199">
        <w:rPr>
          <w:rFonts w:ascii="Sylfaen" w:hAnsi="Sylfaen" w:cs="Arial"/>
          <w:i/>
          <w:iCs/>
          <w:color w:val="0E101A"/>
          <w:sz w:val="22"/>
          <w:szCs w:val="22"/>
        </w:rPr>
        <w:t>Introduction to Policing</w:t>
      </w:r>
      <w:r w:rsidRPr="00281199">
        <w:rPr>
          <w:rFonts w:ascii="Sylfaen" w:hAnsi="Sylfaen" w:cs="Arial"/>
          <w:color w:val="0E101A"/>
          <w:sz w:val="22"/>
          <w:szCs w:val="22"/>
        </w:rPr>
        <w:t xml:space="preserve">. 4th </w:t>
      </w:r>
      <w:proofErr w:type="spellStart"/>
      <w:r w:rsidRPr="00281199">
        <w:rPr>
          <w:rFonts w:ascii="Sylfaen" w:hAnsi="Sylfaen" w:cs="Arial"/>
          <w:color w:val="0E101A"/>
          <w:sz w:val="22"/>
          <w:szCs w:val="22"/>
        </w:rPr>
        <w:t>edn</w:t>
      </w:r>
      <w:proofErr w:type="spellEnd"/>
      <w:r w:rsidRPr="00281199">
        <w:rPr>
          <w:rFonts w:ascii="Sylfaen" w:hAnsi="Sylfaen" w:cs="Arial"/>
          <w:color w:val="0E101A"/>
          <w:sz w:val="22"/>
          <w:szCs w:val="22"/>
        </w:rPr>
        <w:t>. California: Sage.</w:t>
      </w:r>
    </w:p>
    <w:p w14:paraId="73C07697" w14:textId="77777777" w:rsidR="00CB2346" w:rsidRPr="00281199" w:rsidRDefault="00CB2346" w:rsidP="00CB2346">
      <w:pPr>
        <w:pStyle w:val="NormalWeb"/>
        <w:spacing w:before="240" w:beforeAutospacing="0" w:after="200" w:afterAutospacing="0" w:line="276" w:lineRule="auto"/>
        <w:ind w:left="720" w:hanging="720"/>
        <w:rPr>
          <w:rFonts w:ascii="Sylfaen" w:hAnsi="Sylfaen" w:cs="Arial"/>
          <w:color w:val="0E101A"/>
          <w:sz w:val="22"/>
          <w:szCs w:val="22"/>
        </w:rPr>
      </w:pPr>
      <w:r w:rsidRPr="00281199">
        <w:rPr>
          <w:rFonts w:ascii="Sylfaen" w:hAnsi="Sylfaen" w:cs="Arial"/>
          <w:color w:val="0E101A"/>
          <w:sz w:val="22"/>
          <w:szCs w:val="22"/>
        </w:rPr>
        <w:t xml:space="preserve">Smith, J. A. and Eatough, V. (2007) ‘Interpretative phenomenological analysis’, in E. Lyons and A. Coyle (eds) </w:t>
      </w:r>
      <w:r w:rsidRPr="00281199">
        <w:rPr>
          <w:rFonts w:ascii="Sylfaen" w:hAnsi="Sylfaen" w:cs="Arial"/>
          <w:i/>
          <w:iCs/>
          <w:color w:val="0E101A"/>
          <w:sz w:val="22"/>
          <w:szCs w:val="22"/>
        </w:rPr>
        <w:t>Interpretative phenomenological analysis</w:t>
      </w:r>
      <w:r w:rsidRPr="00281199">
        <w:rPr>
          <w:rFonts w:ascii="Sylfaen" w:hAnsi="Sylfaen" w:cs="Arial"/>
          <w:color w:val="0E101A"/>
          <w:sz w:val="22"/>
          <w:szCs w:val="22"/>
        </w:rPr>
        <w:t>. London: SAGE Publications, pp. 35-50. Available at: https://doi.org/10.4135/9781446207536.d10</w:t>
      </w:r>
    </w:p>
    <w:p w14:paraId="2BA35707" w14:textId="77777777" w:rsidR="00CB2346" w:rsidRPr="00281199" w:rsidRDefault="00CB2346" w:rsidP="00CB2346">
      <w:pPr>
        <w:pStyle w:val="NormalWeb"/>
        <w:spacing w:before="240" w:beforeAutospacing="0" w:after="200" w:afterAutospacing="0" w:line="276" w:lineRule="auto"/>
        <w:ind w:left="720" w:hanging="720"/>
        <w:rPr>
          <w:rFonts w:ascii="Sylfaen" w:hAnsi="Sylfaen" w:cs="Arial"/>
          <w:color w:val="0E101A"/>
          <w:sz w:val="22"/>
          <w:szCs w:val="22"/>
        </w:rPr>
      </w:pPr>
      <w:r w:rsidRPr="00281199">
        <w:rPr>
          <w:rFonts w:ascii="Sylfaen" w:hAnsi="Sylfaen" w:cs="Arial"/>
          <w:color w:val="0E101A"/>
          <w:sz w:val="22"/>
          <w:szCs w:val="22"/>
        </w:rPr>
        <w:t xml:space="preserve">Smith, J. A., Flowers, P. and Larkin, M. (2022) </w:t>
      </w:r>
      <w:r w:rsidRPr="00281199">
        <w:rPr>
          <w:rFonts w:ascii="Sylfaen" w:hAnsi="Sylfaen" w:cs="Arial"/>
          <w:i/>
          <w:iCs/>
          <w:color w:val="0E101A"/>
          <w:sz w:val="22"/>
          <w:szCs w:val="22"/>
        </w:rPr>
        <w:t>Interpretative Phenomenological Analysis</w:t>
      </w:r>
      <w:r w:rsidRPr="00281199">
        <w:rPr>
          <w:rFonts w:ascii="Sylfaen" w:hAnsi="Sylfaen" w:cs="Arial"/>
          <w:color w:val="0E101A"/>
          <w:sz w:val="22"/>
          <w:szCs w:val="22"/>
        </w:rPr>
        <w:t xml:space="preserve">. 2nd </w:t>
      </w:r>
      <w:proofErr w:type="spellStart"/>
      <w:r w:rsidRPr="00281199">
        <w:rPr>
          <w:rFonts w:ascii="Sylfaen" w:hAnsi="Sylfaen" w:cs="Arial"/>
          <w:color w:val="0E101A"/>
          <w:sz w:val="22"/>
          <w:szCs w:val="22"/>
        </w:rPr>
        <w:t>edn</w:t>
      </w:r>
      <w:proofErr w:type="spellEnd"/>
      <w:r w:rsidRPr="00281199">
        <w:rPr>
          <w:rFonts w:ascii="Sylfaen" w:hAnsi="Sylfaen" w:cs="Arial"/>
          <w:color w:val="0E101A"/>
          <w:sz w:val="22"/>
          <w:szCs w:val="22"/>
        </w:rPr>
        <w:t>. London: Sage Publications.</w:t>
      </w:r>
    </w:p>
    <w:p w14:paraId="5F775C80" w14:textId="14080762" w:rsidR="00CB2346" w:rsidRPr="00281199" w:rsidRDefault="00CB2346" w:rsidP="00CB2346">
      <w:pPr>
        <w:pStyle w:val="NormalWeb"/>
        <w:spacing w:before="240" w:beforeAutospacing="0" w:after="200" w:afterAutospacing="0" w:line="276" w:lineRule="auto"/>
        <w:ind w:left="720" w:hanging="720"/>
        <w:rPr>
          <w:rFonts w:ascii="Sylfaen" w:hAnsi="Sylfaen" w:cs="Arial"/>
          <w:color w:val="0E101A"/>
          <w:sz w:val="22"/>
          <w:szCs w:val="22"/>
        </w:rPr>
      </w:pPr>
      <w:r w:rsidRPr="00281199">
        <w:rPr>
          <w:rFonts w:ascii="Sylfaen" w:hAnsi="Sylfaen" w:cs="Arial"/>
          <w:sz w:val="22"/>
          <w:szCs w:val="22"/>
        </w:rPr>
        <w:t xml:space="preserve">Socia, K. M. </w:t>
      </w:r>
      <w:r w:rsidR="00EE3108" w:rsidRPr="00EE3108">
        <w:rPr>
          <w:rFonts w:ascii="Sylfaen" w:hAnsi="Sylfaen" w:cs="Arial"/>
          <w:i/>
          <w:sz w:val="22"/>
          <w:szCs w:val="22"/>
        </w:rPr>
        <w:t>et al.</w:t>
      </w:r>
      <w:r w:rsidRPr="00281199">
        <w:rPr>
          <w:rFonts w:ascii="Sylfaen" w:hAnsi="Sylfaen" w:cs="Arial"/>
          <w:sz w:val="22"/>
          <w:szCs w:val="22"/>
        </w:rPr>
        <w:t xml:space="preserve"> (2021) ‘Public Perceptions of Police Agency Fairness and the Willingness to Call Police’, </w:t>
      </w:r>
      <w:r w:rsidRPr="00281199">
        <w:rPr>
          <w:rFonts w:ascii="Sylfaen" w:hAnsi="Sylfaen" w:cs="Arial"/>
          <w:i/>
          <w:iCs/>
          <w:sz w:val="22"/>
          <w:szCs w:val="22"/>
        </w:rPr>
        <w:t>The American Review of Public Administration</w:t>
      </w:r>
      <w:r w:rsidRPr="00281199">
        <w:rPr>
          <w:rFonts w:ascii="Sylfaen" w:hAnsi="Sylfaen" w:cs="Arial"/>
          <w:sz w:val="22"/>
          <w:szCs w:val="22"/>
        </w:rPr>
        <w:t>, 51(5), pp. 360-373. Available at: https://doi.org/10.1177/02750740211005699</w:t>
      </w:r>
    </w:p>
    <w:p w14:paraId="1121C765" w14:textId="66CB3450" w:rsidR="00397E61" w:rsidRPr="00281199" w:rsidRDefault="00CB2346" w:rsidP="00CB2346">
      <w:pPr>
        <w:spacing w:before="240"/>
        <w:ind w:left="720" w:hanging="720"/>
        <w:rPr>
          <w:rFonts w:cs="Arial"/>
        </w:rPr>
      </w:pPr>
      <w:r w:rsidRPr="00281199">
        <w:rPr>
          <w:rFonts w:cs="Arial"/>
        </w:rPr>
        <w:t xml:space="preserve">Tang, W. </w:t>
      </w:r>
      <w:r w:rsidR="00EE3108" w:rsidRPr="00EE3108">
        <w:rPr>
          <w:rFonts w:cs="Arial"/>
          <w:i/>
        </w:rPr>
        <w:t>et al.</w:t>
      </w:r>
      <w:r w:rsidRPr="00281199">
        <w:rPr>
          <w:rFonts w:cs="Arial"/>
        </w:rPr>
        <w:t xml:space="preserve"> (2021) ‘Susceptible user search for defending opinion manipulation’, </w:t>
      </w:r>
      <w:r w:rsidRPr="00281199">
        <w:rPr>
          <w:rFonts w:cs="Arial"/>
          <w:i/>
          <w:iCs/>
        </w:rPr>
        <w:t>Future Generation Computer Systems</w:t>
      </w:r>
      <w:r w:rsidRPr="00281199">
        <w:rPr>
          <w:rFonts w:cs="Arial"/>
        </w:rPr>
        <w:t>, 115, pp. 531-541. Available at: https://doi.org/10.1016/j.future.2020.10.003</w:t>
      </w:r>
    </w:p>
    <w:p w14:paraId="3E4D7C9F" w14:textId="77777777" w:rsidR="00240A04" w:rsidRPr="00281199" w:rsidRDefault="00240A04" w:rsidP="001F5E08">
      <w:pPr>
        <w:spacing w:after="160"/>
      </w:pPr>
    </w:p>
    <w:p w14:paraId="10653E2E" w14:textId="7F33599F" w:rsidR="00B53462" w:rsidRPr="00281199" w:rsidRDefault="00B53462" w:rsidP="001F5E08">
      <w:pPr>
        <w:pStyle w:val="Heading2"/>
      </w:pPr>
      <w:r w:rsidRPr="00281199">
        <w:t>Copyright Statement</w:t>
      </w:r>
    </w:p>
    <w:p w14:paraId="60A6A07B" w14:textId="639C2420" w:rsidR="00985BF2" w:rsidRPr="00985BF2" w:rsidRDefault="00397E61" w:rsidP="00985BF2">
      <w:pPr>
        <w:spacing w:before="120" w:after="120"/>
        <w:jc w:val="both"/>
        <w:rPr>
          <w:rFonts w:eastAsia="Times New Roman" w:cs="Arial"/>
          <w:color w:val="212529"/>
          <w:shd w:val="clear" w:color="auto" w:fill="FFFFFF"/>
          <w:lang w:eastAsia="en-GB"/>
        </w:rPr>
      </w:pPr>
      <w:r w:rsidRPr="00281199">
        <w:rPr>
          <w:rFonts w:eastAsia="Times New Roman" w:cs="Arial"/>
          <w:color w:val="212529"/>
          <w:shd w:val="clear" w:color="auto" w:fill="FFFFFF"/>
          <w:lang w:eastAsia="en-GB"/>
        </w:rPr>
        <w:t>©</w:t>
      </w:r>
      <w:r w:rsidR="002E07EE" w:rsidRPr="002E07EE">
        <w:t xml:space="preserve"> </w:t>
      </w:r>
      <w:r w:rsidR="002E07EE" w:rsidRPr="002E07EE">
        <w:rPr>
          <w:rFonts w:eastAsia="Times New Roman" w:cs="Arial"/>
          <w:color w:val="212529"/>
          <w:shd w:val="clear" w:color="auto" w:fill="FFFFFF"/>
          <w:lang w:eastAsia="en-GB"/>
        </w:rPr>
        <w:t>Antonina Savka</w:t>
      </w:r>
      <w:r w:rsidRPr="00281199">
        <w:rPr>
          <w:rFonts w:eastAsia="Times New Roman" w:cs="Arial"/>
          <w:color w:val="212529"/>
          <w:shd w:val="clear" w:color="auto" w:fill="FFFFFF"/>
          <w:lang w:eastAsia="en-GB"/>
        </w:rPr>
        <w:t xml:space="preserve">. This article is licensed under a </w:t>
      </w:r>
      <w:hyperlink r:id="rId9" w:history="1">
        <w:r w:rsidRPr="00281199">
          <w:rPr>
            <w:rStyle w:val="Hyperlink"/>
            <w:rFonts w:eastAsia="Times New Roman" w:cs="Arial"/>
            <w:shd w:val="clear" w:color="auto" w:fill="FFFFFF"/>
            <w:lang w:eastAsia="en-GB"/>
          </w:rPr>
          <w:t>Creative Commons Attribution 4.0 International Licence (CC BY)</w:t>
        </w:r>
      </w:hyperlink>
      <w:r w:rsidRPr="00281199">
        <w:rPr>
          <w:rFonts w:eastAsia="Times New Roman" w:cs="Arial"/>
          <w:color w:val="212529"/>
          <w:shd w:val="clear" w:color="auto" w:fill="FFFFFF"/>
          <w:lang w:eastAsia="en-GB"/>
        </w:rPr>
        <w:t>.</w:t>
      </w:r>
    </w:p>
    <w:p w14:paraId="156C732B" w14:textId="2C38A7C4" w:rsidR="00C45D70" w:rsidRPr="00281199" w:rsidRDefault="00C45D70" w:rsidP="00441B88">
      <w:pPr>
        <w:spacing w:before="120" w:after="120"/>
        <w:rPr>
          <w:rFonts w:eastAsia="Times New Roman" w:cs="Times New Roman"/>
          <w:lang w:eastAsia="en-GB"/>
        </w:rPr>
      </w:pPr>
    </w:p>
    <w:sectPr w:rsidR="00C45D70" w:rsidRPr="00281199" w:rsidSect="00BE6334">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EBE34" w14:textId="77777777" w:rsidR="00C865FC" w:rsidRDefault="00C865FC" w:rsidP="002B247D">
      <w:pPr>
        <w:spacing w:after="0" w:line="240" w:lineRule="auto"/>
      </w:pPr>
      <w:r>
        <w:separator/>
      </w:r>
    </w:p>
  </w:endnote>
  <w:endnote w:type="continuationSeparator" w:id="0">
    <w:p w14:paraId="0F316BF9" w14:textId="77777777" w:rsidR="00C865FC" w:rsidRDefault="00C865FC"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pPr>
      </w:p>
      <w:p w14:paraId="3655714B" w14:textId="414009F4" w:rsidR="00BE6334" w:rsidRPr="00990D5E" w:rsidRDefault="00BE6334">
        <w:pPr>
          <w:pStyle w:val="Footer"/>
          <w:jc w:val="center"/>
          <w:rPr>
            <w:noProof/>
          </w:rPr>
        </w:pPr>
        <w:r w:rsidRPr="00990D5E">
          <w:fldChar w:fldCharType="begin"/>
        </w:r>
        <w:r w:rsidRPr="00990D5E">
          <w:instrText xml:space="preserve"> PAGE   \* MERGEFORMAT </w:instrText>
        </w:r>
        <w:r w:rsidRPr="00990D5E">
          <w:fldChar w:fldCharType="separate"/>
        </w:r>
        <w:r w:rsidR="00D35A7A">
          <w:rPr>
            <w:noProof/>
          </w:rPr>
          <w:t>2</w:t>
        </w:r>
        <w:r w:rsidRPr="00990D5E">
          <w:rPr>
            <w:noProof/>
          </w:rPr>
          <w:fldChar w:fldCharType="end"/>
        </w:r>
      </w:p>
      <w:p w14:paraId="01B5BDD7" w14:textId="54D286C4" w:rsidR="00BE6334" w:rsidRPr="00990D5E" w:rsidRDefault="00BE6334">
        <w:pPr>
          <w:pStyle w:val="Footer"/>
          <w:jc w:val="center"/>
          <w:rPr>
            <w:sz w:val="20"/>
            <w:szCs w:val="20"/>
          </w:rPr>
        </w:pPr>
        <w:r w:rsidRPr="00990D5E">
          <w:rPr>
            <w:noProof/>
            <w:sz w:val="20"/>
            <w:szCs w:val="20"/>
          </w:rPr>
          <w:t xml:space="preserve">This article is </w:t>
        </w:r>
        <w:r w:rsidR="00B53462">
          <w:rPr>
            <w:noProof/>
            <w:sz w:val="20"/>
            <w:szCs w:val="20"/>
          </w:rPr>
          <w:t xml:space="preserve">licensed </w:t>
        </w:r>
        <w:hyperlink r:id="rId1" w:history="1">
          <w:r w:rsidRPr="00B53462">
            <w:rPr>
              <w:rStyle w:val="Hyperlink"/>
              <w:noProof/>
              <w:sz w:val="20"/>
              <w:szCs w:val="20"/>
            </w:rPr>
            <w:t>CC BY</w:t>
          </w:r>
          <w:r w:rsidR="00B53462" w:rsidRPr="00B53462">
            <w:rPr>
              <w:rStyle w:val="Hyperlink"/>
              <w:noProof/>
              <w:sz w:val="20"/>
              <w:szCs w:val="20"/>
            </w:rPr>
            <w:t xml:space="preserve"> 4.0</w:t>
          </w:r>
        </w:hyperlink>
        <w:r w:rsidRPr="00990D5E">
          <w:rPr>
            <w:noProof/>
            <w:sz w:val="20"/>
            <w:szCs w:val="20"/>
          </w:rPr>
          <w:t xml:space="preserve"> (</w:t>
        </w:r>
        <w:r w:rsidR="002E07EE" w:rsidRPr="002E07EE">
          <w:rPr>
            <w:noProof/>
            <w:sz w:val="20"/>
            <w:szCs w:val="20"/>
          </w:rPr>
          <w:t>Antonina Savka</w:t>
        </w:r>
        <w:r w:rsidRPr="00990D5E">
          <w:rPr>
            <w:noProof/>
            <w:sz w:val="20"/>
            <w:szCs w:val="20"/>
          </w:rPr>
          <w:t>)</w:t>
        </w:r>
        <w:r w:rsidRPr="00990D5E">
          <w:rPr>
            <w:noProof/>
            <w:sz w:val="20"/>
            <w:szCs w:val="20"/>
          </w:rPr>
          <w:tab/>
        </w:r>
        <w:r w:rsidRPr="00990D5E">
          <w:rPr>
            <w:noProof/>
            <w:sz w:val="20"/>
            <w:szCs w:val="20"/>
          </w:rPr>
          <w:tab/>
          <w:t xml:space="preserve">Essex Student Journal, </w:t>
        </w:r>
        <w:r w:rsidR="002E07EE">
          <w:rPr>
            <w:noProof/>
            <w:sz w:val="20"/>
            <w:szCs w:val="20"/>
          </w:rPr>
          <w:t>2026</w:t>
        </w:r>
        <w:r w:rsidR="00990D5E">
          <w:rPr>
            <w:noProof/>
            <w:sz w:val="20"/>
            <w:szCs w:val="20"/>
          </w:rPr>
          <w:t>, Vol</w:t>
        </w:r>
        <w:r w:rsidRPr="00990D5E">
          <w:rPr>
            <w:noProof/>
            <w:sz w:val="20"/>
            <w:szCs w:val="20"/>
          </w:rPr>
          <w:t>.</w:t>
        </w:r>
        <w:r w:rsidR="002E07EE">
          <w:rPr>
            <w:noProof/>
            <w:sz w:val="20"/>
            <w:szCs w:val="20"/>
          </w:rPr>
          <w:t xml:space="preserve"> 17(1)</w:t>
        </w:r>
      </w:p>
    </w:sdtContent>
  </w:sdt>
  <w:p w14:paraId="793C577F" w14:textId="0E88CDDE" w:rsidR="00BE6334" w:rsidRPr="00990D5E" w:rsidRDefault="00BE6334">
    <w:pPr>
      <w:pStyle w:val="Footer"/>
      <w:rPr>
        <w:sz w:val="20"/>
        <w:szCs w:val="20"/>
      </w:rPr>
    </w:pPr>
    <w:r w:rsidRPr="00990D5E">
      <w:rPr>
        <w:sz w:val="20"/>
        <w:szCs w:val="20"/>
      </w:rPr>
      <w:t xml:space="preserve">DOI: </w:t>
    </w:r>
    <w:hyperlink r:id="rId2" w:history="1">
      <w:r w:rsidR="002E07EE" w:rsidRPr="00C36B86">
        <w:rPr>
          <w:rStyle w:val="Hyperlink"/>
          <w:sz w:val="20"/>
          <w:szCs w:val="20"/>
        </w:rPr>
        <w:t>https://doi.org/10.5526/esj.449</w:t>
      </w:r>
    </w:hyperlink>
    <w:r w:rsidR="002E07EE">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pPr>
      </w:p>
      <w:p w14:paraId="17E0F48F" w14:textId="12DA4930" w:rsidR="00BE6334" w:rsidRPr="00990D5E" w:rsidRDefault="00BE6334" w:rsidP="00BE6334">
        <w:pPr>
          <w:pStyle w:val="Footer"/>
          <w:jc w:val="center"/>
          <w:rPr>
            <w:noProof/>
          </w:rPr>
        </w:pPr>
        <w:r w:rsidRPr="00990D5E">
          <w:fldChar w:fldCharType="begin"/>
        </w:r>
        <w:r w:rsidRPr="00990D5E">
          <w:instrText xml:space="preserve"> PAGE   \* MERGEFORMAT </w:instrText>
        </w:r>
        <w:r w:rsidRPr="00990D5E">
          <w:fldChar w:fldCharType="separate"/>
        </w:r>
        <w:r w:rsidR="00A55EA2">
          <w:rPr>
            <w:noProof/>
          </w:rPr>
          <w:t>1</w:t>
        </w:r>
        <w:r w:rsidRPr="00990D5E">
          <w:rPr>
            <w:noProof/>
          </w:rPr>
          <w:fldChar w:fldCharType="end"/>
        </w:r>
      </w:p>
      <w:p w14:paraId="375767D5" w14:textId="4F2375D2" w:rsidR="002E07EE" w:rsidRDefault="002E07EE" w:rsidP="002E07EE">
        <w:pPr>
          <w:pStyle w:val="Footer"/>
          <w:jc w:val="center"/>
          <w:rPr>
            <w:noProof/>
            <w:sz w:val="20"/>
            <w:szCs w:val="20"/>
          </w:rPr>
        </w:pPr>
        <w:r w:rsidRPr="00990D5E">
          <w:rPr>
            <w:noProof/>
            <w:sz w:val="20"/>
            <w:szCs w:val="20"/>
          </w:rPr>
          <w:t xml:space="preserve">This article is </w:t>
        </w:r>
        <w:r>
          <w:rPr>
            <w:noProof/>
            <w:sz w:val="20"/>
            <w:szCs w:val="20"/>
          </w:rPr>
          <w:t xml:space="preserve">licensed </w:t>
        </w:r>
        <w:hyperlink r:id="rId1" w:history="1">
          <w:r w:rsidRPr="00B53462">
            <w:rPr>
              <w:rStyle w:val="Hyperlink"/>
              <w:noProof/>
              <w:sz w:val="20"/>
              <w:szCs w:val="20"/>
            </w:rPr>
            <w:t>CC BY 4.0</w:t>
          </w:r>
        </w:hyperlink>
        <w:r w:rsidRPr="00990D5E">
          <w:rPr>
            <w:noProof/>
            <w:sz w:val="20"/>
            <w:szCs w:val="20"/>
          </w:rPr>
          <w:t xml:space="preserve"> (</w:t>
        </w:r>
        <w:r w:rsidRPr="002E07EE">
          <w:rPr>
            <w:noProof/>
            <w:sz w:val="20"/>
            <w:szCs w:val="20"/>
          </w:rPr>
          <w:t>Antonina Savka</w:t>
        </w:r>
        <w:r w:rsidRPr="00990D5E">
          <w:rPr>
            <w:noProof/>
            <w:sz w:val="20"/>
            <w:szCs w:val="20"/>
          </w:rPr>
          <w:t>)</w:t>
        </w:r>
        <w:r w:rsidRPr="00990D5E">
          <w:rPr>
            <w:noProof/>
            <w:sz w:val="20"/>
            <w:szCs w:val="20"/>
          </w:rPr>
          <w:tab/>
        </w:r>
        <w:r w:rsidRPr="00990D5E">
          <w:rPr>
            <w:noProof/>
            <w:sz w:val="20"/>
            <w:szCs w:val="20"/>
          </w:rPr>
          <w:tab/>
          <w:t xml:space="preserve">Essex Student Journal, </w:t>
        </w:r>
        <w:r>
          <w:rPr>
            <w:noProof/>
            <w:sz w:val="20"/>
            <w:szCs w:val="20"/>
          </w:rPr>
          <w:t>2026, Vol</w:t>
        </w:r>
        <w:r w:rsidRPr="00990D5E">
          <w:rPr>
            <w:noProof/>
            <w:sz w:val="20"/>
            <w:szCs w:val="20"/>
          </w:rPr>
          <w:t>.</w:t>
        </w:r>
        <w:r>
          <w:rPr>
            <w:noProof/>
            <w:sz w:val="20"/>
            <w:szCs w:val="20"/>
          </w:rPr>
          <w:t xml:space="preserve"> 17(1)</w:t>
        </w:r>
      </w:p>
      <w:p w14:paraId="6152AABE" w14:textId="2717AF54" w:rsidR="00BE6334" w:rsidRPr="00990D5E" w:rsidRDefault="002E07EE" w:rsidP="002E07EE">
        <w:pPr>
          <w:pStyle w:val="Footer"/>
          <w:rPr>
            <w:sz w:val="20"/>
            <w:szCs w:val="20"/>
          </w:rPr>
        </w:pPr>
        <w:r w:rsidRPr="00990D5E">
          <w:rPr>
            <w:sz w:val="20"/>
            <w:szCs w:val="20"/>
          </w:rPr>
          <w:t xml:space="preserve">DOI: </w:t>
        </w:r>
        <w:hyperlink r:id="rId2" w:history="1">
          <w:r w:rsidRPr="00C36B86">
            <w:rPr>
              <w:rStyle w:val="Hyperlink"/>
              <w:sz w:val="20"/>
              <w:szCs w:val="20"/>
            </w:rPr>
            <w:t>https://doi.org/10.5526/esj.449</w:t>
          </w:r>
        </w:hyperlink>
        <w:r w:rsidR="00A55EA2">
          <w:rPr>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472D4" w14:textId="77777777" w:rsidR="00C865FC" w:rsidRDefault="00C865FC" w:rsidP="002B247D">
      <w:pPr>
        <w:spacing w:after="0" w:line="240" w:lineRule="auto"/>
      </w:pPr>
      <w:r>
        <w:separator/>
      </w:r>
    </w:p>
  </w:footnote>
  <w:footnote w:type="continuationSeparator" w:id="0">
    <w:p w14:paraId="031E4AEB" w14:textId="77777777" w:rsidR="00C865FC" w:rsidRDefault="00C865FC"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D3E8" w14:textId="14FDDD8B" w:rsidR="002B247D" w:rsidRPr="00CC3ECF" w:rsidRDefault="00CC3ECF">
    <w:pPr>
      <w:pStyle w:val="Header"/>
      <w:rPr>
        <w:lang w:val="en-IE"/>
      </w:rPr>
    </w:pPr>
    <w:r w:rsidRPr="00CC3ECF">
      <w:t>What shapes the meaning of fairness in the Criminal Justice System</w:t>
    </w:r>
    <w:r>
      <w:rPr>
        <w:lang w:val="en-IE"/>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FA53" w14:textId="1D121EA3" w:rsidR="002E07EE" w:rsidRPr="002E07EE" w:rsidRDefault="002E07EE">
    <w:pPr>
      <w:pStyle w:val="Header"/>
      <w:rPr>
        <w:lang w:val="en-IE"/>
      </w:rPr>
    </w:pPr>
    <w:r w:rsidRPr="00CC3ECF">
      <w:t>What shapes the meaning of fairness in the Criminal Justice System</w:t>
    </w:r>
    <w:r>
      <w:rPr>
        <w:lang w:val="en-I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681"/>
    <w:multiLevelType w:val="hybridMultilevel"/>
    <w:tmpl w:val="2460E7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B0709"/>
    <w:multiLevelType w:val="hybridMultilevel"/>
    <w:tmpl w:val="0EEAA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3C65DE"/>
    <w:multiLevelType w:val="multilevel"/>
    <w:tmpl w:val="957E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493F1D"/>
    <w:multiLevelType w:val="multilevel"/>
    <w:tmpl w:val="F72AC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3C1B50"/>
    <w:multiLevelType w:val="hybridMultilevel"/>
    <w:tmpl w:val="6B5E5D16"/>
    <w:lvl w:ilvl="0" w:tplc="8424D0A6">
      <w:start w:val="1"/>
      <w:numFmt w:val="decimal"/>
      <w:lvlText w:val="%1"/>
      <w:lvlJc w:val="right"/>
      <w:pPr>
        <w:ind w:left="72" w:firstLine="28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0471546">
    <w:abstractNumId w:val="2"/>
  </w:num>
  <w:num w:numId="2" w16cid:durableId="151651451">
    <w:abstractNumId w:val="3"/>
  </w:num>
  <w:num w:numId="3" w16cid:durableId="285745606">
    <w:abstractNumId w:val="1"/>
  </w:num>
  <w:num w:numId="4" w16cid:durableId="1017316065">
    <w:abstractNumId w:val="0"/>
  </w:num>
  <w:num w:numId="5" w16cid:durableId="1125124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MDQyM7U0NTYwN7JQ0lEKTi0uzszPAykwrgUALdZbBSwAAAA="/>
  </w:docVars>
  <w:rsids>
    <w:rsidRoot w:val="00240FC1"/>
    <w:rsid w:val="00000EB5"/>
    <w:rsid w:val="0000488B"/>
    <w:rsid w:val="000079B5"/>
    <w:rsid w:val="000178EF"/>
    <w:rsid w:val="00021D4F"/>
    <w:rsid w:val="000231B8"/>
    <w:rsid w:val="00023598"/>
    <w:rsid w:val="00023FCB"/>
    <w:rsid w:val="0002405E"/>
    <w:rsid w:val="00026977"/>
    <w:rsid w:val="000278A2"/>
    <w:rsid w:val="0003105C"/>
    <w:rsid w:val="0003187B"/>
    <w:rsid w:val="00031D9B"/>
    <w:rsid w:val="000374E7"/>
    <w:rsid w:val="00042193"/>
    <w:rsid w:val="00043BA7"/>
    <w:rsid w:val="00044030"/>
    <w:rsid w:val="00044B63"/>
    <w:rsid w:val="00044D6B"/>
    <w:rsid w:val="0004530B"/>
    <w:rsid w:val="000478E6"/>
    <w:rsid w:val="00056819"/>
    <w:rsid w:val="00057F3F"/>
    <w:rsid w:val="0006192E"/>
    <w:rsid w:val="000624D8"/>
    <w:rsid w:val="0006564B"/>
    <w:rsid w:val="00065758"/>
    <w:rsid w:val="00066760"/>
    <w:rsid w:val="0006698B"/>
    <w:rsid w:val="00066AD7"/>
    <w:rsid w:val="00070997"/>
    <w:rsid w:val="00072B75"/>
    <w:rsid w:val="00075EBA"/>
    <w:rsid w:val="00076C82"/>
    <w:rsid w:val="00082008"/>
    <w:rsid w:val="00083282"/>
    <w:rsid w:val="00084406"/>
    <w:rsid w:val="0008555A"/>
    <w:rsid w:val="0008648A"/>
    <w:rsid w:val="00086C32"/>
    <w:rsid w:val="000873FE"/>
    <w:rsid w:val="00090599"/>
    <w:rsid w:val="00090FF4"/>
    <w:rsid w:val="000915FE"/>
    <w:rsid w:val="00092C26"/>
    <w:rsid w:val="00094E2A"/>
    <w:rsid w:val="00095079"/>
    <w:rsid w:val="00096048"/>
    <w:rsid w:val="00096B55"/>
    <w:rsid w:val="000A0B67"/>
    <w:rsid w:val="000A1B2E"/>
    <w:rsid w:val="000A2012"/>
    <w:rsid w:val="000A6CFE"/>
    <w:rsid w:val="000A6F8B"/>
    <w:rsid w:val="000B107A"/>
    <w:rsid w:val="000B2EB1"/>
    <w:rsid w:val="000B4373"/>
    <w:rsid w:val="000B51C4"/>
    <w:rsid w:val="000B621D"/>
    <w:rsid w:val="000B668E"/>
    <w:rsid w:val="000B66F6"/>
    <w:rsid w:val="000B7425"/>
    <w:rsid w:val="000C0140"/>
    <w:rsid w:val="000C2F74"/>
    <w:rsid w:val="000C3254"/>
    <w:rsid w:val="000C6249"/>
    <w:rsid w:val="000C6D85"/>
    <w:rsid w:val="000D51BB"/>
    <w:rsid w:val="000D6496"/>
    <w:rsid w:val="000E0230"/>
    <w:rsid w:val="000E0D39"/>
    <w:rsid w:val="000E18B6"/>
    <w:rsid w:val="000E2DAE"/>
    <w:rsid w:val="000E440C"/>
    <w:rsid w:val="000E6DDA"/>
    <w:rsid w:val="000F0858"/>
    <w:rsid w:val="000F08CB"/>
    <w:rsid w:val="000F3C4D"/>
    <w:rsid w:val="000F6536"/>
    <w:rsid w:val="001004A5"/>
    <w:rsid w:val="00100B70"/>
    <w:rsid w:val="0010177F"/>
    <w:rsid w:val="00102CE5"/>
    <w:rsid w:val="0010469A"/>
    <w:rsid w:val="00106230"/>
    <w:rsid w:val="0010715F"/>
    <w:rsid w:val="00107BA9"/>
    <w:rsid w:val="00111AD5"/>
    <w:rsid w:val="001120B4"/>
    <w:rsid w:val="00113CA0"/>
    <w:rsid w:val="00114050"/>
    <w:rsid w:val="001162A7"/>
    <w:rsid w:val="001165A2"/>
    <w:rsid w:val="001204C6"/>
    <w:rsid w:val="00120759"/>
    <w:rsid w:val="00122030"/>
    <w:rsid w:val="00122214"/>
    <w:rsid w:val="0012273F"/>
    <w:rsid w:val="001239E5"/>
    <w:rsid w:val="0012539A"/>
    <w:rsid w:val="00131CF8"/>
    <w:rsid w:val="001330A1"/>
    <w:rsid w:val="00134C48"/>
    <w:rsid w:val="00135852"/>
    <w:rsid w:val="001430CF"/>
    <w:rsid w:val="001463E9"/>
    <w:rsid w:val="00146B7A"/>
    <w:rsid w:val="0014790A"/>
    <w:rsid w:val="00150597"/>
    <w:rsid w:val="00161CBF"/>
    <w:rsid w:val="00164021"/>
    <w:rsid w:val="00165FC3"/>
    <w:rsid w:val="00166728"/>
    <w:rsid w:val="001672CB"/>
    <w:rsid w:val="00167487"/>
    <w:rsid w:val="00171854"/>
    <w:rsid w:val="00171FF7"/>
    <w:rsid w:val="00173886"/>
    <w:rsid w:val="00173DE8"/>
    <w:rsid w:val="00173EEA"/>
    <w:rsid w:val="001760B5"/>
    <w:rsid w:val="00177767"/>
    <w:rsid w:val="00180F55"/>
    <w:rsid w:val="00181472"/>
    <w:rsid w:val="00182C69"/>
    <w:rsid w:val="00183C6F"/>
    <w:rsid w:val="00186C17"/>
    <w:rsid w:val="001908F9"/>
    <w:rsid w:val="001909E3"/>
    <w:rsid w:val="00191E1A"/>
    <w:rsid w:val="00194312"/>
    <w:rsid w:val="00194AB2"/>
    <w:rsid w:val="00195157"/>
    <w:rsid w:val="001A1471"/>
    <w:rsid w:val="001A3EAC"/>
    <w:rsid w:val="001A668E"/>
    <w:rsid w:val="001B12EA"/>
    <w:rsid w:val="001B38BB"/>
    <w:rsid w:val="001B4D05"/>
    <w:rsid w:val="001B6601"/>
    <w:rsid w:val="001B6BB1"/>
    <w:rsid w:val="001C5635"/>
    <w:rsid w:val="001C704D"/>
    <w:rsid w:val="001C7E78"/>
    <w:rsid w:val="001D02D5"/>
    <w:rsid w:val="001D2636"/>
    <w:rsid w:val="001D43D4"/>
    <w:rsid w:val="001D451C"/>
    <w:rsid w:val="001D7306"/>
    <w:rsid w:val="001E02E9"/>
    <w:rsid w:val="001E065D"/>
    <w:rsid w:val="001E1C3A"/>
    <w:rsid w:val="001E2264"/>
    <w:rsid w:val="001E302F"/>
    <w:rsid w:val="001E6218"/>
    <w:rsid w:val="001E68AE"/>
    <w:rsid w:val="001E7E88"/>
    <w:rsid w:val="001F0A35"/>
    <w:rsid w:val="001F0CDC"/>
    <w:rsid w:val="001F1693"/>
    <w:rsid w:val="001F4406"/>
    <w:rsid w:val="001F44A5"/>
    <w:rsid w:val="001F4879"/>
    <w:rsid w:val="001F5810"/>
    <w:rsid w:val="001F5B5A"/>
    <w:rsid w:val="001F5E08"/>
    <w:rsid w:val="001F5F10"/>
    <w:rsid w:val="001F6EE1"/>
    <w:rsid w:val="00201331"/>
    <w:rsid w:val="00201E8C"/>
    <w:rsid w:val="002032DE"/>
    <w:rsid w:val="002042E2"/>
    <w:rsid w:val="00204B83"/>
    <w:rsid w:val="002065C0"/>
    <w:rsid w:val="002079AC"/>
    <w:rsid w:val="00210CB4"/>
    <w:rsid w:val="0021170A"/>
    <w:rsid w:val="002167D1"/>
    <w:rsid w:val="00217A83"/>
    <w:rsid w:val="00220FCF"/>
    <w:rsid w:val="00221108"/>
    <w:rsid w:val="0022131A"/>
    <w:rsid w:val="00221F4A"/>
    <w:rsid w:val="002312CF"/>
    <w:rsid w:val="00233406"/>
    <w:rsid w:val="00235190"/>
    <w:rsid w:val="00240A04"/>
    <w:rsid w:val="00240FC1"/>
    <w:rsid w:val="00242DD1"/>
    <w:rsid w:val="00243EC2"/>
    <w:rsid w:val="00244731"/>
    <w:rsid w:val="00245BE8"/>
    <w:rsid w:val="00247683"/>
    <w:rsid w:val="00250EC4"/>
    <w:rsid w:val="00251F05"/>
    <w:rsid w:val="00260993"/>
    <w:rsid w:val="00260D88"/>
    <w:rsid w:val="0026437C"/>
    <w:rsid w:val="00264CDA"/>
    <w:rsid w:val="00265102"/>
    <w:rsid w:val="002652CE"/>
    <w:rsid w:val="00265734"/>
    <w:rsid w:val="00267C13"/>
    <w:rsid w:val="00274438"/>
    <w:rsid w:val="002763CD"/>
    <w:rsid w:val="00277069"/>
    <w:rsid w:val="002773C2"/>
    <w:rsid w:val="00280EFD"/>
    <w:rsid w:val="00281199"/>
    <w:rsid w:val="002817CA"/>
    <w:rsid w:val="002829C9"/>
    <w:rsid w:val="0028374E"/>
    <w:rsid w:val="00285F2D"/>
    <w:rsid w:val="00286283"/>
    <w:rsid w:val="00286B51"/>
    <w:rsid w:val="00287554"/>
    <w:rsid w:val="0029179D"/>
    <w:rsid w:val="002971DB"/>
    <w:rsid w:val="00297284"/>
    <w:rsid w:val="0029757C"/>
    <w:rsid w:val="002A0103"/>
    <w:rsid w:val="002A232B"/>
    <w:rsid w:val="002A2BAB"/>
    <w:rsid w:val="002A2D11"/>
    <w:rsid w:val="002A510B"/>
    <w:rsid w:val="002A6A41"/>
    <w:rsid w:val="002B013B"/>
    <w:rsid w:val="002B0510"/>
    <w:rsid w:val="002B247D"/>
    <w:rsid w:val="002B5A2C"/>
    <w:rsid w:val="002B683A"/>
    <w:rsid w:val="002B7517"/>
    <w:rsid w:val="002C2942"/>
    <w:rsid w:val="002C4464"/>
    <w:rsid w:val="002C5626"/>
    <w:rsid w:val="002C6EE7"/>
    <w:rsid w:val="002C7AC5"/>
    <w:rsid w:val="002D0C69"/>
    <w:rsid w:val="002D3A51"/>
    <w:rsid w:val="002D4DAA"/>
    <w:rsid w:val="002D55F6"/>
    <w:rsid w:val="002D6B73"/>
    <w:rsid w:val="002E07EE"/>
    <w:rsid w:val="002E0B58"/>
    <w:rsid w:val="002E0F6B"/>
    <w:rsid w:val="002E1AF3"/>
    <w:rsid w:val="002E3823"/>
    <w:rsid w:val="002E383A"/>
    <w:rsid w:val="002E4125"/>
    <w:rsid w:val="002E6515"/>
    <w:rsid w:val="002E69CD"/>
    <w:rsid w:val="002F38DA"/>
    <w:rsid w:val="002F60E8"/>
    <w:rsid w:val="003012CE"/>
    <w:rsid w:val="00301694"/>
    <w:rsid w:val="003109C6"/>
    <w:rsid w:val="003112A9"/>
    <w:rsid w:val="00313E93"/>
    <w:rsid w:val="00315CD7"/>
    <w:rsid w:val="003208AC"/>
    <w:rsid w:val="003213FA"/>
    <w:rsid w:val="00324000"/>
    <w:rsid w:val="00324173"/>
    <w:rsid w:val="0032453E"/>
    <w:rsid w:val="0032488A"/>
    <w:rsid w:val="00325E64"/>
    <w:rsid w:val="00327074"/>
    <w:rsid w:val="00331418"/>
    <w:rsid w:val="0033623F"/>
    <w:rsid w:val="00336B41"/>
    <w:rsid w:val="00341C69"/>
    <w:rsid w:val="00341D1A"/>
    <w:rsid w:val="00342C17"/>
    <w:rsid w:val="003456FE"/>
    <w:rsid w:val="00345AFB"/>
    <w:rsid w:val="0035767C"/>
    <w:rsid w:val="00360DA6"/>
    <w:rsid w:val="00360FB7"/>
    <w:rsid w:val="00362A16"/>
    <w:rsid w:val="003660C0"/>
    <w:rsid w:val="0037162A"/>
    <w:rsid w:val="00374289"/>
    <w:rsid w:val="0037472B"/>
    <w:rsid w:val="003816AD"/>
    <w:rsid w:val="00381813"/>
    <w:rsid w:val="0038769B"/>
    <w:rsid w:val="00387AEC"/>
    <w:rsid w:val="00387EF8"/>
    <w:rsid w:val="00390D71"/>
    <w:rsid w:val="0039186D"/>
    <w:rsid w:val="0039427B"/>
    <w:rsid w:val="0039597B"/>
    <w:rsid w:val="00397E61"/>
    <w:rsid w:val="003A07F3"/>
    <w:rsid w:val="003A2A55"/>
    <w:rsid w:val="003A3E9A"/>
    <w:rsid w:val="003A6506"/>
    <w:rsid w:val="003B1561"/>
    <w:rsid w:val="003B45FE"/>
    <w:rsid w:val="003B4844"/>
    <w:rsid w:val="003B623C"/>
    <w:rsid w:val="003C0FFE"/>
    <w:rsid w:val="003C2412"/>
    <w:rsid w:val="003C60C4"/>
    <w:rsid w:val="003C6808"/>
    <w:rsid w:val="003C6D0C"/>
    <w:rsid w:val="003C7446"/>
    <w:rsid w:val="003D0B43"/>
    <w:rsid w:val="003D1237"/>
    <w:rsid w:val="003D471A"/>
    <w:rsid w:val="003D5512"/>
    <w:rsid w:val="003D5639"/>
    <w:rsid w:val="003D5968"/>
    <w:rsid w:val="003D6E2E"/>
    <w:rsid w:val="003E01DC"/>
    <w:rsid w:val="003E1453"/>
    <w:rsid w:val="003E58E6"/>
    <w:rsid w:val="003F0215"/>
    <w:rsid w:val="003F0DB8"/>
    <w:rsid w:val="003F2F6C"/>
    <w:rsid w:val="003F3860"/>
    <w:rsid w:val="003F46B5"/>
    <w:rsid w:val="003F4895"/>
    <w:rsid w:val="003F641A"/>
    <w:rsid w:val="00401460"/>
    <w:rsid w:val="00405BC6"/>
    <w:rsid w:val="00407BA2"/>
    <w:rsid w:val="00410569"/>
    <w:rsid w:val="00412181"/>
    <w:rsid w:val="004124D8"/>
    <w:rsid w:val="00415BFB"/>
    <w:rsid w:val="00416971"/>
    <w:rsid w:val="00417070"/>
    <w:rsid w:val="00420830"/>
    <w:rsid w:val="004221CA"/>
    <w:rsid w:val="00422DF1"/>
    <w:rsid w:val="00423B99"/>
    <w:rsid w:val="00424323"/>
    <w:rsid w:val="00424750"/>
    <w:rsid w:val="00426D48"/>
    <w:rsid w:val="00433AE9"/>
    <w:rsid w:val="00435172"/>
    <w:rsid w:val="00435853"/>
    <w:rsid w:val="00436F39"/>
    <w:rsid w:val="0043770A"/>
    <w:rsid w:val="0044105B"/>
    <w:rsid w:val="004416AE"/>
    <w:rsid w:val="00441B88"/>
    <w:rsid w:val="00442B10"/>
    <w:rsid w:val="004475CD"/>
    <w:rsid w:val="00451C4F"/>
    <w:rsid w:val="0045229F"/>
    <w:rsid w:val="00455DFF"/>
    <w:rsid w:val="0046060F"/>
    <w:rsid w:val="004610E5"/>
    <w:rsid w:val="004649C1"/>
    <w:rsid w:val="00472D6D"/>
    <w:rsid w:val="00481AB0"/>
    <w:rsid w:val="004844A9"/>
    <w:rsid w:val="00497524"/>
    <w:rsid w:val="004A101B"/>
    <w:rsid w:val="004A20AB"/>
    <w:rsid w:val="004A50DA"/>
    <w:rsid w:val="004A7599"/>
    <w:rsid w:val="004A7CD7"/>
    <w:rsid w:val="004B0225"/>
    <w:rsid w:val="004B1B30"/>
    <w:rsid w:val="004B5AF2"/>
    <w:rsid w:val="004B7615"/>
    <w:rsid w:val="004C499E"/>
    <w:rsid w:val="004C4EC9"/>
    <w:rsid w:val="004C5965"/>
    <w:rsid w:val="004D2762"/>
    <w:rsid w:val="004E27C5"/>
    <w:rsid w:val="004E5196"/>
    <w:rsid w:val="004E6A44"/>
    <w:rsid w:val="004E74C7"/>
    <w:rsid w:val="004F0124"/>
    <w:rsid w:val="004F284B"/>
    <w:rsid w:val="004F599D"/>
    <w:rsid w:val="004F6F4C"/>
    <w:rsid w:val="00500218"/>
    <w:rsid w:val="0050210D"/>
    <w:rsid w:val="0050555B"/>
    <w:rsid w:val="00506575"/>
    <w:rsid w:val="00513628"/>
    <w:rsid w:val="00515B58"/>
    <w:rsid w:val="00516E14"/>
    <w:rsid w:val="0051724D"/>
    <w:rsid w:val="005229FE"/>
    <w:rsid w:val="00523668"/>
    <w:rsid w:val="00532AA7"/>
    <w:rsid w:val="00532C96"/>
    <w:rsid w:val="0053313A"/>
    <w:rsid w:val="005343DA"/>
    <w:rsid w:val="00535227"/>
    <w:rsid w:val="005364B0"/>
    <w:rsid w:val="00536F45"/>
    <w:rsid w:val="00542FCB"/>
    <w:rsid w:val="0054462A"/>
    <w:rsid w:val="00547CD0"/>
    <w:rsid w:val="005516F2"/>
    <w:rsid w:val="005529E8"/>
    <w:rsid w:val="005578DC"/>
    <w:rsid w:val="00564AF2"/>
    <w:rsid w:val="005740C1"/>
    <w:rsid w:val="00574F4F"/>
    <w:rsid w:val="00575297"/>
    <w:rsid w:val="00577B49"/>
    <w:rsid w:val="00585A59"/>
    <w:rsid w:val="00586B22"/>
    <w:rsid w:val="00591C9A"/>
    <w:rsid w:val="00592A35"/>
    <w:rsid w:val="00593ABA"/>
    <w:rsid w:val="00597A38"/>
    <w:rsid w:val="005A095D"/>
    <w:rsid w:val="005A191F"/>
    <w:rsid w:val="005A1B30"/>
    <w:rsid w:val="005A4D49"/>
    <w:rsid w:val="005A545D"/>
    <w:rsid w:val="005B0499"/>
    <w:rsid w:val="005B270F"/>
    <w:rsid w:val="005B2FA0"/>
    <w:rsid w:val="005B3688"/>
    <w:rsid w:val="005B39B8"/>
    <w:rsid w:val="005B5DB9"/>
    <w:rsid w:val="005B6DE0"/>
    <w:rsid w:val="005B733D"/>
    <w:rsid w:val="005B7F9F"/>
    <w:rsid w:val="005C2E91"/>
    <w:rsid w:val="005C31A5"/>
    <w:rsid w:val="005C4BBD"/>
    <w:rsid w:val="005D0653"/>
    <w:rsid w:val="005D40DE"/>
    <w:rsid w:val="005D62AF"/>
    <w:rsid w:val="005D6958"/>
    <w:rsid w:val="005E1BEB"/>
    <w:rsid w:val="005E3EFD"/>
    <w:rsid w:val="005E5968"/>
    <w:rsid w:val="005E5C04"/>
    <w:rsid w:val="005F072D"/>
    <w:rsid w:val="005F09BB"/>
    <w:rsid w:val="005F1631"/>
    <w:rsid w:val="005F3433"/>
    <w:rsid w:val="005F37C2"/>
    <w:rsid w:val="005F78DD"/>
    <w:rsid w:val="005F7E0F"/>
    <w:rsid w:val="0060044F"/>
    <w:rsid w:val="00602E3E"/>
    <w:rsid w:val="006120C7"/>
    <w:rsid w:val="00613A5F"/>
    <w:rsid w:val="00613EF7"/>
    <w:rsid w:val="006163ED"/>
    <w:rsid w:val="006165F3"/>
    <w:rsid w:val="00620F8A"/>
    <w:rsid w:val="006210A5"/>
    <w:rsid w:val="00623333"/>
    <w:rsid w:val="00625FD9"/>
    <w:rsid w:val="006325BA"/>
    <w:rsid w:val="00635DAA"/>
    <w:rsid w:val="00637440"/>
    <w:rsid w:val="0063751C"/>
    <w:rsid w:val="00640EA8"/>
    <w:rsid w:val="00642346"/>
    <w:rsid w:val="00642356"/>
    <w:rsid w:val="00643461"/>
    <w:rsid w:val="006461B0"/>
    <w:rsid w:val="00646725"/>
    <w:rsid w:val="006504AA"/>
    <w:rsid w:val="00651775"/>
    <w:rsid w:val="006524EF"/>
    <w:rsid w:val="00654023"/>
    <w:rsid w:val="0066226D"/>
    <w:rsid w:val="00662E08"/>
    <w:rsid w:val="00663A0B"/>
    <w:rsid w:val="00665940"/>
    <w:rsid w:val="00665FCF"/>
    <w:rsid w:val="00675AED"/>
    <w:rsid w:val="00680D71"/>
    <w:rsid w:val="00681419"/>
    <w:rsid w:val="0068214B"/>
    <w:rsid w:val="00684DAF"/>
    <w:rsid w:val="00685EBE"/>
    <w:rsid w:val="006909F0"/>
    <w:rsid w:val="00690E74"/>
    <w:rsid w:val="006917B4"/>
    <w:rsid w:val="0069282D"/>
    <w:rsid w:val="00697835"/>
    <w:rsid w:val="006A05DF"/>
    <w:rsid w:val="006A4765"/>
    <w:rsid w:val="006A5304"/>
    <w:rsid w:val="006A5A8A"/>
    <w:rsid w:val="006A66A3"/>
    <w:rsid w:val="006A7A58"/>
    <w:rsid w:val="006B0810"/>
    <w:rsid w:val="006B1500"/>
    <w:rsid w:val="006B2B57"/>
    <w:rsid w:val="006B66EC"/>
    <w:rsid w:val="006C2B84"/>
    <w:rsid w:val="006C5CAA"/>
    <w:rsid w:val="006C632F"/>
    <w:rsid w:val="006D050C"/>
    <w:rsid w:val="006D6D7B"/>
    <w:rsid w:val="006E6002"/>
    <w:rsid w:val="006E7D6E"/>
    <w:rsid w:val="006F4A89"/>
    <w:rsid w:val="006F66BF"/>
    <w:rsid w:val="006F7358"/>
    <w:rsid w:val="00703D56"/>
    <w:rsid w:val="0070619F"/>
    <w:rsid w:val="007074EA"/>
    <w:rsid w:val="00711B55"/>
    <w:rsid w:val="00712436"/>
    <w:rsid w:val="007214BE"/>
    <w:rsid w:val="007218CF"/>
    <w:rsid w:val="00721A79"/>
    <w:rsid w:val="007222B3"/>
    <w:rsid w:val="00724390"/>
    <w:rsid w:val="00725CCC"/>
    <w:rsid w:val="00727C5A"/>
    <w:rsid w:val="00732915"/>
    <w:rsid w:val="00734CC4"/>
    <w:rsid w:val="00735422"/>
    <w:rsid w:val="00737741"/>
    <w:rsid w:val="00740C46"/>
    <w:rsid w:val="00746448"/>
    <w:rsid w:val="007513E1"/>
    <w:rsid w:val="00751462"/>
    <w:rsid w:val="00763F41"/>
    <w:rsid w:val="00770F11"/>
    <w:rsid w:val="00776344"/>
    <w:rsid w:val="00780192"/>
    <w:rsid w:val="00782858"/>
    <w:rsid w:val="0078509B"/>
    <w:rsid w:val="00786961"/>
    <w:rsid w:val="007903A3"/>
    <w:rsid w:val="00791E76"/>
    <w:rsid w:val="007937D3"/>
    <w:rsid w:val="00793DC4"/>
    <w:rsid w:val="00793EE0"/>
    <w:rsid w:val="0079430A"/>
    <w:rsid w:val="007944C0"/>
    <w:rsid w:val="00795D53"/>
    <w:rsid w:val="00796DF1"/>
    <w:rsid w:val="007A0819"/>
    <w:rsid w:val="007A45D4"/>
    <w:rsid w:val="007A522C"/>
    <w:rsid w:val="007B0B3B"/>
    <w:rsid w:val="007B0B7A"/>
    <w:rsid w:val="007B2C60"/>
    <w:rsid w:val="007B2F6E"/>
    <w:rsid w:val="007B3198"/>
    <w:rsid w:val="007B3E5F"/>
    <w:rsid w:val="007B401E"/>
    <w:rsid w:val="007B42B5"/>
    <w:rsid w:val="007B6252"/>
    <w:rsid w:val="007C06F8"/>
    <w:rsid w:val="007C0DDB"/>
    <w:rsid w:val="007C3FF1"/>
    <w:rsid w:val="007C57F5"/>
    <w:rsid w:val="007C5CD4"/>
    <w:rsid w:val="007C6315"/>
    <w:rsid w:val="007C755F"/>
    <w:rsid w:val="007C75E2"/>
    <w:rsid w:val="007D03F9"/>
    <w:rsid w:val="007D3D54"/>
    <w:rsid w:val="007E2F48"/>
    <w:rsid w:val="007E3D3F"/>
    <w:rsid w:val="007E4B1A"/>
    <w:rsid w:val="007E6D1B"/>
    <w:rsid w:val="007E7082"/>
    <w:rsid w:val="007F2462"/>
    <w:rsid w:val="007F56C4"/>
    <w:rsid w:val="007F6E45"/>
    <w:rsid w:val="00801402"/>
    <w:rsid w:val="0081118A"/>
    <w:rsid w:val="008123AD"/>
    <w:rsid w:val="00817781"/>
    <w:rsid w:val="0082125C"/>
    <w:rsid w:val="00821347"/>
    <w:rsid w:val="008218E3"/>
    <w:rsid w:val="0082730A"/>
    <w:rsid w:val="008273F8"/>
    <w:rsid w:val="00830D1C"/>
    <w:rsid w:val="0083606E"/>
    <w:rsid w:val="008368A5"/>
    <w:rsid w:val="00837C2C"/>
    <w:rsid w:val="0084189F"/>
    <w:rsid w:val="00841AE1"/>
    <w:rsid w:val="00842456"/>
    <w:rsid w:val="00842832"/>
    <w:rsid w:val="00844BA3"/>
    <w:rsid w:val="00845127"/>
    <w:rsid w:val="008454B9"/>
    <w:rsid w:val="008501DF"/>
    <w:rsid w:val="00850B0D"/>
    <w:rsid w:val="008562EF"/>
    <w:rsid w:val="0085688D"/>
    <w:rsid w:val="00860057"/>
    <w:rsid w:val="00860D86"/>
    <w:rsid w:val="00863211"/>
    <w:rsid w:val="0086668F"/>
    <w:rsid w:val="00867913"/>
    <w:rsid w:val="008701E5"/>
    <w:rsid w:val="008710A3"/>
    <w:rsid w:val="00872763"/>
    <w:rsid w:val="0087283F"/>
    <w:rsid w:val="00872BC7"/>
    <w:rsid w:val="00872C31"/>
    <w:rsid w:val="00874635"/>
    <w:rsid w:val="0087493A"/>
    <w:rsid w:val="00881192"/>
    <w:rsid w:val="00884E5D"/>
    <w:rsid w:val="008863E5"/>
    <w:rsid w:val="00886880"/>
    <w:rsid w:val="00886DDC"/>
    <w:rsid w:val="00887BAC"/>
    <w:rsid w:val="00887FBC"/>
    <w:rsid w:val="00890EA8"/>
    <w:rsid w:val="008913F2"/>
    <w:rsid w:val="00891D99"/>
    <w:rsid w:val="00892864"/>
    <w:rsid w:val="00892929"/>
    <w:rsid w:val="008941EE"/>
    <w:rsid w:val="00894B07"/>
    <w:rsid w:val="008A10AB"/>
    <w:rsid w:val="008A2754"/>
    <w:rsid w:val="008A33CA"/>
    <w:rsid w:val="008A5203"/>
    <w:rsid w:val="008A5899"/>
    <w:rsid w:val="008B1ACE"/>
    <w:rsid w:val="008B6021"/>
    <w:rsid w:val="008C519C"/>
    <w:rsid w:val="008C7441"/>
    <w:rsid w:val="008C76EC"/>
    <w:rsid w:val="008D2082"/>
    <w:rsid w:val="008D2621"/>
    <w:rsid w:val="008D2C54"/>
    <w:rsid w:val="008D3B51"/>
    <w:rsid w:val="008D3B57"/>
    <w:rsid w:val="008D4767"/>
    <w:rsid w:val="008D5E35"/>
    <w:rsid w:val="008E080D"/>
    <w:rsid w:val="008E0A93"/>
    <w:rsid w:val="008E2389"/>
    <w:rsid w:val="008E34E2"/>
    <w:rsid w:val="008E38AB"/>
    <w:rsid w:val="008E394F"/>
    <w:rsid w:val="008E4820"/>
    <w:rsid w:val="008F0AB2"/>
    <w:rsid w:val="008F0DA3"/>
    <w:rsid w:val="008F138E"/>
    <w:rsid w:val="008F1F32"/>
    <w:rsid w:val="008F2058"/>
    <w:rsid w:val="008F5794"/>
    <w:rsid w:val="008F5F9C"/>
    <w:rsid w:val="008F7E12"/>
    <w:rsid w:val="00900732"/>
    <w:rsid w:val="009032C3"/>
    <w:rsid w:val="009053C8"/>
    <w:rsid w:val="009115DA"/>
    <w:rsid w:val="009158F8"/>
    <w:rsid w:val="00921DA9"/>
    <w:rsid w:val="00924318"/>
    <w:rsid w:val="009255DE"/>
    <w:rsid w:val="00930090"/>
    <w:rsid w:val="00930645"/>
    <w:rsid w:val="009365EC"/>
    <w:rsid w:val="00937793"/>
    <w:rsid w:val="009428E5"/>
    <w:rsid w:val="0094339F"/>
    <w:rsid w:val="00943B8D"/>
    <w:rsid w:val="009443D1"/>
    <w:rsid w:val="009449C5"/>
    <w:rsid w:val="0094698A"/>
    <w:rsid w:val="009477AB"/>
    <w:rsid w:val="00952F06"/>
    <w:rsid w:val="0095329C"/>
    <w:rsid w:val="00953734"/>
    <w:rsid w:val="00953D31"/>
    <w:rsid w:val="009554C7"/>
    <w:rsid w:val="009556DF"/>
    <w:rsid w:val="0096014A"/>
    <w:rsid w:val="00960285"/>
    <w:rsid w:val="00965074"/>
    <w:rsid w:val="00965264"/>
    <w:rsid w:val="00965E5D"/>
    <w:rsid w:val="009677D5"/>
    <w:rsid w:val="00977B8A"/>
    <w:rsid w:val="00977F18"/>
    <w:rsid w:val="009806D2"/>
    <w:rsid w:val="00983375"/>
    <w:rsid w:val="00983431"/>
    <w:rsid w:val="00983C29"/>
    <w:rsid w:val="009843AC"/>
    <w:rsid w:val="00985BF2"/>
    <w:rsid w:val="009864F8"/>
    <w:rsid w:val="0098760F"/>
    <w:rsid w:val="009876AD"/>
    <w:rsid w:val="00990D5E"/>
    <w:rsid w:val="00991BE8"/>
    <w:rsid w:val="009973AB"/>
    <w:rsid w:val="009A0520"/>
    <w:rsid w:val="009A0883"/>
    <w:rsid w:val="009A0ACE"/>
    <w:rsid w:val="009A1243"/>
    <w:rsid w:val="009A206A"/>
    <w:rsid w:val="009A4005"/>
    <w:rsid w:val="009A46F2"/>
    <w:rsid w:val="009A4EE4"/>
    <w:rsid w:val="009B14E3"/>
    <w:rsid w:val="009B530D"/>
    <w:rsid w:val="009B5626"/>
    <w:rsid w:val="009C10A8"/>
    <w:rsid w:val="009C17D7"/>
    <w:rsid w:val="009C1C34"/>
    <w:rsid w:val="009C5167"/>
    <w:rsid w:val="009C592F"/>
    <w:rsid w:val="009C5CE9"/>
    <w:rsid w:val="009C682D"/>
    <w:rsid w:val="009D17C6"/>
    <w:rsid w:val="009D31FD"/>
    <w:rsid w:val="009D40A3"/>
    <w:rsid w:val="009D49FF"/>
    <w:rsid w:val="009D5C0E"/>
    <w:rsid w:val="009E2009"/>
    <w:rsid w:val="009E26F7"/>
    <w:rsid w:val="009E438E"/>
    <w:rsid w:val="009E5D16"/>
    <w:rsid w:val="009E5DC3"/>
    <w:rsid w:val="009F00B3"/>
    <w:rsid w:val="009F0F1D"/>
    <w:rsid w:val="009F6A1A"/>
    <w:rsid w:val="00A0034A"/>
    <w:rsid w:val="00A0276E"/>
    <w:rsid w:val="00A027CA"/>
    <w:rsid w:val="00A06A41"/>
    <w:rsid w:val="00A10993"/>
    <w:rsid w:val="00A1260B"/>
    <w:rsid w:val="00A1322B"/>
    <w:rsid w:val="00A13C3B"/>
    <w:rsid w:val="00A22405"/>
    <w:rsid w:val="00A25404"/>
    <w:rsid w:val="00A256B3"/>
    <w:rsid w:val="00A258D0"/>
    <w:rsid w:val="00A25E7D"/>
    <w:rsid w:val="00A263F4"/>
    <w:rsid w:val="00A3447C"/>
    <w:rsid w:val="00A36282"/>
    <w:rsid w:val="00A3652D"/>
    <w:rsid w:val="00A365E3"/>
    <w:rsid w:val="00A36950"/>
    <w:rsid w:val="00A41E5C"/>
    <w:rsid w:val="00A42C7D"/>
    <w:rsid w:val="00A45482"/>
    <w:rsid w:val="00A50C1E"/>
    <w:rsid w:val="00A51143"/>
    <w:rsid w:val="00A538B5"/>
    <w:rsid w:val="00A55865"/>
    <w:rsid w:val="00A55EA2"/>
    <w:rsid w:val="00A56B4F"/>
    <w:rsid w:val="00A60D25"/>
    <w:rsid w:val="00A6244C"/>
    <w:rsid w:val="00A628B7"/>
    <w:rsid w:val="00A63622"/>
    <w:rsid w:val="00A65A62"/>
    <w:rsid w:val="00A66F6A"/>
    <w:rsid w:val="00A70094"/>
    <w:rsid w:val="00A74FA9"/>
    <w:rsid w:val="00A7547D"/>
    <w:rsid w:val="00A77110"/>
    <w:rsid w:val="00A801A0"/>
    <w:rsid w:val="00A8094B"/>
    <w:rsid w:val="00A83229"/>
    <w:rsid w:val="00A83594"/>
    <w:rsid w:val="00A8743F"/>
    <w:rsid w:val="00A97AA4"/>
    <w:rsid w:val="00AA0419"/>
    <w:rsid w:val="00AA293E"/>
    <w:rsid w:val="00AA3365"/>
    <w:rsid w:val="00AA4163"/>
    <w:rsid w:val="00AA5500"/>
    <w:rsid w:val="00AA7347"/>
    <w:rsid w:val="00AA7F53"/>
    <w:rsid w:val="00AB1B45"/>
    <w:rsid w:val="00AB208B"/>
    <w:rsid w:val="00AB3A6A"/>
    <w:rsid w:val="00AB60C1"/>
    <w:rsid w:val="00AB6EC9"/>
    <w:rsid w:val="00AC3E7E"/>
    <w:rsid w:val="00AC5E0E"/>
    <w:rsid w:val="00AC6301"/>
    <w:rsid w:val="00AD5619"/>
    <w:rsid w:val="00AD5871"/>
    <w:rsid w:val="00AD7C01"/>
    <w:rsid w:val="00AD7F64"/>
    <w:rsid w:val="00AE002C"/>
    <w:rsid w:val="00AE4851"/>
    <w:rsid w:val="00AE5752"/>
    <w:rsid w:val="00AF012C"/>
    <w:rsid w:val="00AF131E"/>
    <w:rsid w:val="00AF1E27"/>
    <w:rsid w:val="00AF3E86"/>
    <w:rsid w:val="00AF772D"/>
    <w:rsid w:val="00B004A1"/>
    <w:rsid w:val="00B015E7"/>
    <w:rsid w:val="00B017BF"/>
    <w:rsid w:val="00B0267F"/>
    <w:rsid w:val="00B12F4A"/>
    <w:rsid w:val="00B12FEC"/>
    <w:rsid w:val="00B13C13"/>
    <w:rsid w:val="00B1437E"/>
    <w:rsid w:val="00B14B10"/>
    <w:rsid w:val="00B1765A"/>
    <w:rsid w:val="00B1765C"/>
    <w:rsid w:val="00B17AAC"/>
    <w:rsid w:val="00B20BE2"/>
    <w:rsid w:val="00B21419"/>
    <w:rsid w:val="00B21747"/>
    <w:rsid w:val="00B24701"/>
    <w:rsid w:val="00B27048"/>
    <w:rsid w:val="00B322FB"/>
    <w:rsid w:val="00B32F27"/>
    <w:rsid w:val="00B34485"/>
    <w:rsid w:val="00B34ED8"/>
    <w:rsid w:val="00B4379F"/>
    <w:rsid w:val="00B45D8B"/>
    <w:rsid w:val="00B46256"/>
    <w:rsid w:val="00B46732"/>
    <w:rsid w:val="00B4799D"/>
    <w:rsid w:val="00B47CC8"/>
    <w:rsid w:val="00B47E6A"/>
    <w:rsid w:val="00B52AE7"/>
    <w:rsid w:val="00B53016"/>
    <w:rsid w:val="00B53462"/>
    <w:rsid w:val="00B56364"/>
    <w:rsid w:val="00B57519"/>
    <w:rsid w:val="00B57F6E"/>
    <w:rsid w:val="00B60DC7"/>
    <w:rsid w:val="00B61091"/>
    <w:rsid w:val="00B64371"/>
    <w:rsid w:val="00B657CD"/>
    <w:rsid w:val="00B658F8"/>
    <w:rsid w:val="00B7060C"/>
    <w:rsid w:val="00B7235C"/>
    <w:rsid w:val="00B74616"/>
    <w:rsid w:val="00B753BF"/>
    <w:rsid w:val="00B75AF2"/>
    <w:rsid w:val="00B75DDD"/>
    <w:rsid w:val="00B76033"/>
    <w:rsid w:val="00B7665F"/>
    <w:rsid w:val="00B77266"/>
    <w:rsid w:val="00B81321"/>
    <w:rsid w:val="00B87AEC"/>
    <w:rsid w:val="00B90591"/>
    <w:rsid w:val="00B907FA"/>
    <w:rsid w:val="00B909C2"/>
    <w:rsid w:val="00B930FB"/>
    <w:rsid w:val="00B934B9"/>
    <w:rsid w:val="00B94EF0"/>
    <w:rsid w:val="00BA1462"/>
    <w:rsid w:val="00BA19E0"/>
    <w:rsid w:val="00BA3FF2"/>
    <w:rsid w:val="00BA6DB2"/>
    <w:rsid w:val="00BA7CC9"/>
    <w:rsid w:val="00BB393E"/>
    <w:rsid w:val="00BB4955"/>
    <w:rsid w:val="00BB5FD5"/>
    <w:rsid w:val="00BB7057"/>
    <w:rsid w:val="00BB7E71"/>
    <w:rsid w:val="00BC088F"/>
    <w:rsid w:val="00BC0C64"/>
    <w:rsid w:val="00BC5CF3"/>
    <w:rsid w:val="00BD03AA"/>
    <w:rsid w:val="00BD0E24"/>
    <w:rsid w:val="00BD0FDE"/>
    <w:rsid w:val="00BD1405"/>
    <w:rsid w:val="00BD1854"/>
    <w:rsid w:val="00BD47BC"/>
    <w:rsid w:val="00BD4BE5"/>
    <w:rsid w:val="00BD5971"/>
    <w:rsid w:val="00BD6C40"/>
    <w:rsid w:val="00BD7735"/>
    <w:rsid w:val="00BE2BF0"/>
    <w:rsid w:val="00BE2D07"/>
    <w:rsid w:val="00BE5228"/>
    <w:rsid w:val="00BE6334"/>
    <w:rsid w:val="00BF19F7"/>
    <w:rsid w:val="00BF72F1"/>
    <w:rsid w:val="00BF757D"/>
    <w:rsid w:val="00C00535"/>
    <w:rsid w:val="00C02443"/>
    <w:rsid w:val="00C0666C"/>
    <w:rsid w:val="00C07F32"/>
    <w:rsid w:val="00C17604"/>
    <w:rsid w:val="00C17A04"/>
    <w:rsid w:val="00C2123F"/>
    <w:rsid w:val="00C219AB"/>
    <w:rsid w:val="00C21B5E"/>
    <w:rsid w:val="00C224B6"/>
    <w:rsid w:val="00C23DDD"/>
    <w:rsid w:val="00C24384"/>
    <w:rsid w:val="00C24905"/>
    <w:rsid w:val="00C269B2"/>
    <w:rsid w:val="00C27906"/>
    <w:rsid w:val="00C279DB"/>
    <w:rsid w:val="00C31A9B"/>
    <w:rsid w:val="00C322FB"/>
    <w:rsid w:val="00C32DDE"/>
    <w:rsid w:val="00C3425C"/>
    <w:rsid w:val="00C34BCC"/>
    <w:rsid w:val="00C34DC5"/>
    <w:rsid w:val="00C35AB9"/>
    <w:rsid w:val="00C36A84"/>
    <w:rsid w:val="00C37311"/>
    <w:rsid w:val="00C379BE"/>
    <w:rsid w:val="00C40680"/>
    <w:rsid w:val="00C4128C"/>
    <w:rsid w:val="00C41CDA"/>
    <w:rsid w:val="00C43628"/>
    <w:rsid w:val="00C4367D"/>
    <w:rsid w:val="00C4556E"/>
    <w:rsid w:val="00C45D70"/>
    <w:rsid w:val="00C46358"/>
    <w:rsid w:val="00C47E3A"/>
    <w:rsid w:val="00C521FB"/>
    <w:rsid w:val="00C53546"/>
    <w:rsid w:val="00C5579D"/>
    <w:rsid w:val="00C61CE0"/>
    <w:rsid w:val="00C70BD6"/>
    <w:rsid w:val="00C72FEC"/>
    <w:rsid w:val="00C7409A"/>
    <w:rsid w:val="00C74E9F"/>
    <w:rsid w:val="00C75882"/>
    <w:rsid w:val="00C76E69"/>
    <w:rsid w:val="00C77097"/>
    <w:rsid w:val="00C81B3B"/>
    <w:rsid w:val="00C81DC8"/>
    <w:rsid w:val="00C865FC"/>
    <w:rsid w:val="00C86DEF"/>
    <w:rsid w:val="00C92EF0"/>
    <w:rsid w:val="00C93460"/>
    <w:rsid w:val="00C944EE"/>
    <w:rsid w:val="00C96638"/>
    <w:rsid w:val="00C96D82"/>
    <w:rsid w:val="00C9781A"/>
    <w:rsid w:val="00CA0ACD"/>
    <w:rsid w:val="00CA5B03"/>
    <w:rsid w:val="00CA6576"/>
    <w:rsid w:val="00CA6AD4"/>
    <w:rsid w:val="00CA71A9"/>
    <w:rsid w:val="00CB12DD"/>
    <w:rsid w:val="00CB147B"/>
    <w:rsid w:val="00CB21FC"/>
    <w:rsid w:val="00CB2346"/>
    <w:rsid w:val="00CB426A"/>
    <w:rsid w:val="00CB48F9"/>
    <w:rsid w:val="00CB5A89"/>
    <w:rsid w:val="00CC2493"/>
    <w:rsid w:val="00CC25A1"/>
    <w:rsid w:val="00CC3ECF"/>
    <w:rsid w:val="00CC7163"/>
    <w:rsid w:val="00CD019C"/>
    <w:rsid w:val="00CD0262"/>
    <w:rsid w:val="00CD3F0D"/>
    <w:rsid w:val="00CD64AF"/>
    <w:rsid w:val="00CE1090"/>
    <w:rsid w:val="00CE1322"/>
    <w:rsid w:val="00CE758C"/>
    <w:rsid w:val="00CF0DB7"/>
    <w:rsid w:val="00CF59DB"/>
    <w:rsid w:val="00CF5C0C"/>
    <w:rsid w:val="00CF6CD6"/>
    <w:rsid w:val="00D03031"/>
    <w:rsid w:val="00D032DE"/>
    <w:rsid w:val="00D033AA"/>
    <w:rsid w:val="00D05A0E"/>
    <w:rsid w:val="00D0679D"/>
    <w:rsid w:val="00D07338"/>
    <w:rsid w:val="00D1021B"/>
    <w:rsid w:val="00D144B4"/>
    <w:rsid w:val="00D14829"/>
    <w:rsid w:val="00D179B3"/>
    <w:rsid w:val="00D214B3"/>
    <w:rsid w:val="00D24318"/>
    <w:rsid w:val="00D325A1"/>
    <w:rsid w:val="00D34776"/>
    <w:rsid w:val="00D34D1E"/>
    <w:rsid w:val="00D35A7A"/>
    <w:rsid w:val="00D370BB"/>
    <w:rsid w:val="00D372DA"/>
    <w:rsid w:val="00D421A9"/>
    <w:rsid w:val="00D46AE6"/>
    <w:rsid w:val="00D502E2"/>
    <w:rsid w:val="00D503F0"/>
    <w:rsid w:val="00D50FC0"/>
    <w:rsid w:val="00D51C49"/>
    <w:rsid w:val="00D5307C"/>
    <w:rsid w:val="00D5412A"/>
    <w:rsid w:val="00D57C1D"/>
    <w:rsid w:val="00D57EC1"/>
    <w:rsid w:val="00D6432B"/>
    <w:rsid w:val="00D651A3"/>
    <w:rsid w:val="00D654A3"/>
    <w:rsid w:val="00D65D8D"/>
    <w:rsid w:val="00D6629B"/>
    <w:rsid w:val="00D704FF"/>
    <w:rsid w:val="00D7092D"/>
    <w:rsid w:val="00D740B6"/>
    <w:rsid w:val="00D766CA"/>
    <w:rsid w:val="00D76C34"/>
    <w:rsid w:val="00D77343"/>
    <w:rsid w:val="00D80930"/>
    <w:rsid w:val="00D81840"/>
    <w:rsid w:val="00D81C1E"/>
    <w:rsid w:val="00D82BA1"/>
    <w:rsid w:val="00D92181"/>
    <w:rsid w:val="00D94C67"/>
    <w:rsid w:val="00D97E88"/>
    <w:rsid w:val="00DA12AC"/>
    <w:rsid w:val="00DA4E62"/>
    <w:rsid w:val="00DB3AD8"/>
    <w:rsid w:val="00DB573C"/>
    <w:rsid w:val="00DB6940"/>
    <w:rsid w:val="00DB6FF4"/>
    <w:rsid w:val="00DB709C"/>
    <w:rsid w:val="00DC36E2"/>
    <w:rsid w:val="00DC3A0D"/>
    <w:rsid w:val="00DD0CDD"/>
    <w:rsid w:val="00DD1181"/>
    <w:rsid w:val="00DD5487"/>
    <w:rsid w:val="00DD7088"/>
    <w:rsid w:val="00DE053D"/>
    <w:rsid w:val="00DE0791"/>
    <w:rsid w:val="00DE0938"/>
    <w:rsid w:val="00DE27AB"/>
    <w:rsid w:val="00DE2F7D"/>
    <w:rsid w:val="00DE48D7"/>
    <w:rsid w:val="00DE4EEF"/>
    <w:rsid w:val="00DE6247"/>
    <w:rsid w:val="00DE6A04"/>
    <w:rsid w:val="00DF250D"/>
    <w:rsid w:val="00DF3C64"/>
    <w:rsid w:val="00DF3C71"/>
    <w:rsid w:val="00DF4B3B"/>
    <w:rsid w:val="00DF5EA2"/>
    <w:rsid w:val="00DF647B"/>
    <w:rsid w:val="00DF674F"/>
    <w:rsid w:val="00DF6D41"/>
    <w:rsid w:val="00DF70A3"/>
    <w:rsid w:val="00DF732A"/>
    <w:rsid w:val="00E00D39"/>
    <w:rsid w:val="00E01336"/>
    <w:rsid w:val="00E02553"/>
    <w:rsid w:val="00E06285"/>
    <w:rsid w:val="00E107FA"/>
    <w:rsid w:val="00E128DB"/>
    <w:rsid w:val="00E1762C"/>
    <w:rsid w:val="00E2236B"/>
    <w:rsid w:val="00E266D2"/>
    <w:rsid w:val="00E26A08"/>
    <w:rsid w:val="00E27033"/>
    <w:rsid w:val="00E312C3"/>
    <w:rsid w:val="00E3153B"/>
    <w:rsid w:val="00E317C2"/>
    <w:rsid w:val="00E31839"/>
    <w:rsid w:val="00E34F58"/>
    <w:rsid w:val="00E355F6"/>
    <w:rsid w:val="00E37279"/>
    <w:rsid w:val="00E40535"/>
    <w:rsid w:val="00E43E59"/>
    <w:rsid w:val="00E43F0B"/>
    <w:rsid w:val="00E45CF8"/>
    <w:rsid w:val="00E462B2"/>
    <w:rsid w:val="00E5093E"/>
    <w:rsid w:val="00E52522"/>
    <w:rsid w:val="00E53346"/>
    <w:rsid w:val="00E53DA6"/>
    <w:rsid w:val="00E56A61"/>
    <w:rsid w:val="00E61399"/>
    <w:rsid w:val="00E62712"/>
    <w:rsid w:val="00E66494"/>
    <w:rsid w:val="00E7005A"/>
    <w:rsid w:val="00E71478"/>
    <w:rsid w:val="00E73E06"/>
    <w:rsid w:val="00E75AC7"/>
    <w:rsid w:val="00E75CFE"/>
    <w:rsid w:val="00E811E4"/>
    <w:rsid w:val="00E83E76"/>
    <w:rsid w:val="00E84022"/>
    <w:rsid w:val="00E8566B"/>
    <w:rsid w:val="00E86503"/>
    <w:rsid w:val="00E86B91"/>
    <w:rsid w:val="00E931F0"/>
    <w:rsid w:val="00E95A63"/>
    <w:rsid w:val="00E96CA1"/>
    <w:rsid w:val="00EA3117"/>
    <w:rsid w:val="00EA457D"/>
    <w:rsid w:val="00EA5DDA"/>
    <w:rsid w:val="00EB1DEC"/>
    <w:rsid w:val="00EB2C20"/>
    <w:rsid w:val="00EB3725"/>
    <w:rsid w:val="00EB3BE0"/>
    <w:rsid w:val="00EB491E"/>
    <w:rsid w:val="00EB5D0A"/>
    <w:rsid w:val="00EC3F57"/>
    <w:rsid w:val="00EC476C"/>
    <w:rsid w:val="00EC4D6C"/>
    <w:rsid w:val="00EC5745"/>
    <w:rsid w:val="00EC57FF"/>
    <w:rsid w:val="00ED039A"/>
    <w:rsid w:val="00ED65BC"/>
    <w:rsid w:val="00ED6C76"/>
    <w:rsid w:val="00EE1AE7"/>
    <w:rsid w:val="00EE2138"/>
    <w:rsid w:val="00EE2DA7"/>
    <w:rsid w:val="00EE3108"/>
    <w:rsid w:val="00EE382F"/>
    <w:rsid w:val="00EE4ADE"/>
    <w:rsid w:val="00EE5EA2"/>
    <w:rsid w:val="00EF211B"/>
    <w:rsid w:val="00EF4325"/>
    <w:rsid w:val="00F0054B"/>
    <w:rsid w:val="00F0136B"/>
    <w:rsid w:val="00F01B6C"/>
    <w:rsid w:val="00F01F82"/>
    <w:rsid w:val="00F02C96"/>
    <w:rsid w:val="00F03F1F"/>
    <w:rsid w:val="00F04018"/>
    <w:rsid w:val="00F04210"/>
    <w:rsid w:val="00F10E40"/>
    <w:rsid w:val="00F11483"/>
    <w:rsid w:val="00F11B60"/>
    <w:rsid w:val="00F13459"/>
    <w:rsid w:val="00F1600C"/>
    <w:rsid w:val="00F167FF"/>
    <w:rsid w:val="00F16E43"/>
    <w:rsid w:val="00F16F58"/>
    <w:rsid w:val="00F1729A"/>
    <w:rsid w:val="00F22BD1"/>
    <w:rsid w:val="00F24144"/>
    <w:rsid w:val="00F24D1B"/>
    <w:rsid w:val="00F30400"/>
    <w:rsid w:val="00F3154A"/>
    <w:rsid w:val="00F34DBE"/>
    <w:rsid w:val="00F40C0C"/>
    <w:rsid w:val="00F43D20"/>
    <w:rsid w:val="00F44159"/>
    <w:rsid w:val="00F4521D"/>
    <w:rsid w:val="00F453C4"/>
    <w:rsid w:val="00F47A96"/>
    <w:rsid w:val="00F526A3"/>
    <w:rsid w:val="00F54A1F"/>
    <w:rsid w:val="00F55AEF"/>
    <w:rsid w:val="00F55E87"/>
    <w:rsid w:val="00F60C04"/>
    <w:rsid w:val="00F67173"/>
    <w:rsid w:val="00F70479"/>
    <w:rsid w:val="00F71D35"/>
    <w:rsid w:val="00F7394E"/>
    <w:rsid w:val="00F7519D"/>
    <w:rsid w:val="00F7775D"/>
    <w:rsid w:val="00F832AE"/>
    <w:rsid w:val="00F84030"/>
    <w:rsid w:val="00F848E7"/>
    <w:rsid w:val="00F904F5"/>
    <w:rsid w:val="00F94CE7"/>
    <w:rsid w:val="00F95A0F"/>
    <w:rsid w:val="00F962DA"/>
    <w:rsid w:val="00F97867"/>
    <w:rsid w:val="00FA151D"/>
    <w:rsid w:val="00FB34F0"/>
    <w:rsid w:val="00FB5792"/>
    <w:rsid w:val="00FB6471"/>
    <w:rsid w:val="00FB7A4D"/>
    <w:rsid w:val="00FB7FFB"/>
    <w:rsid w:val="00FC001B"/>
    <w:rsid w:val="00FC1630"/>
    <w:rsid w:val="00FC51F7"/>
    <w:rsid w:val="00FC77AB"/>
    <w:rsid w:val="00FC7E35"/>
    <w:rsid w:val="00FD1E05"/>
    <w:rsid w:val="00FD55A7"/>
    <w:rsid w:val="00FD7942"/>
    <w:rsid w:val="00FE1138"/>
    <w:rsid w:val="00FE534F"/>
    <w:rsid w:val="00FE59DA"/>
    <w:rsid w:val="00FF04A3"/>
    <w:rsid w:val="00FF1E93"/>
    <w:rsid w:val="00FF2B36"/>
    <w:rsid w:val="00FF3200"/>
    <w:rsid w:val="00FF4C58"/>
    <w:rsid w:val="00FF795F"/>
    <w:rsid w:val="043F50B3"/>
    <w:rsid w:val="095AE28A"/>
    <w:rsid w:val="21BBCBC4"/>
    <w:rsid w:val="43EC381A"/>
    <w:rsid w:val="49302807"/>
    <w:rsid w:val="56406891"/>
    <w:rsid w:val="68CA38FC"/>
    <w:rsid w:val="6C974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docId w15:val="{D1885092-956B-4F4B-8471-112B1A38E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D54"/>
    <w:rPr>
      <w:rFonts w:ascii="Sylfaen" w:hAnsi="Sylfaen"/>
    </w:rPr>
  </w:style>
  <w:style w:type="paragraph" w:styleId="Heading1">
    <w:name w:val="heading 1"/>
    <w:aliases w:val="ESJ Heading 1"/>
    <w:basedOn w:val="Normal"/>
    <w:next w:val="Normal"/>
    <w:link w:val="Heading1Char"/>
    <w:autoRedefine/>
    <w:uiPriority w:val="9"/>
    <w:rsid w:val="00DF250D"/>
    <w:pPr>
      <w:keepNext/>
      <w:keepLines/>
      <w:spacing w:before="240" w:after="160"/>
      <w:outlineLvl w:val="0"/>
    </w:pPr>
    <w:rPr>
      <w:rFonts w:eastAsiaTheme="majorEastAsia" w:cstheme="majorBidi"/>
      <w:b/>
      <w:color w:val="000000" w:themeColor="text1"/>
      <w:sz w:val="24"/>
      <w:szCs w:val="36"/>
    </w:rPr>
  </w:style>
  <w:style w:type="paragraph" w:styleId="Heading2">
    <w:name w:val="heading 2"/>
    <w:basedOn w:val="Normal"/>
    <w:next w:val="Normal"/>
    <w:link w:val="Heading2Char"/>
    <w:uiPriority w:val="9"/>
    <w:unhideWhenUsed/>
    <w:qFormat/>
    <w:rsid w:val="00CF5C0C"/>
    <w:pPr>
      <w:keepNext/>
      <w:keepLines/>
      <w:spacing w:before="240" w:after="16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CF5C0C"/>
    <w:pPr>
      <w:keepNext/>
      <w:keepLines/>
      <w:spacing w:before="240" w:after="160" w:line="240" w:lineRule="auto"/>
      <w:outlineLvl w:val="2"/>
    </w:pPr>
    <w:rPr>
      <w:rFonts w:eastAsiaTheme="majorEastAsia" w:cstheme="majorBidi"/>
      <w:b/>
      <w:i/>
      <w:color w:val="000000" w:themeColor="text1"/>
      <w:sz w:val="24"/>
      <w:szCs w:val="24"/>
    </w:rPr>
  </w:style>
  <w:style w:type="paragraph" w:styleId="Heading4">
    <w:name w:val="heading 4"/>
    <w:basedOn w:val="Normal"/>
    <w:next w:val="Normal"/>
    <w:link w:val="Heading4Char"/>
    <w:uiPriority w:val="9"/>
    <w:unhideWhenUsed/>
    <w:qFormat/>
    <w:rsid w:val="00CF5C0C"/>
    <w:pPr>
      <w:keepNext/>
      <w:keepLines/>
      <w:spacing w:before="240" w:after="160" w:line="240" w:lineRule="auto"/>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20"/>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aliases w:val="ESJ Heading 1 Char"/>
    <w:basedOn w:val="DefaultParagraphFont"/>
    <w:link w:val="Heading1"/>
    <w:uiPriority w:val="9"/>
    <w:rsid w:val="00DF250D"/>
    <w:rPr>
      <w:rFonts w:ascii="Sylfaen" w:eastAsiaTheme="majorEastAsia" w:hAnsi="Sylfaen" w:cstheme="majorBidi"/>
      <w:b/>
      <w:color w:val="000000" w:themeColor="text1"/>
      <w:sz w:val="24"/>
      <w:szCs w:val="36"/>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CF5C0C"/>
    <w:rPr>
      <w:rFonts w:ascii="Sylfaen" w:eastAsiaTheme="majorEastAsia" w:hAnsi="Sylfaen" w:cstheme="majorBidi"/>
      <w:b/>
      <w:color w:val="000000" w:themeColor="text1"/>
      <w:sz w:val="24"/>
      <w:szCs w:val="26"/>
    </w:rPr>
  </w:style>
  <w:style w:type="character" w:customStyle="1" w:styleId="Heading3Char">
    <w:name w:val="Heading 3 Char"/>
    <w:basedOn w:val="DefaultParagraphFont"/>
    <w:link w:val="Heading3"/>
    <w:uiPriority w:val="9"/>
    <w:rsid w:val="00CF5C0C"/>
    <w:rPr>
      <w:rFonts w:ascii="Sylfaen" w:eastAsiaTheme="majorEastAsia" w:hAnsi="Sylfaen" w:cstheme="majorBidi"/>
      <w:b/>
      <w:i/>
      <w:color w:val="000000" w:themeColor="text1"/>
      <w:sz w:val="24"/>
      <w:szCs w:val="24"/>
    </w:rPr>
  </w:style>
  <w:style w:type="character" w:styleId="Hyperlink">
    <w:name w:val="Hyperlink"/>
    <w:basedOn w:val="DefaultParagraphFont"/>
    <w:uiPriority w:val="99"/>
    <w:unhideWhenUsed/>
    <w:rsid w:val="00FE534F"/>
    <w:rPr>
      <w:color w:val="0000FF" w:themeColor="hyperlink"/>
      <w:u w:val="single"/>
    </w:rPr>
  </w:style>
  <w:style w:type="character" w:styleId="UnresolvedMention">
    <w:name w:val="Unresolved Mention"/>
    <w:basedOn w:val="DefaultParagraphFont"/>
    <w:uiPriority w:val="99"/>
    <w:semiHidden/>
    <w:unhideWhenUsed/>
    <w:rsid w:val="00FE534F"/>
    <w:rPr>
      <w:color w:val="605E5C"/>
      <w:shd w:val="clear" w:color="auto" w:fill="E1DFDD"/>
    </w:rPr>
  </w:style>
  <w:style w:type="paragraph" w:styleId="ListParagraph">
    <w:name w:val="List Paragraph"/>
    <w:basedOn w:val="Normal"/>
    <w:uiPriority w:val="34"/>
    <w:qFormat/>
    <w:rsid w:val="00FE534F"/>
    <w:pPr>
      <w:ind w:left="720"/>
      <w:contextualSpacing/>
    </w:pPr>
  </w:style>
  <w:style w:type="character" w:customStyle="1" w:styleId="Heading4Char">
    <w:name w:val="Heading 4 Char"/>
    <w:basedOn w:val="DefaultParagraphFont"/>
    <w:link w:val="Heading4"/>
    <w:uiPriority w:val="9"/>
    <w:rsid w:val="00CF5C0C"/>
    <w:rPr>
      <w:rFonts w:ascii="Sylfaen" w:eastAsiaTheme="majorEastAsia" w:hAnsi="Sylfaen" w:cstheme="majorBidi"/>
      <w:iCs/>
      <w:sz w:val="24"/>
    </w:rPr>
  </w:style>
  <w:style w:type="paragraph" w:customStyle="1" w:styleId="Footnote">
    <w:name w:val="Footnote"/>
    <w:basedOn w:val="Normal"/>
    <w:qFormat/>
    <w:rsid w:val="00240A04"/>
    <w:pPr>
      <w:spacing w:after="0" w:line="240" w:lineRule="auto"/>
    </w:pPr>
    <w:rPr>
      <w:sz w:val="20"/>
    </w:rPr>
  </w:style>
  <w:style w:type="paragraph" w:styleId="NormalWeb">
    <w:name w:val="Normal (Web)"/>
    <w:basedOn w:val="Normal"/>
    <w:uiPriority w:val="99"/>
    <w:unhideWhenUsed/>
    <w:rsid w:val="008F5794"/>
    <w:pPr>
      <w:autoSpaceDE w:val="0"/>
      <w:autoSpaceDN w:val="0"/>
      <w:adjustRightInd w:val="0"/>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character" w:styleId="Strong">
    <w:name w:val="Strong"/>
    <w:basedOn w:val="DefaultParagraphFont"/>
    <w:uiPriority w:val="22"/>
    <w:qFormat/>
    <w:rsid w:val="008F5794"/>
    <w:rPr>
      <w:b/>
      <w:bCs/>
    </w:rPr>
  </w:style>
  <w:style w:type="character" w:styleId="FollowedHyperlink">
    <w:name w:val="FollowedHyperlink"/>
    <w:basedOn w:val="DefaultParagraphFont"/>
    <w:uiPriority w:val="99"/>
    <w:semiHidden/>
    <w:unhideWhenUsed/>
    <w:rsid w:val="00A256B3"/>
    <w:rPr>
      <w:color w:val="800080" w:themeColor="followedHyperlink"/>
      <w:u w:val="single"/>
    </w:rPr>
  </w:style>
  <w:style w:type="table" w:styleId="TableGridLight">
    <w:name w:val="Grid Table Light"/>
    <w:basedOn w:val="TableNormal"/>
    <w:uiPriority w:val="40"/>
    <w:rsid w:val="008273F8"/>
    <w:pPr>
      <w:spacing w:after="0" w:line="240" w:lineRule="auto"/>
    </w:pPr>
    <w:rPr>
      <w:kern w:val="2"/>
      <w:sz w:val="24"/>
      <w:szCs w:val="24"/>
      <w:lang w:val="en-IE"/>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9A0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6F5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86928278">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42686253">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reativecommons.org/licenses/by/4.0/deed.e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doi.org/10.5526/esj.449" TargetMode="External"/><Relationship Id="rId1" Type="http://schemas.openxmlformats.org/officeDocument/2006/relationships/hyperlink" Target="https://creativecommons.org/licenses/by/4.0/deed.e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doi.org/10.5526/esj.449" TargetMode="External"/><Relationship Id="rId1" Type="http://schemas.openxmlformats.org/officeDocument/2006/relationships/hyperlink" Target="https://creativecommons.org/licenses/by/4.0/dee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4170</Words>
  <Characters>23772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Crago, Hannah R</cp:lastModifiedBy>
  <cp:revision>2</cp:revision>
  <cp:lastPrinted>2025-08-18T20:13:00Z</cp:lastPrinted>
  <dcterms:created xsi:type="dcterms:W3CDTF">2026-06-23T13:48:00Z</dcterms:created>
  <dcterms:modified xsi:type="dcterms:W3CDTF">2026-06-23T13:48:00Z</dcterms:modified>
</cp:coreProperties>
</file>