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204CB" w14:textId="31F5F39E" w:rsidR="00A538B5" w:rsidRPr="00A538B5" w:rsidRDefault="005F5041" w:rsidP="00B322FB">
      <w:pPr>
        <w:pBdr>
          <w:bottom w:val="single" w:sz="4" w:space="1" w:color="auto"/>
        </w:pBdr>
        <w:tabs>
          <w:tab w:val="right" w:pos="9026"/>
        </w:tabs>
        <w:spacing w:after="160"/>
        <w:rPr>
          <w:i/>
        </w:rPr>
      </w:pPr>
      <w:r>
        <w:rPr>
          <w:i/>
        </w:rPr>
        <w:t>Systematic Literature Review</w:t>
      </w:r>
      <w:r w:rsidR="00990D5E">
        <w:rPr>
          <w:i/>
        </w:rPr>
        <w:t xml:space="preserve"> </w:t>
      </w:r>
      <w:r w:rsidR="00A538B5">
        <w:rPr>
          <w:i/>
        </w:rPr>
        <w:tab/>
      </w:r>
    </w:p>
    <w:p w14:paraId="0736152B" w14:textId="47289AEE" w:rsidR="00240FC1" w:rsidRPr="00664D82" w:rsidRDefault="005F5041" w:rsidP="00664D82">
      <w:pPr>
        <w:pStyle w:val="Title"/>
        <w:spacing w:after="160"/>
        <w:rPr>
          <w:rFonts w:ascii="Sylfaen" w:hAnsi="Sylfaen"/>
        </w:rPr>
      </w:pPr>
      <w:r w:rsidRPr="005F5041">
        <w:rPr>
          <w:rFonts w:ascii="Sylfaen" w:hAnsi="Sylfaen"/>
          <w:sz w:val="48"/>
        </w:rPr>
        <w:t>Primary drivers for teenagers’ illegal hacking, as evidenced by criminological literature from the pas</w:t>
      </w:r>
      <w:r w:rsidRPr="00CB7E63">
        <w:rPr>
          <w:rFonts w:ascii="Sylfaen" w:hAnsi="Sylfaen"/>
          <w:sz w:val="48"/>
        </w:rPr>
        <w:t>t five years</w:t>
      </w:r>
      <w:r w:rsidR="00CB7E63" w:rsidRPr="00CB7E63">
        <w:rPr>
          <w:rFonts w:ascii="Sylfaen" w:hAnsi="Sylfaen"/>
          <w:sz w:val="48"/>
          <w:lang w:val="en-IE"/>
        </w:rPr>
        <w:t>: A systematic literature review</w:t>
      </w:r>
    </w:p>
    <w:p w14:paraId="71365AC5" w14:textId="2C57B076" w:rsidR="00664D82" w:rsidRDefault="00B52F07" w:rsidP="00B45D8B">
      <w:pPr>
        <w:pBdr>
          <w:bottom w:val="single" w:sz="4" w:space="1" w:color="auto"/>
        </w:pBdr>
        <w:spacing w:after="160"/>
      </w:pPr>
      <w:r w:rsidRPr="00B52F07">
        <w:t>Antonina Savka</w:t>
      </w:r>
    </w:p>
    <w:p w14:paraId="2A35EB5D" w14:textId="7FC63042" w:rsidR="002B247D" w:rsidRPr="00331418" w:rsidRDefault="002B247D" w:rsidP="00B45D8B">
      <w:pPr>
        <w:pBdr>
          <w:bottom w:val="single" w:sz="4" w:space="1" w:color="auto"/>
        </w:pBdr>
        <w:spacing w:after="160"/>
      </w:pPr>
      <w:r w:rsidRPr="00331418">
        <w:t>University of Essex</w:t>
      </w:r>
      <w:r w:rsidR="005F5041">
        <w:t xml:space="preserve"> Online</w:t>
      </w:r>
    </w:p>
    <w:p w14:paraId="42AE1F70" w14:textId="44BF30BC" w:rsidR="00240FC1" w:rsidRPr="00B45D8B" w:rsidRDefault="00331418" w:rsidP="00CF5C0C">
      <w:pPr>
        <w:pStyle w:val="Heading2"/>
        <w:rPr>
          <w:sz w:val="36"/>
        </w:rPr>
      </w:pPr>
      <w:r w:rsidRPr="00B45D8B">
        <w:t>Abstract</w:t>
      </w:r>
    </w:p>
    <w:p w14:paraId="76B6FDC8" w14:textId="23095C01" w:rsidR="00327AD6" w:rsidRPr="00331418" w:rsidRDefault="00327AD6" w:rsidP="00327AD6">
      <w:pPr>
        <w:spacing w:after="160"/>
        <w:ind w:left="720"/>
        <w:jc w:val="both"/>
      </w:pPr>
      <w:r w:rsidRPr="00F539C7">
        <w:t>From the traumatic experience victims face due to an intrusion into their private world to expensive ransomware needed to protect both data and national security, the impact of hacking has shown steady growth in recent years. Nevertheless, policy recommendations concerning this topic remain controversial. Despite ample empirical research in cybercrime deterrence, the motivations behind teenage hacking are lacking and require further study. Th</w:t>
      </w:r>
      <w:r w:rsidR="00D505B8">
        <w:t>e current</w:t>
      </w:r>
      <w:r w:rsidRPr="00F539C7">
        <w:t xml:space="preserve"> systematic literature review aimed to examine this gap and, thus, contribute to policy improvements. The relevant literature was selected from four scholarly databases through the application of inclusion and exclusion criteria to identify the main themes used to explain cyber-dependent crime among teenagers. Among the reviewed literature, six main themes emerged: internal motivators as a natural characteristic of this age group, seduction by attractive opportunities to hack, masculinity, the criminal nature of hackers, the need for social acceptance, and weak social bonds. While the theme of internal motives was predominant, the theme of weak social bonds as an instigator in hacking was neither supported nor disproved due to the conflicting findings. The review concluded by acknowledging the limitations and advising on the policy implications and further research.</w:t>
      </w:r>
    </w:p>
    <w:p w14:paraId="37B73D13" w14:textId="4618969B" w:rsidR="002B247D" w:rsidRDefault="00240FC1" w:rsidP="00B322FB">
      <w:pPr>
        <w:spacing w:after="160" w:line="360" w:lineRule="auto"/>
      </w:pPr>
      <w:r w:rsidRPr="00ED039A">
        <w:rPr>
          <w:rStyle w:val="Heading1Char"/>
          <w:color w:val="auto"/>
          <w:sz w:val="22"/>
        </w:rPr>
        <w:t>Keywords:</w:t>
      </w:r>
      <w:r w:rsidRPr="00331418">
        <w:t xml:space="preserve"> </w:t>
      </w:r>
      <w:r w:rsidR="00130454" w:rsidRPr="00130454">
        <w:t>cybercrime, hacking, motivation, systematic literature review, teenagers</w:t>
      </w:r>
    </w:p>
    <w:p w14:paraId="7B6F00C3" w14:textId="42CD1963" w:rsidR="043F50B3" w:rsidRDefault="043F50B3" w:rsidP="00A57F57">
      <w:pPr>
        <w:spacing w:after="160" w:line="360" w:lineRule="auto"/>
      </w:pPr>
      <w:r w:rsidRPr="043F50B3">
        <w:rPr>
          <w:b/>
          <w:bCs/>
        </w:rPr>
        <w:t>Date of Submission:</w:t>
      </w:r>
      <w:r>
        <w:t xml:space="preserve"> </w:t>
      </w:r>
      <w:r w:rsidR="00B52F07">
        <w:t>28</w:t>
      </w:r>
      <w:r>
        <w:t>.</w:t>
      </w:r>
      <w:r w:rsidR="00B52F07">
        <w:t>04</w:t>
      </w:r>
      <w:r>
        <w:t>.</w:t>
      </w:r>
      <w:r w:rsidR="00B52F07">
        <w:t>2025</w:t>
      </w:r>
      <w:r w:rsidR="095AE28A">
        <w:tab/>
      </w:r>
      <w:r w:rsidR="095AE28A">
        <w:tab/>
      </w:r>
      <w:r w:rsidR="095AE28A">
        <w:tab/>
      </w:r>
      <w:r w:rsidRPr="043F50B3">
        <w:rPr>
          <w:b/>
          <w:bCs/>
        </w:rPr>
        <w:t>Date of Acceptance:</w:t>
      </w:r>
      <w:r>
        <w:t xml:space="preserve"> </w:t>
      </w:r>
      <w:r w:rsidR="00B52F07">
        <w:t>01</w:t>
      </w:r>
      <w:r>
        <w:t>.</w:t>
      </w:r>
      <w:r w:rsidR="00B52F07">
        <w:t>10</w:t>
      </w:r>
      <w:r>
        <w:t>.</w:t>
      </w:r>
      <w:r w:rsidR="00B52F07">
        <w:t>2025</w:t>
      </w:r>
    </w:p>
    <w:p w14:paraId="55306EC3" w14:textId="66FA62AE" w:rsidR="095AE28A" w:rsidRDefault="043F50B3" w:rsidP="043F50B3">
      <w:pPr>
        <w:pStyle w:val="Heading2"/>
      </w:pPr>
      <w:r>
        <w:t>Acknowledgements</w:t>
      </w:r>
    </w:p>
    <w:p w14:paraId="0133C38A" w14:textId="0A71C36C" w:rsidR="6C974F71" w:rsidRDefault="00226312" w:rsidP="6C974F71">
      <w:pPr>
        <w:rPr>
          <w:i/>
          <w:iCs/>
        </w:rPr>
      </w:pPr>
      <w:r w:rsidRPr="00226312">
        <w:rPr>
          <w:i/>
          <w:iCs/>
        </w:rPr>
        <w:t>I would like to thank Dr Christine Weirich for inspiration</w:t>
      </w:r>
      <w:r w:rsidR="00154016">
        <w:rPr>
          <w:i/>
          <w:iCs/>
        </w:rPr>
        <w:t xml:space="preserve"> and</w:t>
      </w:r>
      <w:r w:rsidRPr="00226312">
        <w:rPr>
          <w:i/>
          <w:iCs/>
        </w:rPr>
        <w:t xml:space="preserve"> guidance.</w:t>
      </w:r>
    </w:p>
    <w:p w14:paraId="6D2D5942" w14:textId="77777777" w:rsidR="00664D82" w:rsidRPr="00664D82" w:rsidRDefault="00664D82" w:rsidP="6C974F71">
      <w:pPr>
        <w:rPr>
          <w:i/>
          <w:iCs/>
        </w:rPr>
      </w:pPr>
    </w:p>
    <w:p w14:paraId="52D13D17" w14:textId="497E855D" w:rsidR="00A10993" w:rsidRPr="001463E9" w:rsidRDefault="00D76687" w:rsidP="00A57F57">
      <w:pPr>
        <w:pStyle w:val="Heading2"/>
      </w:pPr>
      <w:r w:rsidRPr="00D76687">
        <w:lastRenderedPageBreak/>
        <w:t>1. Introduction</w:t>
      </w:r>
    </w:p>
    <w:p w14:paraId="12CC6BA0" w14:textId="77777777" w:rsidR="00BA14D7" w:rsidRPr="00BA14D7" w:rsidRDefault="00BA14D7" w:rsidP="00A57F57">
      <w:pPr>
        <w:spacing w:after="160"/>
        <w:jc w:val="both"/>
        <w:rPr>
          <w:lang w:val="en-IE"/>
        </w:rPr>
      </w:pPr>
      <w:r w:rsidRPr="00BA14D7">
        <w:rPr>
          <w:lang w:val="en-IE"/>
        </w:rPr>
        <w:t>Since its emergence in the past century, cybercrimes have evolved in different forms, shifting offensive physical behaviour to the virtual realm (</w:t>
      </w:r>
      <w:proofErr w:type="spellStart"/>
      <w:r w:rsidRPr="00BA14D7">
        <w:rPr>
          <w:lang w:val="en-IE"/>
        </w:rPr>
        <w:t>Tcherni</w:t>
      </w:r>
      <w:proofErr w:type="spellEnd"/>
      <w:r w:rsidRPr="00BA14D7">
        <w:rPr>
          <w:lang w:val="en-IE"/>
        </w:rPr>
        <w:t xml:space="preserve"> </w:t>
      </w:r>
      <w:r w:rsidRPr="00860531">
        <w:rPr>
          <w:i/>
          <w:iCs/>
          <w:lang w:val="en-IE"/>
        </w:rPr>
        <w:t>et al.</w:t>
      </w:r>
      <w:r w:rsidRPr="00BA14D7">
        <w:rPr>
          <w:lang w:val="en-IE"/>
        </w:rPr>
        <w:t xml:space="preserve">, 2015). Its advantages in remoteness and anonymity, in combination with poor cybersecurity and availability of technical skills, may seduce those who would not commit a crime in the physical world to offend online (Goldsmith and Wall, 2022). In fact, </w:t>
      </w:r>
      <w:proofErr w:type="spellStart"/>
      <w:r w:rsidRPr="00BA14D7">
        <w:rPr>
          <w:lang w:val="en-IE"/>
        </w:rPr>
        <w:t>Rokven</w:t>
      </w:r>
      <w:proofErr w:type="spellEnd"/>
      <w:r w:rsidRPr="00BA14D7">
        <w:rPr>
          <w:lang w:val="en-IE"/>
        </w:rPr>
        <w:t xml:space="preserve"> </w:t>
      </w:r>
      <w:r w:rsidRPr="00860531">
        <w:rPr>
          <w:i/>
          <w:iCs/>
          <w:lang w:val="en-IE"/>
        </w:rPr>
        <w:t>et al.</w:t>
      </w:r>
      <w:r w:rsidRPr="00BA14D7">
        <w:rPr>
          <w:lang w:val="en-IE"/>
        </w:rPr>
        <w:t xml:space="preserve"> (2018) identified two subgroups of cybercrime: cyber-enabled and cyber-dependent. Cyber-enabled crime (such as cyberbullying, online fraud, and similar) usually mirrors an offline offence on the Internet. In contrast, cyber-dependent crime (such as hacking) is impossible outside of computers, and its impact resembles that of organised crime (Choo and Grabosky, 2014). For example, in 2021, a cyberattack on the Irish Health System exposed the private population data of close to 90,000 patients, causing ongoing distress to all affected (HSE, 2023). From a financial perspective, the most expensive cyberattack, known as </w:t>
      </w:r>
      <w:proofErr w:type="spellStart"/>
      <w:r w:rsidRPr="00BA14D7">
        <w:rPr>
          <w:lang w:val="en-IE"/>
        </w:rPr>
        <w:t>NotPetya</w:t>
      </w:r>
      <w:proofErr w:type="spellEnd"/>
      <w:r w:rsidRPr="00BA14D7">
        <w:rPr>
          <w:lang w:val="en-IE"/>
        </w:rPr>
        <w:t>, was committed in 2017 across multiple countries and caused damage of ten billion dollars (Steinberg, Stepan and Neary, 2021).</w:t>
      </w:r>
    </w:p>
    <w:p w14:paraId="47499B36" w14:textId="6D3441D6" w:rsidR="00BA14D7" w:rsidRPr="00BA14D7" w:rsidRDefault="00BA14D7" w:rsidP="00A57F57">
      <w:pPr>
        <w:spacing w:after="160"/>
        <w:jc w:val="both"/>
        <w:rPr>
          <w:lang w:val="en-IE"/>
        </w:rPr>
      </w:pPr>
      <w:r w:rsidRPr="00BA14D7">
        <w:rPr>
          <w:lang w:val="en-IE"/>
        </w:rPr>
        <w:t xml:space="preserve">Obviously, such a diversity of cybercrimes and the scale of their impact requires a thoughtful policymaking approach (Holt </w:t>
      </w:r>
      <w:r w:rsidRPr="00860531">
        <w:rPr>
          <w:i/>
          <w:iCs/>
          <w:lang w:val="en-IE"/>
        </w:rPr>
        <w:t>et al.</w:t>
      </w:r>
      <w:r w:rsidRPr="00BA14D7">
        <w:rPr>
          <w:lang w:val="en-IE"/>
        </w:rPr>
        <w:t xml:space="preserve">, 2021). However, </w:t>
      </w:r>
      <w:proofErr w:type="spellStart"/>
      <w:r w:rsidRPr="00BA14D7">
        <w:rPr>
          <w:lang w:val="en-IE"/>
        </w:rPr>
        <w:t>Soesanto</w:t>
      </w:r>
      <w:proofErr w:type="spellEnd"/>
      <w:r w:rsidRPr="00BA14D7">
        <w:rPr>
          <w:lang w:val="en-IE"/>
        </w:rPr>
        <w:t xml:space="preserve"> and Smeets (2021) noted that there is no agreement between scholars on recommendations. In fact, they identified three groups of different opinions on cybercrime policy: (1) the existing policies for offline crimes should be applied to cybercrimes due to their similarity, (2) cybercrimes are unique and require a different deterrence approach, and (3) cybercrimes cannot be deterred. In addition, studies like Goldsmith and Wall (2022) and Lee and Holt (2020) show an early onset at the age when an offender is unlikely to be </w:t>
      </w:r>
      <w:proofErr w:type="gramStart"/>
      <w:r w:rsidRPr="00BA14D7">
        <w:rPr>
          <w:lang w:val="en-IE"/>
        </w:rPr>
        <w:t>prosecuted</w:t>
      </w:r>
      <w:r w:rsidR="00D505B8">
        <w:rPr>
          <w:lang w:val="en-IE"/>
        </w:rPr>
        <w:t>,</w:t>
      </w:r>
      <w:r w:rsidR="00017AE4">
        <w:rPr>
          <w:lang w:val="en-IE"/>
        </w:rPr>
        <w:t xml:space="preserve"> </w:t>
      </w:r>
      <w:r w:rsidRPr="00BA14D7">
        <w:rPr>
          <w:lang w:val="en-IE"/>
        </w:rPr>
        <w:t>but</w:t>
      </w:r>
      <w:proofErr w:type="gramEnd"/>
      <w:r w:rsidRPr="00BA14D7">
        <w:rPr>
          <w:lang w:val="en-IE"/>
        </w:rPr>
        <w:t xml:space="preserve"> rarely address this factor when advising on policy. </w:t>
      </w:r>
      <w:proofErr w:type="spellStart"/>
      <w:r w:rsidRPr="00BA14D7">
        <w:rPr>
          <w:lang w:val="en-IE"/>
        </w:rPr>
        <w:t>Soesanto</w:t>
      </w:r>
      <w:proofErr w:type="spellEnd"/>
      <w:r w:rsidRPr="00BA14D7">
        <w:rPr>
          <w:lang w:val="en-IE"/>
        </w:rPr>
        <w:t xml:space="preserve"> and Smeets (2021) suggested that the issue is in the misapplication of the deterrence concept to cybercrime. Thus, to understand which deterrence policy is effective, policymakers must first understand what motivates adolescents to make their first hacking attempt.</w:t>
      </w:r>
    </w:p>
    <w:p w14:paraId="6BA259DA" w14:textId="6DD44865" w:rsidR="00A10993" w:rsidRDefault="00BA14D7" w:rsidP="00A57F57">
      <w:pPr>
        <w:spacing w:after="160"/>
        <w:jc w:val="both"/>
      </w:pPr>
      <w:r w:rsidRPr="00BA14D7">
        <w:rPr>
          <w:lang w:val="en-IE"/>
        </w:rPr>
        <w:t xml:space="preserve">The contemporary literature explains hackers’ motivation at different levels, from defining hackers’ typology to focusing on a particular subgroup’s motives. For example, Chng </w:t>
      </w:r>
      <w:r w:rsidRPr="00860531">
        <w:rPr>
          <w:i/>
          <w:iCs/>
          <w:lang w:val="en-IE"/>
        </w:rPr>
        <w:t>et al.</w:t>
      </w:r>
      <w:r w:rsidRPr="00BA14D7">
        <w:rPr>
          <w:lang w:val="en-IE"/>
        </w:rPr>
        <w:t xml:space="preserve"> (2022) aggregated hackers into thirteen groups (novices, cyberpunks, insiders, old guards, professionals, hacktivists, nation states, students, petty thieves, digital pirates, online sex offenders, </w:t>
      </w:r>
      <w:proofErr w:type="spellStart"/>
      <w:r w:rsidRPr="00BA14D7">
        <w:rPr>
          <w:lang w:val="en-IE"/>
        </w:rPr>
        <w:t>crowdsourcers</w:t>
      </w:r>
      <w:proofErr w:type="spellEnd"/>
      <w:r w:rsidRPr="00BA14D7">
        <w:rPr>
          <w:lang w:val="en-IE"/>
        </w:rPr>
        <w:t xml:space="preserve">, and crime facilitators) which are driven by seven primary motives (curiosity, financial, notoriety, revenge, recreation, ideology, and sex impulses). They found financial and revenge motives to be prevailing. Meanwhile, </w:t>
      </w:r>
      <w:proofErr w:type="spellStart"/>
      <w:r w:rsidRPr="00BA14D7">
        <w:rPr>
          <w:lang w:val="en-IE"/>
        </w:rPr>
        <w:t>Weulen</w:t>
      </w:r>
      <w:proofErr w:type="spellEnd"/>
      <w:r w:rsidRPr="00BA14D7">
        <w:rPr>
          <w:lang w:val="en-IE"/>
        </w:rPr>
        <w:t xml:space="preserve"> </w:t>
      </w:r>
      <w:proofErr w:type="spellStart"/>
      <w:r w:rsidRPr="00BA14D7">
        <w:rPr>
          <w:lang w:val="en-IE"/>
        </w:rPr>
        <w:t>Kranenbarg</w:t>
      </w:r>
      <w:proofErr w:type="spellEnd"/>
      <w:r w:rsidRPr="00BA14D7">
        <w:rPr>
          <w:lang w:val="en-IE"/>
        </w:rPr>
        <w:t xml:space="preserve"> (2021) highlighted the domination of intrinsic motives as the main differentiator between online and offline offenders. However, the limitation of contemporary studies is their focus on experienced successful hackers, leaving a gap in understanding why teenagers choose this path in the first place. Hence, to address this oversight and support policymaking decisions, the current systematic literature review aims to identify the main themes used to explain cyber-dependent crime among young people. </w:t>
      </w:r>
      <w:proofErr w:type="gramStart"/>
      <w:r w:rsidRPr="00BA14D7">
        <w:rPr>
          <w:lang w:val="en-IE"/>
        </w:rPr>
        <w:t>In particular, this</w:t>
      </w:r>
      <w:proofErr w:type="gramEnd"/>
      <w:r w:rsidRPr="00BA14D7">
        <w:rPr>
          <w:lang w:val="en-IE"/>
        </w:rPr>
        <w:t xml:space="preserve"> research will identify what primarily drives teenagers to commit illegal hacking. While acknowledging the limitations, it will conclude by advising on the policy implications and further research.</w:t>
      </w:r>
    </w:p>
    <w:p w14:paraId="77E41B60" w14:textId="77777777" w:rsidR="009543C7" w:rsidRPr="0029239F" w:rsidRDefault="009543C7" w:rsidP="00A57F57">
      <w:pPr>
        <w:pStyle w:val="Heading2"/>
      </w:pPr>
      <w:r w:rsidRPr="0029239F">
        <w:lastRenderedPageBreak/>
        <w:t>2. Methodology</w:t>
      </w:r>
    </w:p>
    <w:p w14:paraId="04FB3920" w14:textId="77777777" w:rsidR="009543C7" w:rsidRPr="0029239F" w:rsidRDefault="009543C7" w:rsidP="00A57F57">
      <w:pPr>
        <w:pStyle w:val="Heading3"/>
        <w:spacing w:line="276" w:lineRule="auto"/>
      </w:pPr>
      <w:r w:rsidRPr="0029239F">
        <w:t>2.1. Inclusion and exclusion criteria</w:t>
      </w:r>
    </w:p>
    <w:p w14:paraId="34CB2EDB" w14:textId="46221F7A" w:rsidR="009543C7" w:rsidRPr="009543C7" w:rsidRDefault="009543C7" w:rsidP="00A57F57">
      <w:pPr>
        <w:spacing w:after="160"/>
        <w:jc w:val="both"/>
        <w:rPr>
          <w:lang w:val="en-IE"/>
        </w:rPr>
      </w:pPr>
      <w:r w:rsidRPr="009543C7">
        <w:rPr>
          <w:lang w:val="en-IE"/>
        </w:rPr>
        <w:t xml:space="preserve">With the increased diversity of cybercrime, the research focus on this subject has also been dispersed (Parder, </w:t>
      </w:r>
      <w:proofErr w:type="spellStart"/>
      <w:r w:rsidRPr="009543C7">
        <w:rPr>
          <w:lang w:val="en-IE"/>
        </w:rPr>
        <w:t>Gryffroy</w:t>
      </w:r>
      <w:proofErr w:type="spellEnd"/>
      <w:r w:rsidRPr="009543C7">
        <w:rPr>
          <w:lang w:val="en-IE"/>
        </w:rPr>
        <w:t xml:space="preserve"> and Juurik, 2024). Interestingly, while early research prevalently concentrates on hacking, due to the growing popularity of social media, the focus has since shifted to cyber-enabled crimes such as cyberbullying, identity fraud</w:t>
      </w:r>
      <w:r w:rsidR="00CA1D6B">
        <w:rPr>
          <w:lang w:val="en-IE"/>
        </w:rPr>
        <w:t>,</w:t>
      </w:r>
      <w:r w:rsidRPr="009543C7">
        <w:rPr>
          <w:lang w:val="en-IE"/>
        </w:rPr>
        <w:t xml:space="preserve"> and online stalking (</w:t>
      </w:r>
      <w:proofErr w:type="spellStart"/>
      <w:r w:rsidRPr="009543C7">
        <w:rPr>
          <w:lang w:val="en-IE"/>
        </w:rPr>
        <w:t>Rokven</w:t>
      </w:r>
      <w:proofErr w:type="spellEnd"/>
      <w:r w:rsidRPr="009543C7">
        <w:rPr>
          <w:lang w:val="en-IE"/>
        </w:rPr>
        <w:t xml:space="preserve"> </w:t>
      </w:r>
      <w:r w:rsidRPr="004C1D26">
        <w:rPr>
          <w:i/>
          <w:iCs/>
          <w:lang w:val="en-IE"/>
        </w:rPr>
        <w:t>et al.</w:t>
      </w:r>
      <w:r w:rsidRPr="009543C7">
        <w:rPr>
          <w:lang w:val="en-IE"/>
        </w:rPr>
        <w:t>, 2018). Hence, hacking was selected as a subject of this review for a couple of reasons: first, cyber-dependent crime relies on rapidly evolving technologies and technical skills, which, over time, may change the primary drivers for hacking; second, compared to cyber-enabled crime, hacking poses a significant threat (</w:t>
      </w:r>
      <w:proofErr w:type="spellStart"/>
      <w:r w:rsidRPr="009543C7">
        <w:rPr>
          <w:lang w:val="en-IE"/>
        </w:rPr>
        <w:t>Szpor</w:t>
      </w:r>
      <w:proofErr w:type="spellEnd"/>
      <w:r w:rsidRPr="009543C7">
        <w:rPr>
          <w:lang w:val="en-IE"/>
        </w:rPr>
        <w:t xml:space="preserve"> and </w:t>
      </w:r>
      <w:proofErr w:type="spellStart"/>
      <w:r w:rsidRPr="009543C7">
        <w:rPr>
          <w:lang w:val="en-IE"/>
        </w:rPr>
        <w:t>Gryszczyńska</w:t>
      </w:r>
      <w:proofErr w:type="spellEnd"/>
      <w:r w:rsidRPr="009543C7">
        <w:rPr>
          <w:lang w:val="en-IE"/>
        </w:rPr>
        <w:t xml:space="preserve">, 2022). </w:t>
      </w:r>
    </w:p>
    <w:p w14:paraId="71D1642B" w14:textId="77777777" w:rsidR="009543C7" w:rsidRPr="009543C7" w:rsidRDefault="009543C7" w:rsidP="00A57F57">
      <w:pPr>
        <w:spacing w:after="160"/>
        <w:jc w:val="both"/>
        <w:rPr>
          <w:lang w:val="en-IE"/>
        </w:rPr>
      </w:pPr>
      <w:r w:rsidRPr="009543C7">
        <w:rPr>
          <w:lang w:val="en-IE"/>
        </w:rPr>
        <w:t>This systematic literature review is focused on teenagers motivated by the age-related phenomenon of cybercrimes: an early onset by the age of 12, with more severe hacks being committed in late teens (Lee and Holt, 2020). In addition, the nature of cybercrime allows hackers to operate from anywhere worldwide (Choo and Grabosky, 2014). Therefore, this study includes research done in any country of the world. Further, as hackers turn to the most recent technologies, it is tempting to assume that the research concerning hackers should keep up with the rapid evolution of these technologies (</w:t>
      </w:r>
      <w:proofErr w:type="spellStart"/>
      <w:r w:rsidRPr="009543C7">
        <w:rPr>
          <w:lang w:val="en-IE"/>
        </w:rPr>
        <w:t>Shwedeh</w:t>
      </w:r>
      <w:proofErr w:type="spellEnd"/>
      <w:r w:rsidRPr="009543C7">
        <w:rPr>
          <w:lang w:val="en-IE"/>
        </w:rPr>
        <w:t xml:space="preserve">, Malaka and </w:t>
      </w:r>
      <w:proofErr w:type="spellStart"/>
      <w:r w:rsidRPr="009543C7">
        <w:rPr>
          <w:lang w:val="en-IE"/>
        </w:rPr>
        <w:t>Rwashdeh</w:t>
      </w:r>
      <w:proofErr w:type="spellEnd"/>
      <w:r w:rsidRPr="009543C7">
        <w:rPr>
          <w:lang w:val="en-IE"/>
        </w:rPr>
        <w:t>, 2023). Hence, the current review analyses literature only from the last five years specifically: the selection range is from January 1st, 2020, until the final search date, which was conducted on September 11th, 2024. The decision not to include the full five years from September 11th, 2019, to September 11th, 2024, is due to some scholarly databases’ inability to specify dates more granular than in years.</w:t>
      </w:r>
    </w:p>
    <w:p w14:paraId="08FCB2F2" w14:textId="77777777" w:rsidR="009543C7" w:rsidRPr="0029239F" w:rsidRDefault="009543C7" w:rsidP="00A57F57">
      <w:pPr>
        <w:spacing w:after="160"/>
        <w:jc w:val="both"/>
        <w:rPr>
          <w:rFonts w:ascii="Arial" w:hAnsi="Arial" w:cs="Arial"/>
        </w:rPr>
      </w:pPr>
      <w:r w:rsidRPr="009543C7">
        <w:rPr>
          <w:lang w:val="en-IE"/>
        </w:rPr>
        <w:t>The inclusion and exclusion data are provided in Table 1 in Appendix A.</w:t>
      </w:r>
    </w:p>
    <w:p w14:paraId="6169A1FD" w14:textId="77777777" w:rsidR="009543C7" w:rsidRPr="0029239F" w:rsidRDefault="009543C7" w:rsidP="00A57F57">
      <w:pPr>
        <w:pStyle w:val="Heading3"/>
        <w:spacing w:line="276" w:lineRule="auto"/>
      </w:pPr>
      <w:r w:rsidRPr="0029239F">
        <w:t>2.2. Final query and database search</w:t>
      </w:r>
    </w:p>
    <w:p w14:paraId="16572EA0" w14:textId="2C7849F8" w:rsidR="00B45D8B" w:rsidRPr="009543C7" w:rsidRDefault="009543C7" w:rsidP="00A57F57">
      <w:pPr>
        <w:spacing w:after="160"/>
        <w:jc w:val="both"/>
        <w:rPr>
          <w:lang w:val="en-IE"/>
        </w:rPr>
      </w:pPr>
      <w:r w:rsidRPr="009543C7">
        <w:rPr>
          <w:lang w:val="en-IE"/>
        </w:rPr>
        <w:t>The research query was created using the SPIDER tool (Cooke, Smith and Booth, 2012). However, to reduce the number of irrelevant findings, the original formula proposed by Cooke, Smith and Booth (2012, p. 1438) – “[S AND P of I] AND [(D OR E) AND R]” – was adjusted to become [S AND P of I] AND [E AND (D OR R)] and the NOT operator was added to the final search query:</w:t>
      </w:r>
    </w:p>
    <w:tbl>
      <w:tblPr>
        <w:tblStyle w:val="TableGrid"/>
        <w:tblW w:w="0" w:type="auto"/>
        <w:tblLook w:val="04A0" w:firstRow="1" w:lastRow="0" w:firstColumn="1" w:lastColumn="0" w:noHBand="0" w:noVBand="1"/>
      </w:tblPr>
      <w:tblGrid>
        <w:gridCol w:w="9016"/>
      </w:tblGrid>
      <w:tr w:rsidR="005B4648" w:rsidRPr="00DC08C6" w14:paraId="694A7AB2" w14:textId="77777777" w:rsidTr="00BB7F9D">
        <w:tc>
          <w:tcPr>
            <w:tcW w:w="9016" w:type="dxa"/>
          </w:tcPr>
          <w:p w14:paraId="2FFF1EB9" w14:textId="77777777" w:rsidR="005B4648" w:rsidRPr="00DC08C6" w:rsidRDefault="005B4648" w:rsidP="00A57F57">
            <w:pPr>
              <w:spacing w:line="276" w:lineRule="auto"/>
              <w:rPr>
                <w:rFonts w:cs="Arial"/>
                <w:sz w:val="22"/>
                <w:szCs w:val="22"/>
              </w:rPr>
            </w:pPr>
            <w:r w:rsidRPr="00DC08C6">
              <w:rPr>
                <w:rFonts w:eastAsiaTheme="majorEastAsia" w:cs="Arial"/>
                <w:sz w:val="22"/>
                <w:szCs w:val="22"/>
              </w:rPr>
              <w:t>(juvenile* OR adolescent* OR teen* OR youth* OR young) AND (</w:t>
            </w:r>
            <w:proofErr w:type="spellStart"/>
            <w:r w:rsidRPr="00DC08C6">
              <w:rPr>
                <w:rFonts w:eastAsiaTheme="majorEastAsia" w:cs="Arial"/>
                <w:sz w:val="22"/>
                <w:szCs w:val="22"/>
              </w:rPr>
              <w:t>cybercrim</w:t>
            </w:r>
            <w:proofErr w:type="spellEnd"/>
            <w:r w:rsidRPr="00DC08C6">
              <w:rPr>
                <w:rFonts w:eastAsiaTheme="majorEastAsia" w:cs="Arial"/>
                <w:sz w:val="22"/>
                <w:szCs w:val="22"/>
              </w:rPr>
              <w:t>* OR “cyber crim*” OR cyber-crim* OR cyberattack* OR cyber-attack* OR “</w:t>
            </w:r>
            <w:proofErr w:type="spellStart"/>
            <w:r w:rsidRPr="00DC08C6">
              <w:rPr>
                <w:rFonts w:eastAsiaTheme="majorEastAsia" w:cs="Arial"/>
                <w:sz w:val="22"/>
                <w:szCs w:val="22"/>
              </w:rPr>
              <w:t>cyber attack</w:t>
            </w:r>
            <w:proofErr w:type="spellEnd"/>
            <w:r w:rsidRPr="00DC08C6">
              <w:rPr>
                <w:rFonts w:eastAsiaTheme="majorEastAsia" w:cs="Arial"/>
                <w:sz w:val="22"/>
                <w:szCs w:val="22"/>
              </w:rPr>
              <w:t xml:space="preserve">*” OR </w:t>
            </w:r>
            <w:proofErr w:type="spellStart"/>
            <w:r w:rsidRPr="00DC08C6">
              <w:rPr>
                <w:rFonts w:eastAsiaTheme="majorEastAsia" w:cs="Arial"/>
                <w:sz w:val="22"/>
                <w:szCs w:val="22"/>
              </w:rPr>
              <w:t>cyberdeviance</w:t>
            </w:r>
            <w:proofErr w:type="spellEnd"/>
            <w:r w:rsidRPr="00DC08C6">
              <w:rPr>
                <w:rFonts w:eastAsiaTheme="majorEastAsia" w:cs="Arial"/>
                <w:sz w:val="22"/>
                <w:szCs w:val="22"/>
              </w:rPr>
              <w:t xml:space="preserve"> OR cyber-deviance OR “cyber deviance” OR hacking OR hacker* OR “digital crime*”) AND (character* OR reason* OR </w:t>
            </w:r>
            <w:proofErr w:type="spellStart"/>
            <w:r w:rsidRPr="00DC08C6">
              <w:rPr>
                <w:rFonts w:eastAsiaTheme="majorEastAsia" w:cs="Arial"/>
                <w:sz w:val="22"/>
                <w:szCs w:val="22"/>
              </w:rPr>
              <w:t>motiv</w:t>
            </w:r>
            <w:proofErr w:type="spellEnd"/>
            <w:r w:rsidRPr="00DC08C6">
              <w:rPr>
                <w:rFonts w:eastAsiaTheme="majorEastAsia" w:cs="Arial"/>
                <w:sz w:val="22"/>
                <w:szCs w:val="22"/>
              </w:rPr>
              <w:t xml:space="preserve">* OR why OR cause OR explain* OR explanation OR factors OR </w:t>
            </w:r>
            <w:proofErr w:type="spellStart"/>
            <w:r w:rsidRPr="00DC08C6">
              <w:rPr>
                <w:rFonts w:eastAsiaTheme="majorEastAsia" w:cs="Arial"/>
                <w:sz w:val="22"/>
                <w:szCs w:val="22"/>
              </w:rPr>
              <w:t>behavio</w:t>
            </w:r>
            <w:proofErr w:type="spellEnd"/>
            <w:r w:rsidRPr="00DC08C6">
              <w:rPr>
                <w:rFonts w:eastAsiaTheme="majorEastAsia" w:cs="Arial"/>
                <w:sz w:val="22"/>
                <w:szCs w:val="22"/>
              </w:rPr>
              <w:t xml:space="preserve">* OR </w:t>
            </w:r>
            <w:proofErr w:type="spellStart"/>
            <w:r w:rsidRPr="00DC08C6">
              <w:rPr>
                <w:rFonts w:eastAsiaTheme="majorEastAsia" w:cs="Arial"/>
                <w:sz w:val="22"/>
                <w:szCs w:val="22"/>
              </w:rPr>
              <w:t>attitud</w:t>
            </w:r>
            <w:proofErr w:type="spellEnd"/>
            <w:r w:rsidRPr="00DC08C6">
              <w:rPr>
                <w:rFonts w:eastAsiaTheme="majorEastAsia" w:cs="Arial"/>
                <w:sz w:val="22"/>
                <w:szCs w:val="22"/>
              </w:rPr>
              <w:t xml:space="preserve">* OR benefit*) AND (questionnaire OR survey OR interview* OR “focus group*” OR “case stud*” OR </w:t>
            </w:r>
            <w:proofErr w:type="spellStart"/>
            <w:r w:rsidRPr="00DC08C6">
              <w:rPr>
                <w:rFonts w:eastAsiaTheme="majorEastAsia" w:cs="Arial"/>
                <w:sz w:val="22"/>
                <w:szCs w:val="22"/>
              </w:rPr>
              <w:t>observ</w:t>
            </w:r>
            <w:proofErr w:type="spellEnd"/>
            <w:r w:rsidRPr="00DC08C6">
              <w:rPr>
                <w:rFonts w:eastAsiaTheme="majorEastAsia" w:cs="Arial"/>
                <w:sz w:val="22"/>
                <w:szCs w:val="22"/>
              </w:rPr>
              <w:t xml:space="preserve">* OR data* OR sample* OR qualitative OR “mixed method*” OR quantitative OR “dynamic panel model*” OR longitudinal) AND NOT (sharing OR orthography OR messenger OR stem OR sexting OR </w:t>
            </w:r>
            <w:proofErr w:type="spellStart"/>
            <w:r w:rsidRPr="00DC08C6">
              <w:rPr>
                <w:rFonts w:eastAsiaTheme="majorEastAsia" w:cs="Arial"/>
                <w:sz w:val="22"/>
                <w:szCs w:val="22"/>
              </w:rPr>
              <w:t>suicid</w:t>
            </w:r>
            <w:proofErr w:type="spellEnd"/>
            <w:r w:rsidRPr="00DC08C6">
              <w:rPr>
                <w:rFonts w:eastAsiaTheme="majorEastAsia" w:cs="Arial"/>
                <w:sz w:val="22"/>
                <w:szCs w:val="22"/>
              </w:rPr>
              <w:t>*)</w:t>
            </w:r>
          </w:p>
        </w:tc>
      </w:tr>
    </w:tbl>
    <w:p w14:paraId="514EAD70" w14:textId="77777777" w:rsidR="006552C8" w:rsidRDefault="006552C8" w:rsidP="00A57F57">
      <w:pPr>
        <w:pStyle w:val="HarvardBody"/>
        <w:spacing w:line="276" w:lineRule="auto"/>
        <w:jc w:val="left"/>
        <w:rPr>
          <w:sz w:val="22"/>
          <w:szCs w:val="22"/>
        </w:rPr>
      </w:pPr>
    </w:p>
    <w:p w14:paraId="7812625F" w14:textId="143BB2FF" w:rsidR="006552C8" w:rsidRPr="006552C8" w:rsidRDefault="006552C8" w:rsidP="00A57F57">
      <w:pPr>
        <w:pStyle w:val="HarvardBody"/>
        <w:spacing w:line="276" w:lineRule="auto"/>
        <w:jc w:val="left"/>
        <w:rPr>
          <w:rFonts w:ascii="Sylfaen" w:hAnsi="Sylfaen"/>
          <w:sz w:val="22"/>
          <w:szCs w:val="22"/>
        </w:rPr>
      </w:pPr>
      <w:r w:rsidRPr="006552C8">
        <w:rPr>
          <w:rFonts w:ascii="Sylfaen" w:hAnsi="Sylfaen"/>
          <w:sz w:val="22"/>
          <w:szCs w:val="22"/>
        </w:rPr>
        <w:lastRenderedPageBreak/>
        <w:t>The search was performed in four scholarly databases:</w:t>
      </w:r>
    </w:p>
    <w:p w14:paraId="7454D0A4" w14:textId="77777777" w:rsidR="006552C8" w:rsidRPr="006552C8" w:rsidRDefault="006552C8" w:rsidP="00A57F57">
      <w:pPr>
        <w:numPr>
          <w:ilvl w:val="0"/>
          <w:numId w:val="4"/>
        </w:numPr>
        <w:spacing w:after="0"/>
        <w:rPr>
          <w:rFonts w:cs="Arial"/>
        </w:rPr>
      </w:pPr>
      <w:r w:rsidRPr="006552C8">
        <w:rPr>
          <w:rFonts w:cs="Arial"/>
        </w:rPr>
        <w:t>Scopus</w:t>
      </w:r>
    </w:p>
    <w:p w14:paraId="74D526A0" w14:textId="77777777" w:rsidR="006552C8" w:rsidRPr="006552C8" w:rsidRDefault="006552C8" w:rsidP="00A57F57">
      <w:pPr>
        <w:numPr>
          <w:ilvl w:val="0"/>
          <w:numId w:val="4"/>
        </w:numPr>
        <w:spacing w:after="0"/>
        <w:rPr>
          <w:rFonts w:cs="Arial"/>
        </w:rPr>
      </w:pPr>
      <w:r w:rsidRPr="006552C8">
        <w:rPr>
          <w:rFonts w:cs="Arial"/>
        </w:rPr>
        <w:t>ProQuest</w:t>
      </w:r>
    </w:p>
    <w:p w14:paraId="3037BC7D" w14:textId="77777777" w:rsidR="006552C8" w:rsidRPr="006552C8" w:rsidRDefault="006552C8" w:rsidP="00A57F57">
      <w:pPr>
        <w:numPr>
          <w:ilvl w:val="0"/>
          <w:numId w:val="4"/>
        </w:numPr>
        <w:spacing w:after="0"/>
        <w:rPr>
          <w:rFonts w:cs="Arial"/>
        </w:rPr>
      </w:pPr>
      <w:r w:rsidRPr="006552C8">
        <w:rPr>
          <w:rFonts w:cs="Arial"/>
        </w:rPr>
        <w:t>Sage Journals</w:t>
      </w:r>
    </w:p>
    <w:p w14:paraId="6546E4B2" w14:textId="77777777" w:rsidR="006552C8" w:rsidRPr="006552C8" w:rsidRDefault="006552C8" w:rsidP="00A57F57">
      <w:pPr>
        <w:numPr>
          <w:ilvl w:val="0"/>
          <w:numId w:val="4"/>
        </w:numPr>
        <w:spacing w:after="0"/>
        <w:rPr>
          <w:rFonts w:cs="Arial"/>
        </w:rPr>
      </w:pPr>
      <w:r w:rsidRPr="006552C8">
        <w:rPr>
          <w:rFonts w:cs="Arial"/>
        </w:rPr>
        <w:t>Taylor and Francis</w:t>
      </w:r>
    </w:p>
    <w:p w14:paraId="32485874" w14:textId="6BC05FF8" w:rsidR="00990D5E" w:rsidRDefault="006552C8" w:rsidP="00A57F57">
      <w:pPr>
        <w:spacing w:before="240"/>
        <w:jc w:val="both"/>
      </w:pPr>
      <w:r w:rsidRPr="006552C8">
        <w:t>Due to each database’s limitations, the query was split and adjusted to achieve the maximum rigour result.</w:t>
      </w:r>
    </w:p>
    <w:p w14:paraId="1DFA60A7" w14:textId="77777777" w:rsidR="00A57F57" w:rsidRDefault="00A57F57" w:rsidP="00A57F57">
      <w:pPr>
        <w:pStyle w:val="Heading3"/>
        <w:spacing w:line="276" w:lineRule="auto"/>
      </w:pPr>
      <w:r w:rsidRPr="0029239F">
        <w:t>2.3. Evaluating results</w:t>
      </w:r>
    </w:p>
    <w:p w14:paraId="68ED028B" w14:textId="295AB365" w:rsidR="009543C7" w:rsidRDefault="00A57F57" w:rsidP="00A57F57">
      <w:pPr>
        <w:spacing w:before="240"/>
        <w:jc w:val="both"/>
      </w:pPr>
      <w:r w:rsidRPr="0029239F">
        <w:t>The selection process</w:t>
      </w:r>
      <w:r>
        <w:t xml:space="preserve"> (Figure 1)</w:t>
      </w:r>
      <w:r w:rsidRPr="0029239F">
        <w:t xml:space="preserve"> produced ten documents, all journal articles. Each accepted document was critically analysed to identify the research samples’ characteristics, the drivers behind teenage hacking, and proposed policy implications. </w:t>
      </w:r>
      <w:r w:rsidRPr="003001F3">
        <w:t>The findings of this systematic literature review, the synthesis of extracted data by themes, critical analysis of the reviewed literature, and the limitations are further outlined in the following sections.</w:t>
      </w:r>
    </w:p>
    <w:p w14:paraId="30AF0C57" w14:textId="282C9197" w:rsidR="005A5736" w:rsidRDefault="005A5736" w:rsidP="005A5736">
      <w:pPr>
        <w:pStyle w:val="Caption"/>
        <w:keepNext/>
      </w:pPr>
      <w:r>
        <w:t xml:space="preserve">Figure </w:t>
      </w:r>
      <w:r>
        <w:fldChar w:fldCharType="begin"/>
      </w:r>
      <w:r>
        <w:instrText xml:space="preserve"> SEQ Figure \* ARABIC </w:instrText>
      </w:r>
      <w:r>
        <w:fldChar w:fldCharType="separate"/>
      </w:r>
      <w:r>
        <w:rPr>
          <w:noProof/>
        </w:rPr>
        <w:t>1</w:t>
      </w:r>
      <w:r>
        <w:fldChar w:fldCharType="end"/>
      </w:r>
      <w:r>
        <w:t xml:space="preserve"> - Selection process flow</w:t>
      </w:r>
    </w:p>
    <w:p w14:paraId="64FCC1CA" w14:textId="77777777" w:rsidR="00A57F57" w:rsidRDefault="00070B27" w:rsidP="006E3FF0">
      <w:pPr>
        <w:spacing w:before="240"/>
        <w:jc w:val="center"/>
      </w:pPr>
      <w:r w:rsidRPr="00070B27">
        <w:rPr>
          <w:noProof/>
        </w:rPr>
        <w:drawing>
          <wp:inline distT="0" distB="0" distL="0" distR="0" wp14:anchorId="28F866F9" wp14:editId="6CAF2A4E">
            <wp:extent cx="5236835" cy="4158834"/>
            <wp:effectExtent l="0" t="0" r="0" b="0"/>
            <wp:docPr id="1424906239" name="Picture 1" descr="The diagram shows that after searching with keywords and applying filtering, 62 documents were identified. Further removing 10 duplicates and 40 papers that did not fit inclusion criteria produced 12 documents for consideration. Finally, after critical reading, only the 10 documents were accep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906239" name="Picture 1" descr="The diagram shows that after searching with keywords and applying filtering, 62 documents were identified. Further removing 10 duplicates and 40 papers that did not fit inclusion criteria produced 12 documents for consideration. Finally, after critical reading, only the 10 documents were accepted."/>
                    <pic:cNvPicPr/>
                  </pic:nvPicPr>
                  <pic:blipFill>
                    <a:blip r:embed="rId8"/>
                    <a:stretch>
                      <a:fillRect/>
                    </a:stretch>
                  </pic:blipFill>
                  <pic:spPr>
                    <a:xfrm>
                      <a:off x="0" y="0"/>
                      <a:ext cx="5265866" cy="4181889"/>
                    </a:xfrm>
                    <a:prstGeom prst="rect">
                      <a:avLst/>
                    </a:prstGeom>
                  </pic:spPr>
                </pic:pic>
              </a:graphicData>
            </a:graphic>
          </wp:inline>
        </w:drawing>
      </w:r>
    </w:p>
    <w:p w14:paraId="45A8732B" w14:textId="77777777" w:rsidR="00157D09" w:rsidRPr="0029239F" w:rsidRDefault="00157D09" w:rsidP="00157D09">
      <w:pPr>
        <w:pStyle w:val="Heading2"/>
      </w:pPr>
      <w:r w:rsidRPr="0029239F">
        <w:lastRenderedPageBreak/>
        <w:t>3. Findings</w:t>
      </w:r>
    </w:p>
    <w:p w14:paraId="6A57190D" w14:textId="77777777" w:rsidR="00157D09" w:rsidRPr="0029239F" w:rsidRDefault="00157D09" w:rsidP="00157D09">
      <w:pPr>
        <w:spacing w:before="240"/>
        <w:jc w:val="both"/>
      </w:pPr>
      <w:r w:rsidRPr="0029239F">
        <w:t>After applying the abovementioned method</w:t>
      </w:r>
      <w:r>
        <w:t>s</w:t>
      </w:r>
      <w:r w:rsidRPr="0029239F">
        <w:t>, ten documents were found relevant to the question</w:t>
      </w:r>
      <w:r>
        <w:t xml:space="preserve"> of primary drivers for teenagers’ illegal hacking</w:t>
      </w:r>
      <w:r w:rsidRPr="0029239F">
        <w:t xml:space="preserve">. </w:t>
      </w:r>
      <w:r>
        <w:t>A</w:t>
      </w:r>
      <w:r w:rsidRPr="0029239F">
        <w:t xml:space="preserve"> few key characteristics emerge among the found literature</w:t>
      </w:r>
      <w:r>
        <w:t>, which include</w:t>
      </w:r>
      <w:r w:rsidRPr="0029239F">
        <w:t>:</w:t>
      </w:r>
    </w:p>
    <w:p w14:paraId="2A68FF29" w14:textId="1F185114" w:rsidR="00157D09" w:rsidRPr="00157D09" w:rsidRDefault="00157D09" w:rsidP="00157D09">
      <w:pPr>
        <w:pStyle w:val="ListParagraph"/>
        <w:numPr>
          <w:ilvl w:val="0"/>
          <w:numId w:val="5"/>
        </w:numPr>
        <w:spacing w:before="240"/>
        <w:jc w:val="both"/>
      </w:pPr>
      <w:r w:rsidRPr="00157D09">
        <w:t>All documents are quantitative research</w:t>
      </w:r>
      <w:r>
        <w:t>.</w:t>
      </w:r>
    </w:p>
    <w:p w14:paraId="19118FE7" w14:textId="0F1E86AA" w:rsidR="00157D09" w:rsidRPr="00157D09" w:rsidRDefault="00157D09" w:rsidP="00157D09">
      <w:pPr>
        <w:pStyle w:val="ListParagraph"/>
        <w:numPr>
          <w:ilvl w:val="0"/>
          <w:numId w:val="5"/>
        </w:numPr>
        <w:spacing w:before="240"/>
        <w:jc w:val="both"/>
      </w:pPr>
      <w:r w:rsidRPr="00157D09">
        <w:t xml:space="preserve">Half of the studies use the ISRD-2 dataset of self-reported youth delinquency (Enzmann </w:t>
      </w:r>
      <w:r w:rsidRPr="004C1D26">
        <w:rPr>
          <w:i/>
          <w:iCs/>
        </w:rPr>
        <w:t>et al.</w:t>
      </w:r>
      <w:r w:rsidRPr="00157D09">
        <w:t>, 2015)</w:t>
      </w:r>
      <w:r>
        <w:t>.</w:t>
      </w:r>
    </w:p>
    <w:p w14:paraId="51CA59BF" w14:textId="048D1E37" w:rsidR="00157D09" w:rsidRPr="00157D09" w:rsidRDefault="00157D09" w:rsidP="00157D09">
      <w:pPr>
        <w:pStyle w:val="ListParagraph"/>
        <w:numPr>
          <w:ilvl w:val="0"/>
          <w:numId w:val="5"/>
        </w:numPr>
        <w:spacing w:before="240"/>
        <w:jc w:val="both"/>
      </w:pPr>
      <w:r w:rsidRPr="00157D09">
        <w:t>The prevalent explanation of teenage hacking behaviour centred around the General Theory of Crime, Routine Activity Theory and Social Learning Theory (Bandura, 1977; Cohen and Felson, 1979; Gottfredson and Hirschi, 1990)</w:t>
      </w:r>
      <w:r>
        <w:t>.</w:t>
      </w:r>
    </w:p>
    <w:p w14:paraId="5AE1E381" w14:textId="3025042E" w:rsidR="00157D09" w:rsidRPr="00157D09" w:rsidRDefault="00157D09" w:rsidP="00157D09">
      <w:pPr>
        <w:pStyle w:val="ListParagraph"/>
        <w:numPr>
          <w:ilvl w:val="0"/>
          <w:numId w:val="5"/>
        </w:numPr>
        <w:spacing w:before="240"/>
        <w:jc w:val="both"/>
      </w:pPr>
      <w:r w:rsidRPr="00157D09">
        <w:t>Eight of ten findings discuss gender as a characteristic of hackers</w:t>
      </w:r>
      <w:r>
        <w:t>.</w:t>
      </w:r>
    </w:p>
    <w:p w14:paraId="26E1B404" w14:textId="795B815C" w:rsidR="00157D09" w:rsidRPr="00157D09" w:rsidRDefault="00157D09" w:rsidP="00157D09">
      <w:pPr>
        <w:pStyle w:val="ListParagraph"/>
        <w:numPr>
          <w:ilvl w:val="0"/>
          <w:numId w:val="5"/>
        </w:numPr>
        <w:spacing w:before="240"/>
        <w:jc w:val="both"/>
      </w:pPr>
      <w:r w:rsidRPr="00157D09">
        <w:t>Half of the studies consider a drift between online and offline delinquency</w:t>
      </w:r>
      <w:r>
        <w:t>.</w:t>
      </w:r>
    </w:p>
    <w:p w14:paraId="3BC3C35D" w14:textId="05690741" w:rsidR="00157D09" w:rsidRPr="00157D09" w:rsidRDefault="00157D09" w:rsidP="00157D09">
      <w:pPr>
        <w:pStyle w:val="ListParagraph"/>
        <w:numPr>
          <w:ilvl w:val="0"/>
          <w:numId w:val="5"/>
        </w:numPr>
        <w:spacing w:before="240"/>
        <w:jc w:val="both"/>
      </w:pPr>
      <w:r w:rsidRPr="00157D09">
        <w:t>Four of ten papers include an impact of social bonds</w:t>
      </w:r>
      <w:r>
        <w:t>.</w:t>
      </w:r>
    </w:p>
    <w:p w14:paraId="602A8C51" w14:textId="77777777" w:rsidR="00157D09" w:rsidRPr="00157D09" w:rsidRDefault="00157D09" w:rsidP="00157D09">
      <w:pPr>
        <w:pStyle w:val="ListParagraph"/>
        <w:numPr>
          <w:ilvl w:val="0"/>
          <w:numId w:val="5"/>
        </w:numPr>
        <w:spacing w:before="240"/>
        <w:jc w:val="both"/>
      </w:pPr>
      <w:r w:rsidRPr="00157D09">
        <w:t>A small number of documents briefly touch on the environment, education or technical skills, and positive attitude to violence as stimuli for hacking among teenagers.</w:t>
      </w:r>
    </w:p>
    <w:p w14:paraId="5B55EED8" w14:textId="77777777" w:rsidR="00157D09" w:rsidRPr="00157D09" w:rsidRDefault="00157D09" w:rsidP="00157D09">
      <w:pPr>
        <w:spacing w:before="240"/>
        <w:jc w:val="both"/>
      </w:pPr>
      <w:r w:rsidRPr="00157D09">
        <w:t>The full analysis of the findings is provided in Table 2 in Appendix B.</w:t>
      </w:r>
    </w:p>
    <w:p w14:paraId="0AB8B222" w14:textId="77777777" w:rsidR="00157D09" w:rsidRPr="00DD77F6" w:rsidRDefault="00157D09" w:rsidP="00157D09">
      <w:pPr>
        <w:spacing w:before="240"/>
        <w:jc w:val="both"/>
        <w:rPr>
          <w:rFonts w:ascii="Arial" w:hAnsi="Arial" w:cs="Arial"/>
        </w:rPr>
      </w:pPr>
      <w:r w:rsidRPr="00157D09">
        <w:t>Ultimately, six main themes were determined: internal motivators, attractive opportunity, masculinity, criminal nature, need for social acceptance, and weak social bonds. Table 3 in Appendix C provides a breakdown of how the findings were categorised.</w:t>
      </w:r>
    </w:p>
    <w:p w14:paraId="0C9F8830" w14:textId="77777777" w:rsidR="00BF525D" w:rsidRPr="0029239F" w:rsidRDefault="00BF525D" w:rsidP="00BF525D">
      <w:pPr>
        <w:pStyle w:val="Heading2"/>
      </w:pPr>
      <w:r w:rsidRPr="0029239F">
        <w:t>4. Discussion</w:t>
      </w:r>
    </w:p>
    <w:p w14:paraId="47A2C1D7" w14:textId="5F386138" w:rsidR="00A57F57" w:rsidRDefault="00BF525D" w:rsidP="00BF525D">
      <w:pPr>
        <w:spacing w:before="240"/>
        <w:jc w:val="both"/>
      </w:pPr>
      <w:r w:rsidRPr="00BF525D">
        <w:t xml:space="preserve">Despite teenage illegal hacking being a serious crime, this review has demonstrated a shortage of literature which seeks to explore the primary motivators behind it. Some findings in this review emphasise ample qualitative research (Holt, Navarro and Clevenger, 2020). Yet, this research (for example, Holt (2007) and Taylor (1999)) is over 15 years old and, therefore, excluded from the current review. Furthermore, half of the quantitative studies in this review rely on the almost twenty-year-old self-reported ISRD-2 dataset (Enzmann </w:t>
      </w:r>
      <w:r w:rsidRPr="00860531">
        <w:rPr>
          <w:i/>
          <w:iCs/>
        </w:rPr>
        <w:t>et al.</w:t>
      </w:r>
      <w:r w:rsidRPr="00BF525D">
        <w:t>, 2015). Accounting for the rapid digitalisation of our lives, such slow progression in the criminological study of youth hacking makes the current policy rely on obsolete data and, hence, carries a risk of being ineffective (Wall, 2024). Still, the current review identifies six main themes explaining the primary drivers of teenage hacking.</w:t>
      </w:r>
    </w:p>
    <w:p w14:paraId="14899CA3" w14:textId="77777777" w:rsidR="00717FAB" w:rsidRDefault="00717FAB" w:rsidP="00717FAB">
      <w:pPr>
        <w:pStyle w:val="Heading3"/>
      </w:pPr>
      <w:r>
        <w:t>4.1. Themes</w:t>
      </w:r>
    </w:p>
    <w:p w14:paraId="7E4AD7A0" w14:textId="77777777" w:rsidR="00717FAB" w:rsidRDefault="00717FAB" w:rsidP="00717FAB">
      <w:pPr>
        <w:pStyle w:val="Heading4"/>
      </w:pPr>
      <w:r>
        <w:t>4.1.1. Internal motivators</w:t>
      </w:r>
    </w:p>
    <w:p w14:paraId="183F2118" w14:textId="2FE1D4B1" w:rsidR="00717FAB" w:rsidRDefault="00717FAB" w:rsidP="00AD2700">
      <w:pPr>
        <w:spacing w:before="240"/>
        <w:jc w:val="both"/>
      </w:pPr>
      <w:proofErr w:type="gramStart"/>
      <w:r>
        <w:t>The majority of</w:t>
      </w:r>
      <w:proofErr w:type="gramEnd"/>
      <w:r>
        <w:t xml:space="preserve"> findings (80%) approach teenage hacking from a low self-control perspective (Aiken </w:t>
      </w:r>
      <w:r w:rsidRPr="00860531">
        <w:rPr>
          <w:i/>
          <w:iCs/>
        </w:rPr>
        <w:t>et al.</w:t>
      </w:r>
      <w:r>
        <w:t xml:space="preserve">, 2024; Fox and Holt, 2021; Guo and Wang, 2024; Holt </w:t>
      </w:r>
      <w:r w:rsidRPr="00860531">
        <w:rPr>
          <w:i/>
          <w:iCs/>
        </w:rPr>
        <w:t>et al.</w:t>
      </w:r>
      <w:r>
        <w:t xml:space="preserve">, 2021; Holt, Navarro and </w:t>
      </w:r>
      <w:r>
        <w:lastRenderedPageBreak/>
        <w:t xml:space="preserve">Clevenger, 2020; Kim, Leban and Lee, 2024; Lee and Holt, 2020; Whitten </w:t>
      </w:r>
      <w:r w:rsidRPr="00860531">
        <w:rPr>
          <w:i/>
          <w:iCs/>
        </w:rPr>
        <w:t>et al.</w:t>
      </w:r>
      <w:r>
        <w:t>, 2024). Indeed, as Holt, Navarro and Clevenger (2020</w:t>
      </w:r>
      <w:r w:rsidR="00953D48">
        <w:t>, p. 1537</w:t>
      </w:r>
      <w:r>
        <w:t>) mentioned, the scholars suggest the relationship between adolescent hacking and “the general turbulence often seen in this period of development</w:t>
      </w:r>
      <w:r w:rsidR="00953D48">
        <w:t>.</w:t>
      </w:r>
      <w:r>
        <w:t>” As an underlying factor of teenagers’ low self-control, the researchers list such motivators as impulsivity, violent temperament, self-centeredness</w:t>
      </w:r>
      <w:r w:rsidR="00944B65">
        <w:t>,</w:t>
      </w:r>
      <w:r>
        <w:t xml:space="preserve"> and risk-taking (Aiken </w:t>
      </w:r>
      <w:r w:rsidRPr="00860531">
        <w:rPr>
          <w:i/>
          <w:iCs/>
        </w:rPr>
        <w:t>et al.</w:t>
      </w:r>
      <w:r>
        <w:t xml:space="preserve">, 2024; Fox and Holt, 2021; Holt </w:t>
      </w:r>
      <w:r w:rsidRPr="00860531">
        <w:rPr>
          <w:i/>
          <w:iCs/>
        </w:rPr>
        <w:t>et al.</w:t>
      </w:r>
      <w:r>
        <w:t>, 2021; Lee and Holt, 2020). Additionally, Fox and Holt (2021) included emotional trauma as a motivator among 15% of researched hackers. This is contrary to the research done by Guo and Wang (2024) utilising machine learning on the same ISRD-2 dataset, which found self-control to be a low-risk factor for hacking.</w:t>
      </w:r>
    </w:p>
    <w:p w14:paraId="48E554E2" w14:textId="77777777" w:rsidR="00717FAB" w:rsidRDefault="00717FAB" w:rsidP="00AD2700">
      <w:pPr>
        <w:pStyle w:val="Heading4"/>
        <w:spacing w:line="276" w:lineRule="auto"/>
      </w:pPr>
      <w:r>
        <w:t>4.1.2. Attractive opportunity</w:t>
      </w:r>
    </w:p>
    <w:p w14:paraId="20F640AA" w14:textId="77777777" w:rsidR="00717FAB" w:rsidRDefault="00717FAB" w:rsidP="00AD2700">
      <w:pPr>
        <w:spacing w:before="240"/>
        <w:jc w:val="both"/>
      </w:pPr>
      <w:r>
        <w:t xml:space="preserve">The second popular theme among findings (70%) is the opportunity to hack or, as Goldsmith and Wall (2022) put it, seduction (Aiken </w:t>
      </w:r>
      <w:r w:rsidRPr="004C1D26">
        <w:rPr>
          <w:i/>
          <w:iCs/>
        </w:rPr>
        <w:t>et al.</w:t>
      </w:r>
      <w:r>
        <w:t xml:space="preserve">, 2024; Fox and Holt, 2021; Guo and Wang, 2024; Holt </w:t>
      </w:r>
      <w:r w:rsidRPr="00860531">
        <w:rPr>
          <w:i/>
          <w:iCs/>
        </w:rPr>
        <w:t>et al.</w:t>
      </w:r>
      <w:r>
        <w:t xml:space="preserve">, 2021; Holt, Navarro and Clevenger, 2020; Lee and Holt, 2020; Wright, 2020). These works identify unrestricted access to digital devices, time spent online, and engagement in piracy and gaming as instigating factors for hacking. Nonetheless, some researchers disagree on whether good technical skills boost the desire to hack. While Aiken </w:t>
      </w:r>
      <w:r w:rsidRPr="00860531">
        <w:rPr>
          <w:i/>
          <w:iCs/>
        </w:rPr>
        <w:t>et al.</w:t>
      </w:r>
      <w:r>
        <w:t xml:space="preserve"> (2024) and Lee and Holt (2020) considered that enhanced tech skills stimulate hacking by reducing the sense of detection and responsibility, Holt </w:t>
      </w:r>
      <w:r w:rsidRPr="00860531">
        <w:rPr>
          <w:i/>
          <w:iCs/>
        </w:rPr>
        <w:t>et al.</w:t>
      </w:r>
      <w:r>
        <w:t xml:space="preserve"> (2021) degraded the importance of high-tech skills for such simple forms of hacking as password-guessing. Therefore, one may conclude that the simplicity of the crime itself rather than the hacker’s ability fuels the desire to hack.</w:t>
      </w:r>
    </w:p>
    <w:p w14:paraId="221B7614" w14:textId="77777777" w:rsidR="00717FAB" w:rsidRDefault="00717FAB" w:rsidP="00AD2700">
      <w:pPr>
        <w:pStyle w:val="Heading4"/>
        <w:spacing w:line="276" w:lineRule="auto"/>
      </w:pPr>
      <w:r>
        <w:t>4.1.3. Masculinity</w:t>
      </w:r>
    </w:p>
    <w:p w14:paraId="128D9936" w14:textId="76C9F0A2" w:rsidR="00717FAB" w:rsidRDefault="00717FAB" w:rsidP="00AD2700">
      <w:pPr>
        <w:spacing w:before="240"/>
        <w:jc w:val="both"/>
      </w:pPr>
      <w:r>
        <w:t xml:space="preserve">Another popular theme among researchers (60%) is a desire for hacking as a phenomenon prevalent among males (Aiken </w:t>
      </w:r>
      <w:r w:rsidRPr="00860531">
        <w:rPr>
          <w:i/>
          <w:iCs/>
        </w:rPr>
        <w:t>et al.</w:t>
      </w:r>
      <w:r>
        <w:t xml:space="preserve">, 2024; Fox and Holt, 2021; Guo and Wang, 2024; Holt, Navarro and Clevenger, 2020; Kim, Leban and Lee, 2024; Walters, 2023). </w:t>
      </w:r>
      <w:proofErr w:type="gramStart"/>
      <w:r>
        <w:t>In particular, Kim</w:t>
      </w:r>
      <w:proofErr w:type="gramEnd"/>
      <w:r>
        <w:t>, Leban and Lee (2024, p. 1986) concluded that hacking gives “boys ... a sense of power and domination</w:t>
      </w:r>
      <w:r w:rsidR="00944B65">
        <w:t>,</w:t>
      </w:r>
      <w:r>
        <w:t>” while Walters (2023) excluded the female samples from the results as they appear to be statistically insignificant. However, gender per se is seen as a characteristic rather than a stimulus. Particularly, Wright (2020, p. 1721) argued that gender is “an inconsistent predictor</w:t>
      </w:r>
      <w:r w:rsidR="00944B65">
        <w:t>,</w:t>
      </w:r>
      <w:r>
        <w:t xml:space="preserve">” which is supported by Holt </w:t>
      </w:r>
      <w:r w:rsidRPr="004C1D26">
        <w:rPr>
          <w:i/>
          <w:iCs/>
        </w:rPr>
        <w:t>et al.</w:t>
      </w:r>
      <w:r>
        <w:t>’s (2021) research showing an increase in female hackers. Hence, Wright (2020) suggested that researchers should instead look at aggression provoked by masculinity rather than gender to understand what motivates teenage hackers.</w:t>
      </w:r>
    </w:p>
    <w:p w14:paraId="5D3B6C14" w14:textId="77777777" w:rsidR="00717FAB" w:rsidRDefault="00717FAB" w:rsidP="00AD2700">
      <w:pPr>
        <w:pStyle w:val="Heading4"/>
        <w:spacing w:line="276" w:lineRule="auto"/>
      </w:pPr>
      <w:r>
        <w:t>4.1.4. Criminal nature</w:t>
      </w:r>
    </w:p>
    <w:p w14:paraId="4BAE35B3" w14:textId="77777777" w:rsidR="00717FAB" w:rsidRDefault="00717FAB" w:rsidP="00AD2700">
      <w:pPr>
        <w:spacing w:before="240"/>
        <w:jc w:val="both"/>
      </w:pPr>
      <w:r>
        <w:t xml:space="preserve">Similarly, 60% of papers explain hacking via a willingness to commit a crime (Aiken </w:t>
      </w:r>
      <w:r w:rsidRPr="00860531">
        <w:rPr>
          <w:i/>
          <w:iCs/>
        </w:rPr>
        <w:t>et al.</w:t>
      </w:r>
      <w:r>
        <w:t xml:space="preserve">, 2024; Guo and Wang, 2024; Holt, Navarro and Clevenger, 2020; Kim, Leban and Lee, 2024; Walters, 2023; Whitten </w:t>
      </w:r>
      <w:r w:rsidRPr="004C1D26">
        <w:rPr>
          <w:i/>
          <w:iCs/>
        </w:rPr>
        <w:t>et al.</w:t>
      </w:r>
      <w:r>
        <w:t xml:space="preserve">, 2024). </w:t>
      </w:r>
      <w:proofErr w:type="gramStart"/>
      <w:r>
        <w:t>In particular, Aiken</w:t>
      </w:r>
      <w:proofErr w:type="gramEnd"/>
      <w:r>
        <w:t xml:space="preserve"> </w:t>
      </w:r>
      <w:r w:rsidRPr="004C1D26">
        <w:rPr>
          <w:i/>
          <w:iCs/>
        </w:rPr>
        <w:t>et al.</w:t>
      </w:r>
      <w:r>
        <w:t xml:space="preserve"> (2024) believed that hacking is driven by a positive attitude to violence, which aligns with the conclusion of others that hackers are capable of drifting </w:t>
      </w:r>
      <w:r>
        <w:lastRenderedPageBreak/>
        <w:t>between online and offline delinquency. Nevertheless, while Guo and Wang (2024) supported offline/online dependency, they considered the criminal attitude to be a low-risk factor.</w:t>
      </w:r>
    </w:p>
    <w:p w14:paraId="754EE639" w14:textId="77777777" w:rsidR="00717FAB" w:rsidRDefault="00717FAB" w:rsidP="00AD2700">
      <w:pPr>
        <w:pStyle w:val="Heading4"/>
        <w:spacing w:line="276" w:lineRule="auto"/>
      </w:pPr>
      <w:r>
        <w:t>4.1.5. Need for social acceptance</w:t>
      </w:r>
    </w:p>
    <w:p w14:paraId="6EE2FC82" w14:textId="77777777" w:rsidR="00717FAB" w:rsidRDefault="00717FAB" w:rsidP="00AD2700">
      <w:pPr>
        <w:spacing w:before="240"/>
        <w:jc w:val="both"/>
      </w:pPr>
      <w:r>
        <w:t>Surprisingly, only 40% of reviewed literature considers hacking a peer-motivated crime (Fox and Holt, 2021; Holt, Navarro and Clevenger, 2020; Kim, Leban and Lee, 2024; Lee and Holt, 2020). Adolescence is when social acceptance is the most important for self-development (</w:t>
      </w:r>
      <w:proofErr w:type="spellStart"/>
      <w:r>
        <w:t>Tomova</w:t>
      </w:r>
      <w:proofErr w:type="spellEnd"/>
      <w:r>
        <w:t>, Andrews and Blakemore, 2021). Based on the time young people spend gaming and socialising online, it is possible to conclude that most of their peers share the same virtual space. As older researchers suggest, hacking is a subculture: adolescents who become part of the hacker community need to prove their hacking skills to achieve exposure and respect from their peers (Lee, 2018; Sela-</w:t>
      </w:r>
      <w:proofErr w:type="spellStart"/>
      <w:r>
        <w:t>Shayovitz</w:t>
      </w:r>
      <w:proofErr w:type="spellEnd"/>
      <w:r>
        <w:t>, 2012). Interestingly, no research among findings disproves peer-instigation as a significant factor for hacking.</w:t>
      </w:r>
    </w:p>
    <w:p w14:paraId="14FE0555" w14:textId="77777777" w:rsidR="00717FAB" w:rsidRDefault="00717FAB" w:rsidP="00AD2700">
      <w:pPr>
        <w:pStyle w:val="Heading4"/>
        <w:spacing w:line="276" w:lineRule="auto"/>
      </w:pPr>
      <w:r>
        <w:t xml:space="preserve">4.1.6. Weak </w:t>
      </w:r>
      <w:r w:rsidRPr="00717FAB">
        <w:t>social</w:t>
      </w:r>
      <w:r>
        <w:t xml:space="preserve"> bonds</w:t>
      </w:r>
      <w:r>
        <w:tab/>
      </w:r>
    </w:p>
    <w:p w14:paraId="701F5C54" w14:textId="0E335616" w:rsidR="00717FAB" w:rsidRDefault="00717FAB" w:rsidP="00AD2700">
      <w:pPr>
        <w:spacing w:before="240"/>
        <w:jc w:val="both"/>
      </w:pPr>
      <w:r>
        <w:t xml:space="preserve">The role of social bonds with family and school in motivating hackers received less attention and support among findings. Here, the scholars’ opinions </w:t>
      </w:r>
      <w:proofErr w:type="gramStart"/>
      <w:r>
        <w:t>divert:</w:t>
      </w:r>
      <w:proofErr w:type="gramEnd"/>
      <w:r>
        <w:t xml:space="preserve"> while Aiken </w:t>
      </w:r>
      <w:r w:rsidRPr="004C1D26">
        <w:rPr>
          <w:i/>
          <w:iCs/>
        </w:rPr>
        <w:t>et al.</w:t>
      </w:r>
      <w:r>
        <w:t xml:space="preserve"> (2024) and Lee and Holt (2020) supported the idea that strong family and school bonds act as demotivators, Guo and Wang (2024) and Kim, Leban and Lee (2024) found low to </w:t>
      </w:r>
      <w:r w:rsidR="00E25B9C">
        <w:t>no</w:t>
      </w:r>
      <w:r>
        <w:t xml:space="preserve"> relation between hacking and social attachment. Hence, there is not enough literature to prove or disprove the impact of weak social bonds on illegal teenage hacking. More research using more recent data is required to cover this theme.</w:t>
      </w:r>
    </w:p>
    <w:p w14:paraId="7E25E32B" w14:textId="77777777" w:rsidR="00717FAB" w:rsidRDefault="00717FAB" w:rsidP="00AD2700">
      <w:pPr>
        <w:pStyle w:val="Heading3"/>
        <w:spacing w:line="276" w:lineRule="auto"/>
      </w:pPr>
      <w:r>
        <w:t>4.2. Policy implication</w:t>
      </w:r>
    </w:p>
    <w:p w14:paraId="0E88F4F7" w14:textId="77777777" w:rsidR="00717FAB" w:rsidRDefault="00717FAB" w:rsidP="00AD2700">
      <w:pPr>
        <w:spacing w:before="240"/>
        <w:jc w:val="both"/>
      </w:pPr>
      <w:r>
        <w:t xml:space="preserve">This review also uncovers conflicting opinions among scholars on policy implications. Holt </w:t>
      </w:r>
      <w:r w:rsidRPr="004C1D26">
        <w:rPr>
          <w:i/>
          <w:iCs/>
        </w:rPr>
        <w:t>et al.</w:t>
      </w:r>
      <w:r>
        <w:t xml:space="preserve"> (2021), Holt, Navarro and Clevenger (2020) and Lee and Holt (2020) concluded that the researched motivations align with the existing criminological theories well and, therefore, there is no need for a new policy. Conversely, Fox and Holt (2021) acknowledged the need for a new approach based on the hacking drivers’ uniqueness. After looking at the approach each of these scholars used to answer the question, it is possible to conclude that advice on policy implications depends on whether the research focuses on the crime itself or on applying existing theory.</w:t>
      </w:r>
    </w:p>
    <w:p w14:paraId="372A6373" w14:textId="77777777" w:rsidR="00717FAB" w:rsidRDefault="00717FAB" w:rsidP="00AD2700">
      <w:pPr>
        <w:pStyle w:val="Heading3"/>
        <w:spacing w:line="276" w:lineRule="auto"/>
      </w:pPr>
      <w:r>
        <w:t xml:space="preserve">4.3. </w:t>
      </w:r>
      <w:r w:rsidRPr="00717FAB">
        <w:t>Limitations</w:t>
      </w:r>
    </w:p>
    <w:p w14:paraId="6866D92A" w14:textId="41AAA844" w:rsidR="00B45D8B" w:rsidRDefault="00AC3353" w:rsidP="00AD2700">
      <w:pPr>
        <w:spacing w:before="240"/>
        <w:jc w:val="both"/>
      </w:pPr>
      <w:r w:rsidRPr="00AC3353">
        <w:t>The current review has a few limitations. Firstly, the search query restricts results to papers with the age group mentioned in the title. Such a specific requirement overlooks any other research on hackers’ motivation, even with a suitable sample age group</w:t>
      </w:r>
      <w:r w:rsidR="00D430AF">
        <w:t>;</w:t>
      </w:r>
      <w:r w:rsidRPr="00AC3353">
        <w:t xml:space="preserve"> for example, Holt and Steinmetz (2021) and Owen and Head (2022). Secondly, the applied criteria excluded publications prior to 2020, as well as the grey literature, except for conference papers. As </w:t>
      </w:r>
      <w:proofErr w:type="spellStart"/>
      <w:r w:rsidRPr="00AC3353">
        <w:t>Soesanto</w:t>
      </w:r>
      <w:proofErr w:type="spellEnd"/>
      <w:r w:rsidRPr="00AC3353">
        <w:t xml:space="preserve"> and Smeets (2021) noted, most </w:t>
      </w:r>
      <w:r w:rsidRPr="00AC3353">
        <w:lastRenderedPageBreak/>
        <w:t>research and publications on cybercrime were conducted by 2016, which falls outside the current research date range. For example, while Aiken, Davidson and Amann’s (2016) work on youth pathways into cybercrime supports the proposed themes, it also extends the approach beyond criminological theories. On the other hand, this limitation highlights a problem: there is still a lack of effective policies while hacking is on the rise (for example, Tidy (2025) and Townsend (2025)).</w:t>
      </w:r>
    </w:p>
    <w:p w14:paraId="53AF98E3" w14:textId="77777777" w:rsidR="0095584D" w:rsidRPr="0029239F" w:rsidRDefault="0095584D" w:rsidP="00192270">
      <w:pPr>
        <w:pStyle w:val="Heading2"/>
      </w:pPr>
      <w:r w:rsidRPr="0029239F">
        <w:t>5. Conclusion</w:t>
      </w:r>
    </w:p>
    <w:p w14:paraId="12891183" w14:textId="4A97844F" w:rsidR="0095584D" w:rsidRPr="00A00C6D" w:rsidRDefault="0095584D" w:rsidP="00192270">
      <w:pPr>
        <w:spacing w:before="240"/>
        <w:jc w:val="both"/>
      </w:pPr>
      <w:r w:rsidRPr="00A00C6D">
        <w:t>A hacker’s professional path starts with a little knowledge and an initial toolkit (</w:t>
      </w:r>
      <w:r w:rsidR="003B6FF4">
        <w:t>V</w:t>
      </w:r>
      <w:r w:rsidRPr="00A00C6D">
        <w:t xml:space="preserve">an Beveren, 2001). Different hacker typologies refer to them using different terms like </w:t>
      </w:r>
      <w:r w:rsidR="00AC4266">
        <w:t>“</w:t>
      </w:r>
      <w:r w:rsidRPr="00A00C6D">
        <w:t>newbies</w:t>
      </w:r>
      <w:r w:rsidR="00AC4266">
        <w:t>,”</w:t>
      </w:r>
      <w:r w:rsidRPr="00A00C6D">
        <w:t xml:space="preserve"> </w:t>
      </w:r>
      <w:r w:rsidR="00AC4266">
        <w:t>“</w:t>
      </w:r>
      <w:r w:rsidRPr="00A00C6D">
        <w:t>novices</w:t>
      </w:r>
      <w:r w:rsidR="00AC4266">
        <w:t>,”</w:t>
      </w:r>
      <w:r w:rsidRPr="00A00C6D">
        <w:t xml:space="preserve"> or </w:t>
      </w:r>
      <w:r w:rsidR="00AC4266">
        <w:t>“</w:t>
      </w:r>
      <w:r w:rsidRPr="00A00C6D">
        <w:t>script kiddies</w:t>
      </w:r>
      <w:r w:rsidR="00AC4266">
        <w:t>,”</w:t>
      </w:r>
      <w:r w:rsidRPr="00A00C6D">
        <w:t xml:space="preserve"> but the definition remains the same: “[lowly</w:t>
      </w:r>
      <w:r w:rsidR="0068577B">
        <w:t>]</w:t>
      </w:r>
      <w:r w:rsidRPr="00A00C6D">
        <w:t xml:space="preserve"> skilled hackers who heavily rely on online toolkits” (Chng </w:t>
      </w:r>
      <w:r w:rsidRPr="004C1D26">
        <w:rPr>
          <w:i/>
          <w:iCs/>
        </w:rPr>
        <w:t>et al.</w:t>
      </w:r>
      <w:r w:rsidRPr="00A00C6D">
        <w:t xml:space="preserve">, 2022, p. 4). As with any other crime, demotivating young people from entering the criminal path is a proactive way to reduce the number of cybercrimes. This systematic literature review has found that, in the last five years, scholars have tried to explain teenage hacker motivation by applying the General Theory of Crime, Routine Activity Theory and Social Learning Theory (Bandura, 1977; Cohen </w:t>
      </w:r>
      <w:r>
        <w:t>and</w:t>
      </w:r>
      <w:r w:rsidRPr="00A00C6D">
        <w:t xml:space="preserve"> Felson, 1979; Gottfredson </w:t>
      </w:r>
      <w:r>
        <w:t>and</w:t>
      </w:r>
      <w:r w:rsidRPr="00A00C6D">
        <w:t xml:space="preserve"> Hirschi, 1990). Among the reviewed literature, six main themes emerged: internal motivators as a natural characteristic of this age group, seduction by attractive opportunities to hack, masculinity, the criminal nature of hackers, the need for social acceptance</w:t>
      </w:r>
      <w:r>
        <w:t xml:space="preserve">, and </w:t>
      </w:r>
      <w:r w:rsidRPr="00A00C6D">
        <w:t xml:space="preserve">weak social bonds. </w:t>
      </w:r>
      <w:r>
        <w:t>Importantly</w:t>
      </w:r>
      <w:r w:rsidRPr="00A00C6D">
        <w:t>, half of the reviewed research was conducted on almost twenty-year-old self-reported data, which may compromise the relevance of defined motivations to starting hackers.</w:t>
      </w:r>
    </w:p>
    <w:p w14:paraId="2F718849" w14:textId="0AB1F142" w:rsidR="0095584D" w:rsidRPr="00A00C6D" w:rsidRDefault="0095584D" w:rsidP="00192270">
      <w:pPr>
        <w:spacing w:before="240"/>
        <w:jc w:val="both"/>
      </w:pPr>
      <w:r>
        <w:t>T</w:t>
      </w:r>
      <w:r w:rsidRPr="00A00C6D">
        <w:t xml:space="preserve">his review </w:t>
      </w:r>
      <w:r>
        <w:t xml:space="preserve">has also </w:t>
      </w:r>
      <w:r w:rsidRPr="00A00C6D">
        <w:t xml:space="preserve">found that none of the analysed literature </w:t>
      </w:r>
      <w:r>
        <w:t>gives</w:t>
      </w:r>
      <w:r w:rsidRPr="00A00C6D">
        <w:t xml:space="preserve"> much attention to </w:t>
      </w:r>
      <w:r>
        <w:t xml:space="preserve">how </w:t>
      </w:r>
      <w:r w:rsidRPr="00A00C6D">
        <w:t xml:space="preserve">the age of hackers </w:t>
      </w:r>
      <w:r>
        <w:t>impacts their</w:t>
      </w:r>
      <w:r w:rsidRPr="00A00C6D">
        <w:t xml:space="preserve"> perception of </w:t>
      </w:r>
      <w:r>
        <w:t>cybercrime</w:t>
      </w:r>
      <w:r w:rsidRPr="00A00C6D">
        <w:t xml:space="preserve">. When turning </w:t>
      </w:r>
      <w:r>
        <w:t>focus</w:t>
      </w:r>
      <w:r w:rsidRPr="00A00C6D">
        <w:t xml:space="preserve"> to </w:t>
      </w:r>
      <w:r>
        <w:t>recent</w:t>
      </w:r>
      <w:r w:rsidRPr="00A00C6D">
        <w:t xml:space="preserve"> social </w:t>
      </w:r>
      <w:r>
        <w:t xml:space="preserve">and traditional </w:t>
      </w:r>
      <w:r w:rsidRPr="00A00C6D">
        <w:t>media</w:t>
      </w:r>
      <w:r>
        <w:t xml:space="preserve"> content, one may notice </w:t>
      </w:r>
      <w:r w:rsidRPr="00A00C6D">
        <w:t xml:space="preserve">that </w:t>
      </w:r>
      <w:r>
        <w:t>academic studies do not directly address</w:t>
      </w:r>
      <w:r w:rsidRPr="00A00C6D">
        <w:t xml:space="preserve"> </w:t>
      </w:r>
      <w:r>
        <w:t>the</w:t>
      </w:r>
      <w:r w:rsidRPr="00A00C6D">
        <w:t xml:space="preserve"> idea that adolescents may </w:t>
      </w:r>
      <w:r>
        <w:t>perceive</w:t>
      </w:r>
      <w:r w:rsidRPr="00A00C6D">
        <w:t xml:space="preserve"> hacking just as another form of gaming (Irish Tech News, </w:t>
      </w:r>
      <w:r>
        <w:t>no date</w:t>
      </w:r>
      <w:r w:rsidRPr="00A00C6D">
        <w:t xml:space="preserve">). </w:t>
      </w:r>
      <w:r w:rsidRPr="007F06FB">
        <w:t>However, it is possible to consider that internal motivation, attractive opportunities, and the need for social acceptance indirectly contribute to such teenagers’ perceptions.</w:t>
      </w:r>
      <w:r w:rsidRPr="00A00C6D">
        <w:t xml:space="preserve"> Additionally, the findings do not address the impact of </w:t>
      </w:r>
      <w:r>
        <w:t>cyber</w:t>
      </w:r>
      <w:r w:rsidRPr="00A00C6D">
        <w:t xml:space="preserve">crime </w:t>
      </w:r>
      <w:r>
        <w:t xml:space="preserve">remoteness </w:t>
      </w:r>
      <w:r w:rsidRPr="00A00C6D">
        <w:t>on the hacker’s mindset, which may cancel the effectiveness of most existing deterrence methods. Surprisingly, monetary gain as a motivator was</w:t>
      </w:r>
      <w:r w:rsidR="00D430AF">
        <w:t xml:space="preserve"> not</w:t>
      </w:r>
      <w:r w:rsidRPr="00A00C6D">
        <w:t xml:space="preserve"> included in any of the reviewed studies.</w:t>
      </w:r>
    </w:p>
    <w:p w14:paraId="31862D1D" w14:textId="5E67E06A" w:rsidR="0095584D" w:rsidRPr="00A00C6D" w:rsidRDefault="0095584D" w:rsidP="00192270">
      <w:pPr>
        <w:spacing w:before="240"/>
        <w:jc w:val="both"/>
      </w:pPr>
      <w:r>
        <w:t>Thus, a few</w:t>
      </w:r>
      <w:r w:rsidRPr="00A00C6D">
        <w:t xml:space="preserve"> policy implications</w:t>
      </w:r>
      <w:r>
        <w:t xml:space="preserve"> should be considered</w:t>
      </w:r>
      <w:r w:rsidRPr="00A00C6D">
        <w:t xml:space="preserve">. Firstly, policymakers should focus on teenagers’ rebellious and adventure-seeking nature to tackle their involvement in deviant interaction in the virtual world (Zhang </w:t>
      </w:r>
      <w:r>
        <w:t>and</w:t>
      </w:r>
      <w:r w:rsidRPr="00A00C6D">
        <w:t xml:space="preserve"> Li, 2022). </w:t>
      </w:r>
      <w:r w:rsidR="005A5902" w:rsidRPr="005A5902">
        <w:t>Deriving from Filley’s (1999) conclusions, cybercrime deterrence through defence only instigates teenagers into delinquent behaviour, while cultivating mindfulness helps reduce the chance of harm in risky situations.</w:t>
      </w:r>
      <w:r>
        <w:t xml:space="preserve"> Hence</w:t>
      </w:r>
      <w:r w:rsidRPr="00A00C6D">
        <w:t>, it is worth investing in educating teenagers to understand the</w:t>
      </w:r>
      <w:r>
        <w:t xml:space="preserve"> direct and indirect</w:t>
      </w:r>
      <w:r w:rsidRPr="00A00C6D">
        <w:t xml:space="preserve"> </w:t>
      </w:r>
      <w:r>
        <w:t>impact</w:t>
      </w:r>
      <w:r w:rsidRPr="00A00C6D">
        <w:t xml:space="preserve"> of cybercrime </w:t>
      </w:r>
      <w:r>
        <w:t>on all affected</w:t>
      </w:r>
      <w:r w:rsidRPr="00A00C6D">
        <w:t>.</w:t>
      </w:r>
      <w:r w:rsidRPr="007922C5">
        <w:t xml:space="preserve"> </w:t>
      </w:r>
      <w:r w:rsidRPr="00A00C6D">
        <w:t>Secondly</w:t>
      </w:r>
      <w:r>
        <w:t>, a</w:t>
      </w:r>
      <w:r w:rsidRPr="00A00C6D">
        <w:t xml:space="preserve">s our daily interactions in the virtual world increase, the policies </w:t>
      </w:r>
      <w:r w:rsidR="00AA7066" w:rsidRPr="00A00C6D">
        <w:t xml:space="preserve">must </w:t>
      </w:r>
      <w:r w:rsidRPr="00A00C6D">
        <w:t>also</w:t>
      </w:r>
      <w:r w:rsidR="00AA7066">
        <w:t xml:space="preserve"> </w:t>
      </w:r>
      <w:r w:rsidRPr="00A00C6D">
        <w:t xml:space="preserve">define cyber-etiquette, emphasising respect for virtual privacy and personal data. </w:t>
      </w:r>
      <w:r>
        <w:t>Lastly</w:t>
      </w:r>
      <w:r w:rsidRPr="00A00C6D">
        <w:t xml:space="preserve">, the skills and inspiration of adolescents already engaged in hacking can be re-used to enhance cyber-defence. </w:t>
      </w:r>
      <w:r w:rsidRPr="00A00C6D">
        <w:lastRenderedPageBreak/>
        <w:t>Both modern society and national security may greatly benefit from converting young black-hat hackers into white-hat ones, as in examples with Reuben Paul and Cal Leeming (Leeming, 2022).</w:t>
      </w:r>
    </w:p>
    <w:p w14:paraId="2E998C7E" w14:textId="42A4D23B" w:rsidR="0095584D" w:rsidRDefault="00AB200E" w:rsidP="00192270">
      <w:pPr>
        <w:spacing w:before="240"/>
        <w:jc w:val="both"/>
      </w:pPr>
      <w:r w:rsidRPr="00AB200E">
        <w:t xml:space="preserve">However, the mentioned policy implications must be taken cautiously due to the limitations of the current and reviewed studies. To test the proposed deterrence approaches, it is advisable to perform another review on the correlation between harm awareness and delinquency among youth. Additionally, to understand how technological evolution encourages hacking, it is worthwhile to conduct further research using the most recent data (for example, the ISRD-4 dataset) and trace a change in hackers’ motivation between generations (Marshall </w:t>
      </w:r>
      <w:r w:rsidRPr="004C1D26">
        <w:rPr>
          <w:i/>
          <w:iCs/>
        </w:rPr>
        <w:t>et al.</w:t>
      </w:r>
      <w:r w:rsidRPr="00AB200E">
        <w:t>, 2022). Lastly, instead of applying the fit-in-theory approach, it may be beneficial to revisit the issue of hacking from a psychological perspective to understand and deter this youth crime of the digital age.</w:t>
      </w:r>
    </w:p>
    <w:p w14:paraId="1C0E7A29" w14:textId="77777777" w:rsidR="00B45D8B" w:rsidRPr="00B45D8B" w:rsidRDefault="00B45D8B" w:rsidP="00CF5C0C">
      <w:pPr>
        <w:pStyle w:val="Heading2"/>
        <w:rPr>
          <w:sz w:val="28"/>
          <w:szCs w:val="40"/>
        </w:rPr>
      </w:pPr>
      <w:r w:rsidRPr="00B45D8B">
        <w:t>References</w:t>
      </w:r>
    </w:p>
    <w:p w14:paraId="3754C3DC" w14:textId="47C94FE8" w:rsidR="00EC3AD3" w:rsidRDefault="00EC3AD3" w:rsidP="002D1EAC">
      <w:pPr>
        <w:pStyle w:val="Bibliography"/>
        <w:spacing w:after="160"/>
      </w:pPr>
      <w:r>
        <w:t>Aiken,</w:t>
      </w:r>
      <w:r w:rsidR="00AB50DB">
        <w:t xml:space="preserve"> M.,</w:t>
      </w:r>
      <w:r>
        <w:t xml:space="preserve"> Davidson</w:t>
      </w:r>
      <w:r w:rsidR="00AB50DB">
        <w:t>, J.</w:t>
      </w:r>
      <w:r>
        <w:t xml:space="preserve"> and Amann</w:t>
      </w:r>
      <w:r w:rsidR="00AB50DB">
        <w:t xml:space="preserve">, P. (2016) </w:t>
      </w:r>
      <w:r w:rsidR="006F7A47" w:rsidRPr="00154D9A">
        <w:rPr>
          <w:i/>
          <w:iCs/>
        </w:rPr>
        <w:t>Youth Pathways into Cybercrime</w:t>
      </w:r>
      <w:r w:rsidR="00154D9A">
        <w:t>.</w:t>
      </w:r>
      <w:r w:rsidR="00915648">
        <w:t xml:space="preserve"> Available at:</w:t>
      </w:r>
      <w:r w:rsidR="002D1EAC">
        <w:t xml:space="preserve"> </w:t>
      </w:r>
      <w:r w:rsidR="00B33C98" w:rsidRPr="00B33C98">
        <w:t>https://www.europol.europa.eu/cms/sites/default/files/documents/pathways-white-paper.pdf</w:t>
      </w:r>
      <w:r w:rsidR="00B33C98">
        <w:t xml:space="preserve"> (Accessed: </w:t>
      </w:r>
      <w:r w:rsidR="008A419B">
        <w:t>30 September 2025).</w:t>
      </w:r>
    </w:p>
    <w:p w14:paraId="40AFF180" w14:textId="42E2E4DB" w:rsidR="004F69B5" w:rsidRPr="00CC5E84" w:rsidRDefault="004F69B5" w:rsidP="002D1EAC">
      <w:pPr>
        <w:pStyle w:val="Bibliography"/>
        <w:spacing w:after="160"/>
      </w:pPr>
      <w:r w:rsidRPr="00CC5E84">
        <w:t xml:space="preserve">Aiken, M. P. </w:t>
      </w:r>
      <w:r w:rsidRPr="004C1D26">
        <w:rPr>
          <w:i/>
          <w:iCs/>
        </w:rPr>
        <w:t>et al.</w:t>
      </w:r>
      <w:r w:rsidRPr="00CC5E84">
        <w:t xml:space="preserve"> (2024) ‘Intention to </w:t>
      </w:r>
      <w:r w:rsidR="00510904">
        <w:t>H</w:t>
      </w:r>
      <w:r w:rsidRPr="00CC5E84">
        <w:t xml:space="preserve">ack? Applying the </w:t>
      </w:r>
      <w:r w:rsidR="00510904">
        <w:t>T</w:t>
      </w:r>
      <w:r w:rsidRPr="00CC5E84">
        <w:t xml:space="preserve">heory of </w:t>
      </w:r>
      <w:r w:rsidR="00510904">
        <w:t>P</w:t>
      </w:r>
      <w:r w:rsidRPr="00CC5E84">
        <w:t xml:space="preserve">lanned </w:t>
      </w:r>
      <w:r w:rsidR="00510904">
        <w:t>B</w:t>
      </w:r>
      <w:r w:rsidRPr="00CC5E84">
        <w:t xml:space="preserve">ehaviour to </w:t>
      </w:r>
      <w:r w:rsidR="00510904">
        <w:t>Y</w:t>
      </w:r>
      <w:r w:rsidRPr="00CC5E84">
        <w:t>outh</w:t>
      </w:r>
      <w:r w:rsidR="002D1EAC">
        <w:t xml:space="preserve"> </w:t>
      </w:r>
      <w:r w:rsidR="00510904">
        <w:t>C</w:t>
      </w:r>
      <w:r w:rsidRPr="00CC5E84">
        <w:t xml:space="preserve">riminal </w:t>
      </w:r>
      <w:r w:rsidR="00510904">
        <w:t>H</w:t>
      </w:r>
      <w:r w:rsidRPr="00CC5E84">
        <w:t>acking’, </w:t>
      </w:r>
      <w:r w:rsidRPr="00154D9A">
        <w:rPr>
          <w:i/>
          <w:iCs/>
        </w:rPr>
        <w:t>Forensic Sciences</w:t>
      </w:r>
      <w:r w:rsidRPr="00CC5E84">
        <w:t>, 4(1), pp. 24-41. Available at: https://doi.org/10.3390/forensicsci4010003</w:t>
      </w:r>
    </w:p>
    <w:p w14:paraId="38D08D19" w14:textId="329D332D" w:rsidR="004F69B5" w:rsidRDefault="004F69B5" w:rsidP="002D1EAC">
      <w:pPr>
        <w:pStyle w:val="Bibliography"/>
        <w:spacing w:after="160"/>
        <w:ind w:left="720" w:hanging="720"/>
      </w:pPr>
      <w:r w:rsidRPr="00CC5E84">
        <w:t>Bandura, A. (1977) </w:t>
      </w:r>
      <w:r w:rsidRPr="008A419B">
        <w:rPr>
          <w:i/>
          <w:iCs/>
        </w:rPr>
        <w:t xml:space="preserve">Social </w:t>
      </w:r>
      <w:r w:rsidR="00510904">
        <w:rPr>
          <w:i/>
          <w:iCs/>
        </w:rPr>
        <w:t>L</w:t>
      </w:r>
      <w:r w:rsidRPr="008A419B">
        <w:rPr>
          <w:i/>
          <w:iCs/>
        </w:rPr>
        <w:t xml:space="preserve">earning </w:t>
      </w:r>
      <w:r w:rsidR="00510904">
        <w:rPr>
          <w:i/>
          <w:iCs/>
        </w:rPr>
        <w:t>T</w:t>
      </w:r>
      <w:r w:rsidRPr="008A419B">
        <w:rPr>
          <w:i/>
          <w:iCs/>
        </w:rPr>
        <w:t>heory</w:t>
      </w:r>
      <w:r w:rsidRPr="00CC5E84">
        <w:t>. USA: Prentice Hall.</w:t>
      </w:r>
    </w:p>
    <w:p w14:paraId="54C06B02" w14:textId="53104CCB" w:rsidR="00D430AF" w:rsidRPr="00D430AF" w:rsidRDefault="00D430AF" w:rsidP="00D430AF">
      <w:pPr>
        <w:pStyle w:val="Bibliography"/>
        <w:spacing w:after="160"/>
      </w:pPr>
      <w:r w:rsidRPr="00CC5E84">
        <w:t xml:space="preserve">Chng, S. </w:t>
      </w:r>
      <w:r w:rsidRPr="004C1D26">
        <w:rPr>
          <w:i/>
          <w:iCs/>
        </w:rPr>
        <w:t>et al.</w:t>
      </w:r>
      <w:r w:rsidRPr="00CC5E84">
        <w:t xml:space="preserve"> (2022) ‘Hacker types, motivations and strategies: A comprehensive framework’, </w:t>
      </w:r>
      <w:r w:rsidRPr="008A419B">
        <w:rPr>
          <w:i/>
          <w:iCs/>
        </w:rPr>
        <w:t xml:space="preserve">Computers in Human </w:t>
      </w:r>
      <w:proofErr w:type="spellStart"/>
      <w:r w:rsidRPr="008A419B">
        <w:rPr>
          <w:i/>
          <w:iCs/>
        </w:rPr>
        <w:t>Behavior</w:t>
      </w:r>
      <w:proofErr w:type="spellEnd"/>
      <w:r w:rsidRPr="008A419B">
        <w:rPr>
          <w:i/>
          <w:iCs/>
        </w:rPr>
        <w:t xml:space="preserve"> Reports</w:t>
      </w:r>
      <w:r w:rsidRPr="00CC5E84">
        <w:t>, 5, pp. 1-8. Available at: https://doi.org/10.1016/j.chbr.2022.100167</w:t>
      </w:r>
    </w:p>
    <w:p w14:paraId="33C1CA81" w14:textId="628D406E" w:rsidR="004F69B5" w:rsidRPr="00CC5E84" w:rsidRDefault="004F69B5" w:rsidP="002D1EAC">
      <w:pPr>
        <w:pStyle w:val="Bibliography"/>
        <w:spacing w:after="160"/>
      </w:pPr>
      <w:r w:rsidRPr="00CC5E84">
        <w:t>Choo, K.-K. R. and Grabosky, P. (2014) ‘Chapter 24 Cybercrime’, in L. Paoli (ed)</w:t>
      </w:r>
      <w:r w:rsidR="00190D55">
        <w:t>,</w:t>
      </w:r>
      <w:r w:rsidRPr="00CC5E84">
        <w:t> </w:t>
      </w:r>
      <w:r w:rsidRPr="00154D9A">
        <w:rPr>
          <w:i/>
          <w:iCs/>
        </w:rPr>
        <w:t>The Oxford</w:t>
      </w:r>
      <w:r w:rsidR="002D1EAC">
        <w:rPr>
          <w:i/>
          <w:iCs/>
        </w:rPr>
        <w:t xml:space="preserve"> </w:t>
      </w:r>
      <w:r w:rsidRPr="00154D9A">
        <w:rPr>
          <w:i/>
          <w:iCs/>
        </w:rPr>
        <w:t>Handbook of Organized Crime</w:t>
      </w:r>
      <w:r w:rsidRPr="00CC5E84">
        <w:t>. Oxford University Press, pp.</w:t>
      </w:r>
      <w:r w:rsidR="00190D55">
        <w:t xml:space="preserve"> </w:t>
      </w:r>
      <w:r w:rsidRPr="00CC5E84">
        <w:t>482–499.</w:t>
      </w:r>
    </w:p>
    <w:p w14:paraId="26D6A7FF" w14:textId="77777777" w:rsidR="004F69B5" w:rsidRPr="00CC5E84" w:rsidRDefault="004F69B5" w:rsidP="002D1EAC">
      <w:pPr>
        <w:pStyle w:val="Bibliography"/>
        <w:spacing w:after="160"/>
      </w:pPr>
      <w:r w:rsidRPr="00CC5E84">
        <w:t>Cohen, L. E. and Felson, M. (1979) ‘Social Change and Crime Rate Trends: A Routine Activity approach’, </w:t>
      </w:r>
      <w:r w:rsidRPr="008A419B">
        <w:rPr>
          <w:i/>
          <w:iCs/>
        </w:rPr>
        <w:t>American Sociological Review</w:t>
      </w:r>
      <w:r w:rsidRPr="00CC5E84">
        <w:t>, 44(4), pp. 588-698. Available at: https://doi.org/10.2307/2094589</w:t>
      </w:r>
    </w:p>
    <w:p w14:paraId="13F7B123" w14:textId="00982A5F" w:rsidR="004F69B5" w:rsidRPr="00CC5E84" w:rsidRDefault="004F69B5" w:rsidP="002D1EAC">
      <w:pPr>
        <w:pStyle w:val="Bibliography"/>
        <w:spacing w:after="160"/>
      </w:pPr>
      <w:r w:rsidRPr="00CC5E84">
        <w:t>Cooke, A., Smith, D. and Booth, A. (2012) ‘Beyond PICO</w:t>
      </w:r>
      <w:r w:rsidR="00190D55">
        <w:t>: The SPIDER Tool for Qualitative Evidence Synthesis</w:t>
      </w:r>
      <w:r w:rsidRPr="00CC5E84">
        <w:t>’, </w:t>
      </w:r>
      <w:r w:rsidRPr="008A419B">
        <w:rPr>
          <w:i/>
          <w:iCs/>
        </w:rPr>
        <w:t>Qualitative Health Research</w:t>
      </w:r>
      <w:r w:rsidRPr="00CC5E84">
        <w:t>, 22(10), pp. 1435-1443. Available at: https://doi.org/10.1177/1049732312452938</w:t>
      </w:r>
    </w:p>
    <w:p w14:paraId="20535AD7" w14:textId="77777777" w:rsidR="004F69B5" w:rsidRPr="00CC5E84" w:rsidRDefault="004F69B5" w:rsidP="002D1EAC">
      <w:pPr>
        <w:pStyle w:val="Bibliography"/>
        <w:spacing w:after="160"/>
      </w:pPr>
      <w:r w:rsidRPr="00CC5E84">
        <w:t xml:space="preserve">Enzmann, D. </w:t>
      </w:r>
      <w:r w:rsidRPr="004C1D26">
        <w:rPr>
          <w:i/>
          <w:iCs/>
        </w:rPr>
        <w:t>et al.</w:t>
      </w:r>
      <w:r w:rsidRPr="00CC5E84">
        <w:t xml:space="preserve"> (2015) </w:t>
      </w:r>
      <w:r w:rsidRPr="00B01ACE">
        <w:rPr>
          <w:i/>
          <w:iCs/>
        </w:rPr>
        <w:t>Second International Self-Reported Delinquency Study</w:t>
      </w:r>
      <w:r w:rsidRPr="00CC5E84">
        <w:t>, 2005-2007. Available at: https://doi.org/10.3886/ICPSR34658.v2</w:t>
      </w:r>
    </w:p>
    <w:p w14:paraId="38D0BCC1" w14:textId="4A261CEF" w:rsidR="004F69B5" w:rsidRPr="00CC5E84" w:rsidRDefault="004F69B5" w:rsidP="002D1EAC">
      <w:pPr>
        <w:pStyle w:val="Bibliography"/>
        <w:spacing w:after="160"/>
      </w:pPr>
      <w:r w:rsidRPr="00CC5E84">
        <w:t>Filley, D. (1999) ‘Forbidden Fruit: When Prohibition Increases the Harm It Is Supposed to Reduce’, </w:t>
      </w:r>
      <w:r w:rsidRPr="00B01ACE">
        <w:rPr>
          <w:i/>
          <w:iCs/>
        </w:rPr>
        <w:t>The Independent Review</w:t>
      </w:r>
      <w:r w:rsidRPr="00CC5E84">
        <w:t xml:space="preserve">, 3(3), pp. 441-451. Available at: </w:t>
      </w:r>
      <w:r w:rsidR="00E83B86" w:rsidRPr="00510904">
        <w:t>http://www.jstor.org/stable/24560928</w:t>
      </w:r>
      <w:r w:rsidR="00E83B86">
        <w:t xml:space="preserve"> (Accessed: 2 October 2025).</w:t>
      </w:r>
    </w:p>
    <w:p w14:paraId="3AE5F900" w14:textId="1D9100E7" w:rsidR="004F69B5" w:rsidRPr="00CC5E84" w:rsidRDefault="004F69B5" w:rsidP="002D1EAC">
      <w:pPr>
        <w:pStyle w:val="Bibliography"/>
        <w:spacing w:after="160"/>
      </w:pPr>
      <w:r w:rsidRPr="00CC5E84">
        <w:lastRenderedPageBreak/>
        <w:t xml:space="preserve">Fox, B. and Holt, T. J. (2021) ‘Use of a </w:t>
      </w:r>
      <w:proofErr w:type="spellStart"/>
      <w:r w:rsidR="00E83B86">
        <w:t>M</w:t>
      </w:r>
      <w:r w:rsidRPr="00CC5E84">
        <w:t>ultitheoretic</w:t>
      </w:r>
      <w:proofErr w:type="spellEnd"/>
      <w:r w:rsidRPr="00CC5E84">
        <w:t xml:space="preserve"> </w:t>
      </w:r>
      <w:r w:rsidR="00E83B86">
        <w:t>M</w:t>
      </w:r>
      <w:r w:rsidRPr="00CC5E84">
        <w:t xml:space="preserve">odel to </w:t>
      </w:r>
      <w:r w:rsidR="00E83B86">
        <w:t>U</w:t>
      </w:r>
      <w:r w:rsidRPr="00CC5E84">
        <w:t xml:space="preserve">nderstand and </w:t>
      </w:r>
      <w:r w:rsidR="00E83B86">
        <w:t>C</w:t>
      </w:r>
      <w:r w:rsidRPr="00CC5E84">
        <w:t xml:space="preserve">lassify </w:t>
      </w:r>
      <w:r w:rsidR="00E83B86">
        <w:t>J</w:t>
      </w:r>
      <w:r w:rsidRPr="00CC5E84">
        <w:t xml:space="preserve">uvenile </w:t>
      </w:r>
      <w:r w:rsidR="00E83B86">
        <w:t>C</w:t>
      </w:r>
      <w:r w:rsidRPr="00CC5E84">
        <w:t xml:space="preserve">omputer </w:t>
      </w:r>
      <w:r w:rsidR="00E83B86">
        <w:t>H</w:t>
      </w:r>
      <w:r w:rsidRPr="00CC5E84">
        <w:t xml:space="preserve">acking </w:t>
      </w:r>
      <w:proofErr w:type="spellStart"/>
      <w:r w:rsidR="00E83B86">
        <w:t>B</w:t>
      </w:r>
      <w:r w:rsidRPr="00CC5E84">
        <w:t>ehavior</w:t>
      </w:r>
      <w:proofErr w:type="spellEnd"/>
      <w:r w:rsidRPr="00CC5E84">
        <w:t>’, </w:t>
      </w:r>
      <w:r w:rsidRPr="00B01ACE">
        <w:rPr>
          <w:i/>
          <w:iCs/>
        </w:rPr>
        <w:t xml:space="preserve">Criminal Justice and </w:t>
      </w:r>
      <w:proofErr w:type="spellStart"/>
      <w:r w:rsidRPr="00B01ACE">
        <w:rPr>
          <w:i/>
          <w:iCs/>
        </w:rPr>
        <w:t>Behavior</w:t>
      </w:r>
      <w:proofErr w:type="spellEnd"/>
      <w:r w:rsidRPr="00CC5E84">
        <w:t>, 48(7), pp. 943-963. Available at: https://doi.org/10.1177/0093854820969754</w:t>
      </w:r>
    </w:p>
    <w:p w14:paraId="238E5A61" w14:textId="77777777" w:rsidR="004F69B5" w:rsidRPr="00CC5E84" w:rsidRDefault="004F69B5" w:rsidP="002D1EAC">
      <w:pPr>
        <w:pStyle w:val="Bibliography"/>
        <w:spacing w:after="160"/>
      </w:pPr>
      <w:r w:rsidRPr="00CC5E84">
        <w:t>Goldsmith, A. and Wall, D. S. (2022) ‘The seductions of cybercrime: Adolescence and the thrills of digital transgression’, </w:t>
      </w:r>
      <w:r w:rsidRPr="00B01ACE">
        <w:rPr>
          <w:i/>
          <w:iCs/>
        </w:rPr>
        <w:t>European Journal of Criminology</w:t>
      </w:r>
      <w:r w:rsidRPr="00CC5E84">
        <w:t>, 19(1), pp. 98-117. Available at: https://doi.org/10.1177/1477370819887305</w:t>
      </w:r>
    </w:p>
    <w:p w14:paraId="272E0BDD" w14:textId="77777777" w:rsidR="004F69B5" w:rsidRPr="00CC5E84" w:rsidRDefault="004F69B5" w:rsidP="002D1EAC">
      <w:pPr>
        <w:pStyle w:val="Bibliography"/>
        <w:spacing w:after="160"/>
        <w:ind w:left="720" w:hanging="720"/>
      </w:pPr>
      <w:r w:rsidRPr="00CC5E84">
        <w:t>Gottfredson, M. R. and Hirschi, T. (1990) </w:t>
      </w:r>
      <w:r w:rsidRPr="00E83B86">
        <w:rPr>
          <w:i/>
          <w:iCs/>
        </w:rPr>
        <w:t>A general theory of crime</w:t>
      </w:r>
      <w:r w:rsidRPr="00CC5E84">
        <w:t>. Stanford University Press.</w:t>
      </w:r>
    </w:p>
    <w:p w14:paraId="2C89E1D9" w14:textId="77777777" w:rsidR="004F69B5" w:rsidRPr="00CC5E84" w:rsidRDefault="004F69B5" w:rsidP="002D1EAC">
      <w:pPr>
        <w:pStyle w:val="Bibliography"/>
        <w:spacing w:after="160"/>
      </w:pPr>
      <w:r w:rsidRPr="00CC5E84">
        <w:t>Guo, S. and Wang, Y. (2024) ‘Investigating predictors of juvenile traditional and/or cyber offense using machine learning by constructing a decision support system’, </w:t>
      </w:r>
      <w:r w:rsidRPr="00756096">
        <w:rPr>
          <w:i/>
          <w:iCs/>
        </w:rPr>
        <w:t xml:space="preserve">Computers in Human </w:t>
      </w:r>
      <w:proofErr w:type="spellStart"/>
      <w:r w:rsidRPr="00756096">
        <w:rPr>
          <w:i/>
          <w:iCs/>
        </w:rPr>
        <w:t>Behavior</w:t>
      </w:r>
      <w:proofErr w:type="spellEnd"/>
      <w:r w:rsidRPr="00CC5E84">
        <w:t>, 152. Available at: https://doi.org/10.1016/j.chb.2023.108079</w:t>
      </w:r>
    </w:p>
    <w:p w14:paraId="40A9FD07" w14:textId="51A6786A" w:rsidR="004F69B5" w:rsidRPr="00CC5E84" w:rsidRDefault="004F69B5" w:rsidP="002D1EAC">
      <w:pPr>
        <w:pStyle w:val="Bibliography"/>
        <w:spacing w:after="160"/>
      </w:pPr>
      <w:r w:rsidRPr="00CC5E84">
        <w:t>Holt, T. J. (2007) ‘Subcultural evolution? Examining the influence of on- and off-line experiences on deviant subcultures’, </w:t>
      </w:r>
      <w:r w:rsidRPr="00756096">
        <w:rPr>
          <w:i/>
          <w:iCs/>
        </w:rPr>
        <w:t xml:space="preserve">Deviant </w:t>
      </w:r>
      <w:proofErr w:type="spellStart"/>
      <w:r w:rsidRPr="00756096">
        <w:rPr>
          <w:i/>
          <w:iCs/>
        </w:rPr>
        <w:t>Behavior</w:t>
      </w:r>
      <w:proofErr w:type="spellEnd"/>
      <w:r w:rsidRPr="00CC5E84">
        <w:t>, 28(2), pp. 171-198. Available at:</w:t>
      </w:r>
      <w:r w:rsidR="00042216">
        <w:t xml:space="preserve"> </w:t>
      </w:r>
      <w:r w:rsidRPr="00CC5E84">
        <w:t>https://doi.org/10.1080/01639620601131065</w:t>
      </w:r>
    </w:p>
    <w:p w14:paraId="545CBC0D" w14:textId="77777777" w:rsidR="004F69B5" w:rsidRPr="00CC5E84" w:rsidRDefault="004F69B5" w:rsidP="002D1EAC">
      <w:pPr>
        <w:pStyle w:val="Bibliography"/>
        <w:spacing w:after="160"/>
      </w:pPr>
      <w:r w:rsidRPr="00CC5E84">
        <w:t xml:space="preserve">Holt, T. J. </w:t>
      </w:r>
      <w:r w:rsidRPr="004C1D26">
        <w:rPr>
          <w:i/>
          <w:iCs/>
        </w:rPr>
        <w:t>et al.</w:t>
      </w:r>
      <w:r w:rsidRPr="00CC5E84">
        <w:t xml:space="preserve"> (2021) ‘Assessing the Role of Opportunity and Low Self-Control in Juvenile Hacking’, </w:t>
      </w:r>
      <w:r w:rsidRPr="00756096">
        <w:rPr>
          <w:i/>
          <w:iCs/>
        </w:rPr>
        <w:t>Crime &amp; Delinquency</w:t>
      </w:r>
      <w:r w:rsidRPr="00CC5E84">
        <w:t>, 67(5), pp. 662-688. Available at: https://doi.org/10.1177/0011128720978730</w:t>
      </w:r>
    </w:p>
    <w:p w14:paraId="04A715A5" w14:textId="2A508C0A" w:rsidR="004F69B5" w:rsidRPr="00CC5E84" w:rsidRDefault="004F69B5" w:rsidP="002D1EAC">
      <w:pPr>
        <w:pStyle w:val="Bibliography"/>
        <w:spacing w:after="160"/>
      </w:pPr>
      <w:r w:rsidRPr="00CC5E84">
        <w:t xml:space="preserve">Holt, T. J., Navarro, J. N. and Clevenger, S. (2020) ‘Exploring the </w:t>
      </w:r>
      <w:r w:rsidR="00042216">
        <w:t>M</w:t>
      </w:r>
      <w:r w:rsidRPr="00CC5E84">
        <w:t xml:space="preserve">oderating </w:t>
      </w:r>
      <w:r w:rsidR="00042216">
        <w:t>R</w:t>
      </w:r>
      <w:r w:rsidRPr="00CC5E84">
        <w:t xml:space="preserve">ole of </w:t>
      </w:r>
      <w:r w:rsidR="00042216">
        <w:t>G</w:t>
      </w:r>
      <w:r w:rsidRPr="00CC5E84">
        <w:t xml:space="preserve">ender in </w:t>
      </w:r>
      <w:r w:rsidR="00042216">
        <w:t>J</w:t>
      </w:r>
      <w:r w:rsidRPr="00CC5E84">
        <w:t xml:space="preserve">uvenile </w:t>
      </w:r>
      <w:r w:rsidR="00042216">
        <w:t>H</w:t>
      </w:r>
      <w:r w:rsidRPr="00CC5E84">
        <w:t xml:space="preserve">acking </w:t>
      </w:r>
      <w:proofErr w:type="spellStart"/>
      <w:r w:rsidR="00042216">
        <w:t>B</w:t>
      </w:r>
      <w:r w:rsidRPr="00CC5E84">
        <w:t>ehaviors</w:t>
      </w:r>
      <w:proofErr w:type="spellEnd"/>
      <w:r w:rsidRPr="00CC5E84">
        <w:t>’, </w:t>
      </w:r>
      <w:r w:rsidRPr="00756096">
        <w:rPr>
          <w:i/>
          <w:iCs/>
        </w:rPr>
        <w:t>Crime &amp; Delinquency</w:t>
      </w:r>
      <w:r w:rsidRPr="00CC5E84">
        <w:t>, 66(11), pp. 1533-1555. Available at: https://doi.org/10.1177/0011128719875697</w:t>
      </w:r>
    </w:p>
    <w:p w14:paraId="18F60308" w14:textId="6D93C024" w:rsidR="004F69B5" w:rsidRPr="00CC5E84" w:rsidRDefault="004F69B5" w:rsidP="002D1EAC">
      <w:pPr>
        <w:pStyle w:val="Bibliography"/>
        <w:spacing w:after="160"/>
      </w:pPr>
      <w:r w:rsidRPr="00CC5E84">
        <w:t xml:space="preserve">Holt, T. J. and Steinmetz, K. F. (2021) ‘Examining the </w:t>
      </w:r>
      <w:r w:rsidR="00042216">
        <w:t>R</w:t>
      </w:r>
      <w:r w:rsidRPr="00CC5E84">
        <w:t xml:space="preserve">ole of Power-Control Theory and Self-Control to </w:t>
      </w:r>
      <w:r w:rsidR="00042216">
        <w:t>A</w:t>
      </w:r>
      <w:r w:rsidRPr="00CC5E84">
        <w:t xml:space="preserve">ccount for </w:t>
      </w:r>
      <w:r w:rsidR="00042216">
        <w:t>C</w:t>
      </w:r>
      <w:r w:rsidRPr="00CC5E84">
        <w:t xml:space="preserve">omputer </w:t>
      </w:r>
      <w:r w:rsidR="00042216">
        <w:t>H</w:t>
      </w:r>
      <w:r w:rsidRPr="00CC5E84">
        <w:t>acking’, </w:t>
      </w:r>
      <w:r w:rsidRPr="00756096">
        <w:rPr>
          <w:i/>
          <w:iCs/>
        </w:rPr>
        <w:t>Crime &amp; Delinquency</w:t>
      </w:r>
      <w:r w:rsidRPr="00CC5E84">
        <w:t>, 67(10), pp. 1491-1512. Available at: https://doi.org/10.1177/0011128720981892</w:t>
      </w:r>
    </w:p>
    <w:p w14:paraId="30DF0434" w14:textId="5B6336E9" w:rsidR="004F69B5" w:rsidRPr="00CC5E84" w:rsidRDefault="004F69B5" w:rsidP="002D1EAC">
      <w:pPr>
        <w:pStyle w:val="Bibliography"/>
        <w:spacing w:after="160"/>
      </w:pPr>
      <w:r w:rsidRPr="00CC5E84">
        <w:t xml:space="preserve">HSE. (2023) </w:t>
      </w:r>
      <w:r w:rsidRPr="00756096">
        <w:rPr>
          <w:i/>
          <w:iCs/>
        </w:rPr>
        <w:t>Cyber-attack and HSE response</w:t>
      </w:r>
      <w:r w:rsidRPr="00CC5E84">
        <w:t>. Available at: https://www2.hse.ie/services/cyber-attack/what-happened/ (Accessed</w:t>
      </w:r>
      <w:r w:rsidR="000B6A5C">
        <w:t>:</w:t>
      </w:r>
      <w:r w:rsidRPr="00CC5E84">
        <w:t xml:space="preserve"> 27 April 2025).</w:t>
      </w:r>
    </w:p>
    <w:p w14:paraId="76B0FE80" w14:textId="021F85D3" w:rsidR="004F69B5" w:rsidRPr="00CC5E84" w:rsidRDefault="004F69B5" w:rsidP="002D1EAC">
      <w:pPr>
        <w:pStyle w:val="Bibliography"/>
        <w:spacing w:after="160"/>
      </w:pPr>
      <w:r w:rsidRPr="00CC5E84">
        <w:t xml:space="preserve">Irish Tech News (no date) </w:t>
      </w:r>
      <w:r w:rsidRPr="00ED6AEC">
        <w:rPr>
          <w:i/>
          <w:iCs/>
        </w:rPr>
        <w:t>Interview with Reuben Paul: Cyber Security Wake-Up Call – Hacking is Child’s Play</w:t>
      </w:r>
      <w:r w:rsidR="00ED6AEC">
        <w:t xml:space="preserve">. </w:t>
      </w:r>
      <w:r w:rsidRPr="00CC5E84">
        <w:t>Available at: https://irishtechnews.ie/interview-with-reuben-paul-cyber-security-wake-up-call-hacking-is-childs-play/amp/ (Accessed</w:t>
      </w:r>
      <w:r w:rsidR="000B6A5C">
        <w:t>:</w:t>
      </w:r>
      <w:r w:rsidRPr="00CC5E84">
        <w:t xml:space="preserve"> 27 April 2025).</w:t>
      </w:r>
    </w:p>
    <w:p w14:paraId="7F207CDE" w14:textId="6FA97A3A" w:rsidR="004F69B5" w:rsidRPr="00CC5E84" w:rsidRDefault="004F69B5" w:rsidP="002D1EAC">
      <w:pPr>
        <w:pStyle w:val="Bibliography"/>
        <w:spacing w:after="160"/>
      </w:pPr>
      <w:r w:rsidRPr="00CC5E84">
        <w:t xml:space="preserve">Kim, J., Leban, L. and Lee, Y. (2024) ‘Theoretical </w:t>
      </w:r>
      <w:r w:rsidR="00510904">
        <w:t>E</w:t>
      </w:r>
      <w:r w:rsidRPr="00CC5E84">
        <w:t xml:space="preserve">xplanations of the </w:t>
      </w:r>
      <w:r w:rsidR="00510904">
        <w:t>D</w:t>
      </w:r>
      <w:r w:rsidRPr="00CC5E84">
        <w:t xml:space="preserve">evelopment of </w:t>
      </w:r>
      <w:r w:rsidR="00510904">
        <w:t>Y</w:t>
      </w:r>
      <w:r w:rsidRPr="00CC5E84">
        <w:t xml:space="preserve">outh </w:t>
      </w:r>
      <w:r w:rsidR="00510904">
        <w:t>H</w:t>
      </w:r>
      <w:r w:rsidRPr="00CC5E84">
        <w:t>acking’, </w:t>
      </w:r>
      <w:r w:rsidRPr="00CA304B">
        <w:rPr>
          <w:i/>
          <w:iCs/>
        </w:rPr>
        <w:t>Crime &amp; Delinquency</w:t>
      </w:r>
      <w:r w:rsidRPr="00CC5E84">
        <w:t>, 70(8), pp. 1971-1992. Available at: https://doi.org/10.1177/00111287221115639</w:t>
      </w:r>
    </w:p>
    <w:p w14:paraId="1C6340F8" w14:textId="77777777" w:rsidR="004F69B5" w:rsidRPr="00CC5E84" w:rsidRDefault="004F69B5" w:rsidP="002D1EAC">
      <w:pPr>
        <w:pStyle w:val="Bibliography"/>
        <w:spacing w:after="160"/>
      </w:pPr>
      <w:r w:rsidRPr="00CC5E84">
        <w:t>Lee, B. H. (2018) ‘Explaining Cyber Deviance among School-Aged Youth’, </w:t>
      </w:r>
      <w:r w:rsidRPr="00CA304B">
        <w:rPr>
          <w:i/>
          <w:iCs/>
        </w:rPr>
        <w:t>Child Indicators Research</w:t>
      </w:r>
      <w:r w:rsidRPr="00CC5E84">
        <w:t>, 11(2), pp. 563-584. Available at: https://doi.org/10.1007/s12187-017-9450-2</w:t>
      </w:r>
    </w:p>
    <w:p w14:paraId="26C0285C" w14:textId="060332FF" w:rsidR="004F69B5" w:rsidRPr="00CC5E84" w:rsidRDefault="004F69B5" w:rsidP="002D1EAC">
      <w:pPr>
        <w:pStyle w:val="Bibliography"/>
        <w:spacing w:after="160"/>
      </w:pPr>
      <w:r w:rsidRPr="00CC5E84">
        <w:t xml:space="preserve">Lee, J. R. and Holt, T. J. (2020) ‘Assessing the </w:t>
      </w:r>
      <w:r w:rsidR="001717B4">
        <w:t>F</w:t>
      </w:r>
      <w:r w:rsidRPr="00CC5E84">
        <w:t xml:space="preserve">actors </w:t>
      </w:r>
      <w:r w:rsidR="001717B4">
        <w:t>A</w:t>
      </w:r>
      <w:r w:rsidRPr="00CC5E84">
        <w:t xml:space="preserve">ssociated </w:t>
      </w:r>
      <w:proofErr w:type="gramStart"/>
      <w:r w:rsidR="001717B4">
        <w:t>W</w:t>
      </w:r>
      <w:r w:rsidRPr="00CC5E84">
        <w:t>ith</w:t>
      </w:r>
      <w:proofErr w:type="gramEnd"/>
      <w:r w:rsidRPr="00CC5E84">
        <w:t xml:space="preserve"> the </w:t>
      </w:r>
      <w:r w:rsidR="001717B4">
        <w:t>D</w:t>
      </w:r>
      <w:r w:rsidRPr="00CC5E84">
        <w:t xml:space="preserve">etection of </w:t>
      </w:r>
      <w:r w:rsidR="001717B4">
        <w:t>J</w:t>
      </w:r>
      <w:r w:rsidRPr="00CC5E84">
        <w:t>uvenile</w:t>
      </w:r>
      <w:r w:rsidR="001717B4">
        <w:t xml:space="preserve"> H</w:t>
      </w:r>
      <w:r w:rsidRPr="00CC5E84">
        <w:t xml:space="preserve">acking </w:t>
      </w:r>
      <w:proofErr w:type="spellStart"/>
      <w:r w:rsidR="001717B4">
        <w:t>B</w:t>
      </w:r>
      <w:r w:rsidRPr="00CC5E84">
        <w:t>ehaviors</w:t>
      </w:r>
      <w:proofErr w:type="spellEnd"/>
      <w:r w:rsidRPr="00CC5E84">
        <w:t>’, </w:t>
      </w:r>
      <w:r w:rsidRPr="00CA304B">
        <w:rPr>
          <w:i/>
          <w:iCs/>
        </w:rPr>
        <w:t>Frontiers in Psychology</w:t>
      </w:r>
      <w:r w:rsidRPr="00CC5E84">
        <w:t>, 11. Available at: https://doi.org/10.3389/fpsyg.2020.00840</w:t>
      </w:r>
    </w:p>
    <w:p w14:paraId="34D92917" w14:textId="5C8B9E43" w:rsidR="004F69B5" w:rsidRPr="00CC5E84" w:rsidRDefault="004F69B5" w:rsidP="002D1EAC">
      <w:pPr>
        <w:pStyle w:val="Bibliography"/>
        <w:spacing w:after="160"/>
      </w:pPr>
      <w:r w:rsidRPr="00CC5E84">
        <w:lastRenderedPageBreak/>
        <w:t xml:space="preserve">Leeming, C. (2022) </w:t>
      </w:r>
      <w:r w:rsidRPr="00CA304B">
        <w:rPr>
          <w:i/>
          <w:iCs/>
        </w:rPr>
        <w:t>UK’s youngest convicted hacker and youth work</w:t>
      </w:r>
      <w:r w:rsidRPr="00CC5E84">
        <w:t>. Available at: https://pjp-eu.coe.int/en/web/youth-partnership/cal-leeming (Accessed</w:t>
      </w:r>
      <w:r w:rsidR="000B6A5C">
        <w:t>:</w:t>
      </w:r>
      <w:r w:rsidRPr="00CC5E84">
        <w:t xml:space="preserve"> 27 April 2025).</w:t>
      </w:r>
    </w:p>
    <w:p w14:paraId="0A0A1EC4" w14:textId="229AB01E" w:rsidR="004F69B5" w:rsidRPr="00CC5E84" w:rsidRDefault="004F69B5" w:rsidP="002D1EAC">
      <w:pPr>
        <w:pStyle w:val="Bibliography"/>
        <w:spacing w:after="160"/>
      </w:pPr>
      <w:r w:rsidRPr="00CC5E84">
        <w:t xml:space="preserve">Marshall, I. H. </w:t>
      </w:r>
      <w:r w:rsidRPr="004C1D26">
        <w:rPr>
          <w:i/>
          <w:iCs/>
        </w:rPr>
        <w:t>et al.</w:t>
      </w:r>
      <w:r w:rsidRPr="00CC5E84">
        <w:t xml:space="preserve"> (2022) </w:t>
      </w:r>
      <w:r w:rsidRPr="004171CE">
        <w:rPr>
          <w:i/>
          <w:iCs/>
        </w:rPr>
        <w:t xml:space="preserve">International Self-Report Delinquency (ISRD4) Study Protocol: Background, </w:t>
      </w:r>
      <w:r w:rsidR="001717B4">
        <w:rPr>
          <w:i/>
          <w:iCs/>
        </w:rPr>
        <w:t>M</w:t>
      </w:r>
      <w:r w:rsidRPr="004171CE">
        <w:rPr>
          <w:i/>
          <w:iCs/>
        </w:rPr>
        <w:t xml:space="preserve">ethodology and </w:t>
      </w:r>
      <w:r w:rsidR="001717B4">
        <w:rPr>
          <w:i/>
          <w:iCs/>
        </w:rPr>
        <w:t>M</w:t>
      </w:r>
      <w:r w:rsidRPr="004171CE">
        <w:rPr>
          <w:i/>
          <w:iCs/>
        </w:rPr>
        <w:t xml:space="preserve">andatory </w:t>
      </w:r>
      <w:r w:rsidR="001717B4">
        <w:rPr>
          <w:i/>
          <w:iCs/>
        </w:rPr>
        <w:t>I</w:t>
      </w:r>
      <w:r w:rsidRPr="004171CE">
        <w:rPr>
          <w:i/>
          <w:iCs/>
        </w:rPr>
        <w:t xml:space="preserve">tems for the 2021/2022 </w:t>
      </w:r>
      <w:r w:rsidR="001717B4">
        <w:rPr>
          <w:i/>
          <w:iCs/>
        </w:rPr>
        <w:t>S</w:t>
      </w:r>
      <w:r w:rsidRPr="004171CE">
        <w:rPr>
          <w:i/>
          <w:iCs/>
        </w:rPr>
        <w:t>urvey</w:t>
      </w:r>
      <w:r w:rsidRPr="00CC5E84">
        <w:t>. Available at: https://www.ssoar.info/ssoar/handle/document/78879 (Accessed</w:t>
      </w:r>
      <w:r w:rsidR="000B6A5C">
        <w:t>:</w:t>
      </w:r>
      <w:r w:rsidRPr="00CC5E84">
        <w:t xml:space="preserve"> 27 April 2025).</w:t>
      </w:r>
    </w:p>
    <w:p w14:paraId="414AFCA6" w14:textId="598BB8B0" w:rsidR="004F69B5" w:rsidRPr="00CC5E84" w:rsidRDefault="004F69B5" w:rsidP="002D1EAC">
      <w:pPr>
        <w:pStyle w:val="Bibliography"/>
        <w:spacing w:after="160"/>
      </w:pPr>
      <w:r w:rsidRPr="00CC5E84">
        <w:t xml:space="preserve">Owen, K. and Head, M. (2022) ‘Motivation and </w:t>
      </w:r>
      <w:r w:rsidR="001717B4">
        <w:t>D</w:t>
      </w:r>
      <w:r w:rsidRPr="00CC5E84">
        <w:t xml:space="preserve">emotivation of </w:t>
      </w:r>
      <w:r w:rsidR="001717B4">
        <w:t>H</w:t>
      </w:r>
      <w:r w:rsidRPr="00CC5E84">
        <w:t xml:space="preserve">ackers in </w:t>
      </w:r>
      <w:r w:rsidR="001717B4">
        <w:t>S</w:t>
      </w:r>
      <w:r w:rsidRPr="00CC5E84">
        <w:t xml:space="preserve">electing a </w:t>
      </w:r>
      <w:r w:rsidR="001717B4">
        <w:t>H</w:t>
      </w:r>
      <w:r w:rsidRPr="00CC5E84">
        <w:t xml:space="preserve">acking </w:t>
      </w:r>
      <w:r w:rsidR="001717B4">
        <w:t>T</w:t>
      </w:r>
      <w:r w:rsidRPr="00CC5E84">
        <w:t>ask’, </w:t>
      </w:r>
      <w:r w:rsidRPr="004171CE">
        <w:rPr>
          <w:i/>
          <w:iCs/>
        </w:rPr>
        <w:t>Journal of Computer Information Systems</w:t>
      </w:r>
      <w:r w:rsidRPr="00CC5E84">
        <w:t>, 63(3), pp. 522-536. Available at: https://doi.org/10.1080/08874417.2022.2081883</w:t>
      </w:r>
    </w:p>
    <w:p w14:paraId="74CB5607" w14:textId="77777777" w:rsidR="004F69B5" w:rsidRPr="00CC5E84" w:rsidRDefault="004F69B5" w:rsidP="002D1EAC">
      <w:pPr>
        <w:pStyle w:val="Bibliography"/>
        <w:spacing w:after="160"/>
      </w:pPr>
      <w:r w:rsidRPr="00CC5E84">
        <w:t xml:space="preserve">Parder, M., </w:t>
      </w:r>
      <w:proofErr w:type="spellStart"/>
      <w:r w:rsidRPr="00CC5E84">
        <w:t>Gryffroy</w:t>
      </w:r>
      <w:proofErr w:type="spellEnd"/>
      <w:r w:rsidRPr="00CC5E84">
        <w:t>, P. and Juurik, M. (2024) ‘Ethical considerations in a pan-European project targeting adolescent cybercrime prevention’, </w:t>
      </w:r>
      <w:r w:rsidRPr="004171CE">
        <w:rPr>
          <w:i/>
          <w:iCs/>
        </w:rPr>
        <w:t>Research Ethics</w:t>
      </w:r>
      <w:r w:rsidRPr="00CC5E84">
        <w:t>, 20(3), pp. 471-489. Available at: https://doi.org/10.1177/17470161241247803</w:t>
      </w:r>
    </w:p>
    <w:p w14:paraId="37B02FB2" w14:textId="7733FBDF" w:rsidR="004F69B5" w:rsidRPr="00CC5E84" w:rsidRDefault="004F69B5" w:rsidP="002D1EAC">
      <w:pPr>
        <w:pStyle w:val="Bibliography"/>
        <w:spacing w:after="160"/>
      </w:pPr>
      <w:r w:rsidRPr="00CC5E84">
        <w:t xml:space="preserve">Petrosyan, A. (2024) </w:t>
      </w:r>
      <w:r w:rsidRPr="004171CE">
        <w:rPr>
          <w:i/>
          <w:iCs/>
        </w:rPr>
        <w:t>Annual number of data compromises and individuals impacted in the United States from 2005 to 2023.</w:t>
      </w:r>
      <w:r w:rsidRPr="00CC5E84">
        <w:t xml:space="preserve"> Available at: https://www.statista.com/statistics/273550/data-breaches-recorded-in-the-united-states-by-number-of-breaches-and-records-exposed/ (Accessed</w:t>
      </w:r>
      <w:r w:rsidR="000B6A5C">
        <w:t>:</w:t>
      </w:r>
      <w:r w:rsidRPr="00CC5E84">
        <w:t xml:space="preserve"> 27 April 2025).</w:t>
      </w:r>
    </w:p>
    <w:p w14:paraId="7D22A1BE" w14:textId="77777777" w:rsidR="004F69B5" w:rsidRPr="00CC5E84" w:rsidRDefault="004F69B5" w:rsidP="002D1EAC">
      <w:pPr>
        <w:pStyle w:val="Bibliography"/>
        <w:spacing w:after="160"/>
      </w:pPr>
      <w:proofErr w:type="spellStart"/>
      <w:r w:rsidRPr="00CC5E84">
        <w:t>Rokven</w:t>
      </w:r>
      <w:proofErr w:type="spellEnd"/>
      <w:r w:rsidRPr="00CC5E84">
        <w:t xml:space="preserve">, J. J. </w:t>
      </w:r>
      <w:r w:rsidRPr="004C1D26">
        <w:rPr>
          <w:i/>
          <w:iCs/>
        </w:rPr>
        <w:t>et al.</w:t>
      </w:r>
      <w:r w:rsidRPr="00CC5E84">
        <w:t xml:space="preserve"> (2018) ‘Juvenile Delinquency in the Virtual World: Similarities and Differences between Cyber-Enabled, Cyber-Dependent and Offline Delinquents in the Netherlands’, </w:t>
      </w:r>
      <w:r w:rsidRPr="004171CE">
        <w:rPr>
          <w:i/>
          <w:iCs/>
        </w:rPr>
        <w:t>International Journal of Cyber Criminology</w:t>
      </w:r>
      <w:r w:rsidRPr="00CC5E84">
        <w:t>, 12(1), pp. 27-46. Available at: https://doi.org/10.5281/zenodo.1467690</w:t>
      </w:r>
    </w:p>
    <w:p w14:paraId="34A3ED4F" w14:textId="102C1067" w:rsidR="004F69B5" w:rsidRPr="00CC5E84" w:rsidRDefault="004F69B5" w:rsidP="002D1EAC">
      <w:pPr>
        <w:pStyle w:val="Bibliography"/>
        <w:spacing w:after="160"/>
      </w:pPr>
      <w:r w:rsidRPr="00CC5E84">
        <w:t>Sela-</w:t>
      </w:r>
      <w:proofErr w:type="spellStart"/>
      <w:r w:rsidRPr="00CC5E84">
        <w:t>Shayovitz</w:t>
      </w:r>
      <w:proofErr w:type="spellEnd"/>
      <w:r w:rsidRPr="00CC5E84">
        <w:t xml:space="preserve">, R. (2012) ‘Gangs and the </w:t>
      </w:r>
      <w:r w:rsidR="001717B4">
        <w:t>W</w:t>
      </w:r>
      <w:r w:rsidRPr="00CC5E84">
        <w:t>eb</w:t>
      </w:r>
      <w:r w:rsidR="001717B4">
        <w:t xml:space="preserve">: Gang Members’ Online </w:t>
      </w:r>
      <w:proofErr w:type="spellStart"/>
      <w:r w:rsidR="001717B4">
        <w:t>Behavior</w:t>
      </w:r>
      <w:proofErr w:type="spellEnd"/>
      <w:r w:rsidRPr="00CC5E84">
        <w:t>’, </w:t>
      </w:r>
      <w:r w:rsidRPr="00EA4848">
        <w:rPr>
          <w:i/>
          <w:iCs/>
        </w:rPr>
        <w:t>Journal of Contemporary Criminal Justice</w:t>
      </w:r>
      <w:r w:rsidRPr="00CC5E84">
        <w:t>, 28(4), pp. 389-405. Available at: https://doi.org/10.1177/1043986212458191</w:t>
      </w:r>
    </w:p>
    <w:p w14:paraId="0FD3D023" w14:textId="37B774C9" w:rsidR="004F69B5" w:rsidRPr="00CC5E84" w:rsidRDefault="004F69B5" w:rsidP="002D1EAC">
      <w:pPr>
        <w:pStyle w:val="Bibliography"/>
        <w:spacing w:after="160"/>
      </w:pPr>
      <w:proofErr w:type="spellStart"/>
      <w:r w:rsidRPr="00CC5E84">
        <w:t>Shwedeh</w:t>
      </w:r>
      <w:proofErr w:type="spellEnd"/>
      <w:r w:rsidRPr="00CC5E84">
        <w:t xml:space="preserve">, F., Malaka, S. and </w:t>
      </w:r>
      <w:proofErr w:type="spellStart"/>
      <w:r w:rsidRPr="00CC5E84">
        <w:t>Rwashdeh</w:t>
      </w:r>
      <w:proofErr w:type="spellEnd"/>
      <w:r w:rsidRPr="00CC5E84">
        <w:t>, B. (2023) ‘The Moderation Effect of Artificial Intelligent Hackers on the Relationship between Cyber Security Conducts and the Sustainability of Software Protection: A Comprehensive Review’, </w:t>
      </w:r>
      <w:r w:rsidRPr="00EA4848">
        <w:rPr>
          <w:i/>
          <w:iCs/>
        </w:rPr>
        <w:t>Migration Letters</w:t>
      </w:r>
      <w:r w:rsidRPr="00CC5E84">
        <w:t>, 20(S9), pp. 1066-1072. Available at:</w:t>
      </w:r>
      <w:r w:rsidR="00FD53EB">
        <w:t xml:space="preserve"> </w:t>
      </w:r>
      <w:r w:rsidR="00FD53EB" w:rsidRPr="00FD53EB">
        <w:t xml:space="preserve">https://migrationletters.com/index.php/ml/article/view/4947 </w:t>
      </w:r>
      <w:r w:rsidRPr="00CC5E84">
        <w:t>(Accessed</w:t>
      </w:r>
      <w:r w:rsidR="000B6A5C">
        <w:t>:</w:t>
      </w:r>
      <w:r w:rsidRPr="00CC5E84">
        <w:t xml:space="preserve"> 27 April 2025).</w:t>
      </w:r>
    </w:p>
    <w:p w14:paraId="4BE4796C" w14:textId="040D91F2" w:rsidR="004F69B5" w:rsidRPr="00CC5E84" w:rsidRDefault="004F69B5" w:rsidP="002D1EAC">
      <w:pPr>
        <w:pStyle w:val="Bibliography"/>
        <w:spacing w:after="160"/>
      </w:pPr>
      <w:proofErr w:type="spellStart"/>
      <w:r w:rsidRPr="00CC5E84">
        <w:t>Soesanto</w:t>
      </w:r>
      <w:proofErr w:type="spellEnd"/>
      <w:r w:rsidRPr="00CC5E84">
        <w:t xml:space="preserve">, S. and Smeets, M. (2021) ‘Cyber Deterrence: The Past, Present, and Future’, in F. Osinga and T. </w:t>
      </w:r>
      <w:proofErr w:type="spellStart"/>
      <w:r w:rsidRPr="00CC5E84">
        <w:t>Sweijs</w:t>
      </w:r>
      <w:proofErr w:type="spellEnd"/>
      <w:r w:rsidRPr="00CC5E84">
        <w:t xml:space="preserve"> (eds)</w:t>
      </w:r>
      <w:r w:rsidR="00FD53EB">
        <w:t>,</w:t>
      </w:r>
      <w:r w:rsidRPr="00CC5E84">
        <w:t xml:space="preserve"> </w:t>
      </w:r>
      <w:r w:rsidRPr="00EA4848">
        <w:rPr>
          <w:i/>
          <w:iCs/>
        </w:rPr>
        <w:t>NL ARMS Netherlands Annual Review of Military Studies 2020</w:t>
      </w:r>
      <w:r w:rsidRPr="00CC5E84">
        <w:t>. Asser Press, pp. 385-400. Available at: https://doi.org/10.1007/978-94-6265-419-8_20</w:t>
      </w:r>
    </w:p>
    <w:p w14:paraId="1713129B" w14:textId="1B5208F9" w:rsidR="004F69B5" w:rsidRPr="00CC5E84" w:rsidRDefault="004F69B5" w:rsidP="002D1EAC">
      <w:pPr>
        <w:pStyle w:val="Bibliography"/>
        <w:spacing w:after="160"/>
      </w:pPr>
      <w:r w:rsidRPr="00CC5E84">
        <w:t xml:space="preserve">Steinberg, S., Stepan, A. and Neary, K. (2021) </w:t>
      </w:r>
      <w:proofErr w:type="spellStart"/>
      <w:r w:rsidRPr="00EA4848">
        <w:rPr>
          <w:i/>
          <w:iCs/>
        </w:rPr>
        <w:t>NotPetya</w:t>
      </w:r>
      <w:proofErr w:type="spellEnd"/>
      <w:r w:rsidRPr="00EA4848">
        <w:rPr>
          <w:i/>
          <w:iCs/>
        </w:rPr>
        <w:t>: A Columbia University Case Study</w:t>
      </w:r>
      <w:r w:rsidRPr="00CC5E84">
        <w:t>. Available at: https://www.sipa.columbia.edu/sites/default/files/2022-11/NotPetya%20Final.pdf (Accessed</w:t>
      </w:r>
      <w:r w:rsidR="000B6A5C">
        <w:t>:</w:t>
      </w:r>
      <w:r w:rsidRPr="00CC5E84">
        <w:t xml:space="preserve"> 27 April 2025).</w:t>
      </w:r>
    </w:p>
    <w:p w14:paraId="51BD8D23" w14:textId="77777777" w:rsidR="004F69B5" w:rsidRPr="00CC5E84" w:rsidRDefault="004F69B5" w:rsidP="002D1EAC">
      <w:pPr>
        <w:pStyle w:val="Bibliography"/>
        <w:spacing w:after="160"/>
      </w:pPr>
      <w:proofErr w:type="spellStart"/>
      <w:r w:rsidRPr="00CC5E84">
        <w:t>Szpor</w:t>
      </w:r>
      <w:proofErr w:type="spellEnd"/>
      <w:r w:rsidRPr="00CC5E84">
        <w:t xml:space="preserve">, G. and </w:t>
      </w:r>
      <w:proofErr w:type="spellStart"/>
      <w:r w:rsidRPr="00CC5E84">
        <w:t>Gryszczyńska</w:t>
      </w:r>
      <w:proofErr w:type="spellEnd"/>
      <w:r w:rsidRPr="00CC5E84">
        <w:t>, A. (2022) ‘HACKING IN THE (CYBER)SPACE’, </w:t>
      </w:r>
      <w:r w:rsidRPr="00D64A83">
        <w:rPr>
          <w:i/>
          <w:iCs/>
        </w:rPr>
        <w:t>GIS Odyssey Journal</w:t>
      </w:r>
      <w:r w:rsidRPr="00CC5E84">
        <w:t>, 2(1), pp. 141-152. Available at: https://doi.org/10.57599/gisoj.2022.2.1.141</w:t>
      </w:r>
    </w:p>
    <w:p w14:paraId="6FDC66D5" w14:textId="40870ACA" w:rsidR="004F69B5" w:rsidRPr="00CC5E84" w:rsidRDefault="004F69B5" w:rsidP="002D1EAC">
      <w:pPr>
        <w:pStyle w:val="Bibliography"/>
        <w:spacing w:after="160"/>
        <w:ind w:left="720" w:hanging="720"/>
      </w:pPr>
      <w:r w:rsidRPr="00CC5E84">
        <w:t>Taylor, P. (1999) </w:t>
      </w:r>
      <w:r w:rsidRPr="00D64A83">
        <w:rPr>
          <w:i/>
          <w:iCs/>
        </w:rPr>
        <w:t>Hackers: Crime and the Digital Sublime</w:t>
      </w:r>
      <w:r w:rsidRPr="00CC5E84">
        <w:t>. Routledge.</w:t>
      </w:r>
    </w:p>
    <w:p w14:paraId="7561E187" w14:textId="54EF4E26" w:rsidR="004F69B5" w:rsidRPr="00CC5E84" w:rsidRDefault="004F69B5" w:rsidP="002D1EAC">
      <w:pPr>
        <w:pStyle w:val="Bibliography"/>
        <w:spacing w:after="160"/>
      </w:pPr>
      <w:proofErr w:type="spellStart"/>
      <w:r w:rsidRPr="00CC5E84">
        <w:lastRenderedPageBreak/>
        <w:t>Tcherni</w:t>
      </w:r>
      <w:proofErr w:type="spellEnd"/>
      <w:r w:rsidRPr="00CC5E84">
        <w:t xml:space="preserve">, M. </w:t>
      </w:r>
      <w:r w:rsidRPr="004C1D26">
        <w:rPr>
          <w:i/>
          <w:iCs/>
        </w:rPr>
        <w:t>et al.</w:t>
      </w:r>
      <w:r w:rsidRPr="00CC5E84">
        <w:t xml:space="preserve"> (2015) ‘The </w:t>
      </w:r>
      <w:r w:rsidR="00FD53EB">
        <w:t>D</w:t>
      </w:r>
      <w:r w:rsidRPr="00CC5E84">
        <w:t xml:space="preserve">ark </w:t>
      </w:r>
      <w:r w:rsidR="00FD53EB">
        <w:t>F</w:t>
      </w:r>
      <w:r w:rsidRPr="00CC5E84">
        <w:t xml:space="preserve">igure of </w:t>
      </w:r>
      <w:r w:rsidR="00FD53EB">
        <w:t>O</w:t>
      </w:r>
      <w:r w:rsidRPr="00CC5E84">
        <w:t xml:space="preserve">nline </w:t>
      </w:r>
      <w:r w:rsidR="00FD53EB">
        <w:t>P</w:t>
      </w:r>
      <w:r w:rsidRPr="00CC5E84">
        <w:t xml:space="preserve">roperty </w:t>
      </w:r>
      <w:r w:rsidR="00FD53EB">
        <w:t>C</w:t>
      </w:r>
      <w:r w:rsidRPr="00CC5E84">
        <w:t xml:space="preserve">rime: Is </w:t>
      </w:r>
      <w:r w:rsidR="00FD53EB">
        <w:t>C</w:t>
      </w:r>
      <w:r w:rsidRPr="00CC5E84">
        <w:t xml:space="preserve">yberspace </w:t>
      </w:r>
      <w:r w:rsidR="00FD53EB">
        <w:t>H</w:t>
      </w:r>
      <w:r w:rsidRPr="00CC5E84">
        <w:t xml:space="preserve">iding a </w:t>
      </w:r>
      <w:r w:rsidR="00FD53EB">
        <w:t>C</w:t>
      </w:r>
      <w:r w:rsidRPr="00CC5E84">
        <w:t xml:space="preserve">rime </w:t>
      </w:r>
      <w:r w:rsidR="00FD53EB">
        <w:t>W</w:t>
      </w:r>
      <w:r w:rsidRPr="00CC5E84">
        <w:t>ave?’, </w:t>
      </w:r>
      <w:r w:rsidRPr="00D64A83">
        <w:rPr>
          <w:i/>
          <w:iCs/>
        </w:rPr>
        <w:t>Justice Quarterly</w:t>
      </w:r>
      <w:r w:rsidRPr="00CC5E84">
        <w:t>, 33(5), pp. 890-911. Available at: https://doi.org/10.1080/07418825.2014.994658</w:t>
      </w:r>
    </w:p>
    <w:p w14:paraId="1F22E996" w14:textId="45A79460" w:rsidR="00002A71" w:rsidRDefault="00002A71" w:rsidP="002D1EAC">
      <w:pPr>
        <w:pStyle w:val="Bibliography"/>
        <w:spacing w:after="160"/>
      </w:pPr>
      <w:r>
        <w:t xml:space="preserve">Tidy, </w:t>
      </w:r>
      <w:r w:rsidR="00FC7635">
        <w:t xml:space="preserve">J. (2025) </w:t>
      </w:r>
      <w:r w:rsidR="00FC7635" w:rsidRPr="002D5C51">
        <w:rPr>
          <w:i/>
          <w:iCs/>
        </w:rPr>
        <w:t>Children hacking their own schools for 'fun', watchdog warns</w:t>
      </w:r>
      <w:r w:rsidR="00F376A2" w:rsidRPr="002D5C51">
        <w:rPr>
          <w:i/>
          <w:iCs/>
        </w:rPr>
        <w:t>’</w:t>
      </w:r>
      <w:r w:rsidR="002D5C51">
        <w:t xml:space="preserve">. </w:t>
      </w:r>
      <w:r w:rsidR="005E24FE">
        <w:t xml:space="preserve">Available at: </w:t>
      </w:r>
      <w:r w:rsidR="005E24FE" w:rsidRPr="005E24FE">
        <w:t>https://www.bbc.com/news/articles/c203pedz58go</w:t>
      </w:r>
      <w:r w:rsidR="005E24FE">
        <w:t xml:space="preserve"> (Accessed: 30 September 2025).</w:t>
      </w:r>
    </w:p>
    <w:p w14:paraId="4715E450" w14:textId="12CB5FB2" w:rsidR="004F69B5" w:rsidRPr="00CC5E84" w:rsidRDefault="004F69B5" w:rsidP="00860531">
      <w:pPr>
        <w:pStyle w:val="Bibliography"/>
        <w:spacing w:after="160"/>
      </w:pPr>
      <w:proofErr w:type="spellStart"/>
      <w:r w:rsidRPr="00CC5E84">
        <w:t>Tomova</w:t>
      </w:r>
      <w:proofErr w:type="spellEnd"/>
      <w:r w:rsidRPr="00CC5E84">
        <w:t>, L., Andrews, J. L. and Blakemore, S. (2021) ‘The importance of belonging and the avoidance of social risk taking in adolescence’, </w:t>
      </w:r>
      <w:r w:rsidRPr="00D64A83">
        <w:rPr>
          <w:i/>
          <w:iCs/>
        </w:rPr>
        <w:t>Developmental Review</w:t>
      </w:r>
      <w:r w:rsidRPr="00CC5E84">
        <w:t>, 61. Available at: https://doi.org/10.1016/j.dr.2021.100981</w:t>
      </w:r>
    </w:p>
    <w:p w14:paraId="121D4810" w14:textId="6503E637" w:rsidR="00FA4E0A" w:rsidRDefault="00FA4E0A" w:rsidP="00860531">
      <w:pPr>
        <w:pStyle w:val="Bibliography"/>
        <w:spacing w:after="160"/>
      </w:pPr>
      <w:r w:rsidRPr="00FA4E0A">
        <w:t>Townsend</w:t>
      </w:r>
      <w:r>
        <w:t xml:space="preserve">, K. (2025) </w:t>
      </w:r>
      <w:r w:rsidR="005B6E76" w:rsidRPr="005B6E76">
        <w:rPr>
          <w:i/>
          <w:iCs/>
        </w:rPr>
        <w:t>The Rise of the Teen Hacker: Big Breaches, Zero Experience</w:t>
      </w:r>
      <w:r w:rsidR="005B6E76">
        <w:t xml:space="preserve">. </w:t>
      </w:r>
      <w:r w:rsidR="009C277E">
        <w:t xml:space="preserve">Available at: </w:t>
      </w:r>
      <w:r w:rsidR="00CB755E" w:rsidRPr="00CB755E">
        <w:t>https://www.intercede.com/the-rise-of-the-teen-hacker-big-breaches-zero-experience/</w:t>
      </w:r>
      <w:r w:rsidR="00CB755E">
        <w:t xml:space="preserve"> (Accessed: 30 September 2025).</w:t>
      </w:r>
    </w:p>
    <w:p w14:paraId="2DE4BD09" w14:textId="3F6534D9" w:rsidR="004F69B5" w:rsidRPr="00CC5E84" w:rsidRDefault="003B6FF4" w:rsidP="00860531">
      <w:pPr>
        <w:pStyle w:val="Bibliography"/>
        <w:spacing w:after="160"/>
      </w:pPr>
      <w:r>
        <w:t>V</w:t>
      </w:r>
      <w:r w:rsidR="004F69B5" w:rsidRPr="00CC5E84">
        <w:t xml:space="preserve">an Beveren, J. (2001) ‘A Conceptual Model Of Hacker Development And Motivations’, </w:t>
      </w:r>
      <w:r w:rsidR="004F69B5" w:rsidRPr="00D64A83">
        <w:rPr>
          <w:i/>
          <w:iCs/>
        </w:rPr>
        <w:t>Journal of E-Business</w:t>
      </w:r>
      <w:r w:rsidR="004F69B5" w:rsidRPr="00CC5E84">
        <w:t>, 1(2), 1-9.</w:t>
      </w:r>
    </w:p>
    <w:p w14:paraId="3B34D24B" w14:textId="77777777" w:rsidR="004F69B5" w:rsidRPr="00CC5E84" w:rsidRDefault="004F69B5" w:rsidP="00860531">
      <w:pPr>
        <w:pStyle w:val="Bibliography"/>
        <w:spacing w:after="160"/>
      </w:pPr>
      <w:r w:rsidRPr="00CC5E84">
        <w:t>Wall, D. S. (2024) </w:t>
      </w:r>
      <w:r w:rsidRPr="00D64A83">
        <w:rPr>
          <w:i/>
          <w:iCs/>
        </w:rPr>
        <w:t>Cybercrime: The Transformation of Crime in the Information Age</w:t>
      </w:r>
      <w:r w:rsidRPr="00CC5E84">
        <w:t xml:space="preserve">. 2nd </w:t>
      </w:r>
      <w:proofErr w:type="spellStart"/>
      <w:r w:rsidRPr="00CC5E84">
        <w:t>edn</w:t>
      </w:r>
      <w:proofErr w:type="spellEnd"/>
      <w:r w:rsidRPr="00CC5E84">
        <w:t>. Polity.</w:t>
      </w:r>
    </w:p>
    <w:p w14:paraId="747460C8" w14:textId="77777777" w:rsidR="004F69B5" w:rsidRPr="00CC5E84" w:rsidRDefault="004F69B5" w:rsidP="00860531">
      <w:pPr>
        <w:pStyle w:val="Bibliography"/>
        <w:spacing w:after="160"/>
      </w:pPr>
      <w:r w:rsidRPr="00CC5E84">
        <w:t>Walters, G. D. (2023) ‘The Person-Computer Interface in Delinquency Research: Proactive Criminal Thinking as a Moderator of the Hacking with Peers–Juvenile Offending Relationship’, </w:t>
      </w:r>
      <w:r w:rsidRPr="00D64A83">
        <w:rPr>
          <w:i/>
          <w:iCs/>
        </w:rPr>
        <w:t>Journal of Police and Criminal Psychology</w:t>
      </w:r>
      <w:r w:rsidRPr="00CC5E84">
        <w:t>, 38(3), pp. 584-592. Available at: https://doi.org/10.1007/s11896-023-09581-7</w:t>
      </w:r>
    </w:p>
    <w:p w14:paraId="2FB1DB2F" w14:textId="3FC8A999" w:rsidR="004F69B5" w:rsidRPr="00CC5E84" w:rsidRDefault="004F69B5" w:rsidP="00860531">
      <w:pPr>
        <w:pStyle w:val="Bibliography"/>
        <w:spacing w:after="160"/>
      </w:pPr>
      <w:proofErr w:type="spellStart"/>
      <w:r w:rsidRPr="00CC5E84">
        <w:t>Weulen</w:t>
      </w:r>
      <w:proofErr w:type="spellEnd"/>
      <w:r w:rsidRPr="00CC5E84">
        <w:t xml:space="preserve"> </w:t>
      </w:r>
      <w:proofErr w:type="spellStart"/>
      <w:r w:rsidRPr="00CC5E84">
        <w:t>Kranenbarg</w:t>
      </w:r>
      <w:proofErr w:type="spellEnd"/>
      <w:r w:rsidRPr="00CC5E84">
        <w:t xml:space="preserve">, M. (2021) ‘Cyber-Dependent Crime Versus Traditional Crime: Empirical Evidence for Clusters of Offenses and Related Motives’, in M. </w:t>
      </w:r>
      <w:proofErr w:type="spellStart"/>
      <w:r w:rsidRPr="00CC5E84">
        <w:t>Weulen</w:t>
      </w:r>
      <w:proofErr w:type="spellEnd"/>
      <w:r w:rsidRPr="00CC5E84">
        <w:t xml:space="preserve"> </w:t>
      </w:r>
      <w:proofErr w:type="spellStart"/>
      <w:r w:rsidRPr="00CC5E84">
        <w:t>Kranenbarg</w:t>
      </w:r>
      <w:proofErr w:type="spellEnd"/>
      <w:r w:rsidRPr="00CC5E84">
        <w:t xml:space="preserve"> and R. </w:t>
      </w:r>
      <w:proofErr w:type="spellStart"/>
      <w:r w:rsidRPr="00CC5E84">
        <w:t>Leukfeldt</w:t>
      </w:r>
      <w:proofErr w:type="spellEnd"/>
      <w:r w:rsidRPr="00CC5E84">
        <w:t xml:space="preserve"> (eds)</w:t>
      </w:r>
      <w:r w:rsidR="00BD1EC1">
        <w:t>,</w:t>
      </w:r>
      <w:r w:rsidRPr="00CC5E84">
        <w:t xml:space="preserve"> </w:t>
      </w:r>
      <w:r w:rsidRPr="00D64A83">
        <w:rPr>
          <w:i/>
          <w:iCs/>
        </w:rPr>
        <w:t>Cybercrime in Context</w:t>
      </w:r>
      <w:r w:rsidRPr="00CC5E84">
        <w:t>. Springer, pp. 195–216. Available at: https://doi.org/10.1007/978-3-030-60527-8_12</w:t>
      </w:r>
    </w:p>
    <w:p w14:paraId="55325D95" w14:textId="79ACDA8F" w:rsidR="004F69B5" w:rsidRPr="00CC5E84" w:rsidRDefault="004F69B5" w:rsidP="00860531">
      <w:pPr>
        <w:pStyle w:val="Bibliography"/>
        <w:spacing w:after="160"/>
      </w:pPr>
      <w:r w:rsidRPr="00CC5E84">
        <w:t xml:space="preserve">Whitten, T. </w:t>
      </w:r>
      <w:r w:rsidRPr="004C1D26">
        <w:rPr>
          <w:i/>
          <w:iCs/>
        </w:rPr>
        <w:t>et al.</w:t>
      </w:r>
      <w:r w:rsidRPr="00CC5E84">
        <w:t xml:space="preserve"> (2024) ‘Exploring the </w:t>
      </w:r>
      <w:r w:rsidR="00BD1EC1">
        <w:t>R</w:t>
      </w:r>
      <w:r w:rsidRPr="00CC5E84">
        <w:t xml:space="preserve">ole of Self-Control </w:t>
      </w:r>
      <w:r w:rsidR="00BD1EC1">
        <w:t>A</w:t>
      </w:r>
      <w:r w:rsidRPr="00CC5E84">
        <w:t xml:space="preserve">cross </w:t>
      </w:r>
      <w:r w:rsidR="00BD1EC1">
        <w:t>D</w:t>
      </w:r>
      <w:r w:rsidRPr="00CC5E84">
        <w:t xml:space="preserve">istinct </w:t>
      </w:r>
      <w:r w:rsidR="00BD1EC1">
        <w:t>P</w:t>
      </w:r>
      <w:r w:rsidRPr="00CC5E84">
        <w:t xml:space="preserve">atterns of Cyber-Deviance in </w:t>
      </w:r>
      <w:r w:rsidR="00BD1EC1">
        <w:t>E</w:t>
      </w:r>
      <w:r w:rsidRPr="00CC5E84">
        <w:t xml:space="preserve">merging </w:t>
      </w:r>
      <w:r w:rsidR="00BD1EC1">
        <w:t>A</w:t>
      </w:r>
      <w:r w:rsidRPr="00CC5E84">
        <w:t>dolescence’, </w:t>
      </w:r>
      <w:r w:rsidRPr="00D64A83">
        <w:rPr>
          <w:i/>
          <w:iCs/>
        </w:rPr>
        <w:t>International Journal of Offender Therapy and Comparative Criminology</w:t>
      </w:r>
      <w:r w:rsidRPr="00CC5E84">
        <w:t xml:space="preserve">, </w:t>
      </w:r>
      <w:proofErr w:type="spellStart"/>
      <w:r w:rsidRPr="00CC5E84">
        <w:t>OnlineFirst</w:t>
      </w:r>
      <w:proofErr w:type="spellEnd"/>
      <w:r w:rsidRPr="00CC5E84">
        <w:t>. Available at: https://doi.org/10.1177/0306624x231220011</w:t>
      </w:r>
    </w:p>
    <w:p w14:paraId="083D1039" w14:textId="680E7084" w:rsidR="004F69B5" w:rsidRPr="00CC5E84" w:rsidRDefault="004F69B5" w:rsidP="00860531">
      <w:pPr>
        <w:pStyle w:val="Bibliography"/>
        <w:spacing w:after="160"/>
      </w:pPr>
      <w:r w:rsidRPr="00CC5E84">
        <w:t xml:space="preserve">Wright, M. F. (2020) ‘The </w:t>
      </w:r>
      <w:r w:rsidR="00BD1EC1">
        <w:t>R</w:t>
      </w:r>
      <w:r w:rsidRPr="00CC5E84">
        <w:t xml:space="preserve">ole of </w:t>
      </w:r>
      <w:r w:rsidR="00BD1EC1">
        <w:t>T</w:t>
      </w:r>
      <w:r w:rsidRPr="00CC5E84">
        <w:t xml:space="preserve">echnologies, </w:t>
      </w:r>
      <w:proofErr w:type="spellStart"/>
      <w:r w:rsidR="00BD1EC1">
        <w:t>B</w:t>
      </w:r>
      <w:r w:rsidRPr="00CC5E84">
        <w:t>ehaviors</w:t>
      </w:r>
      <w:proofErr w:type="spellEnd"/>
      <w:r w:rsidRPr="00CC5E84">
        <w:t xml:space="preserve">, </w:t>
      </w:r>
      <w:r w:rsidR="00BD1EC1">
        <w:t>G</w:t>
      </w:r>
      <w:r w:rsidRPr="00CC5E84">
        <w:t xml:space="preserve">ender, and </w:t>
      </w:r>
      <w:r w:rsidR="00BD1EC1">
        <w:t>G</w:t>
      </w:r>
      <w:r w:rsidRPr="00CC5E84">
        <w:t xml:space="preserve">ender </w:t>
      </w:r>
      <w:r w:rsidR="00BD1EC1">
        <w:t>S</w:t>
      </w:r>
      <w:r w:rsidRPr="00CC5E84">
        <w:t xml:space="preserve">tereotype </w:t>
      </w:r>
      <w:r w:rsidR="00BD1EC1">
        <w:t>T</w:t>
      </w:r>
      <w:r w:rsidRPr="00CC5E84">
        <w:t xml:space="preserve">raits in </w:t>
      </w:r>
      <w:r w:rsidR="00BD1EC1">
        <w:t>A</w:t>
      </w:r>
      <w:r w:rsidRPr="00CC5E84">
        <w:t xml:space="preserve">dolescents’ </w:t>
      </w:r>
      <w:r w:rsidR="00BD1EC1">
        <w:t>C</w:t>
      </w:r>
      <w:r w:rsidRPr="00CC5E84">
        <w:t xml:space="preserve">yber </w:t>
      </w:r>
      <w:r w:rsidR="00BD1EC1">
        <w:t>A</w:t>
      </w:r>
      <w:r w:rsidRPr="00CC5E84">
        <w:t>ggression’, </w:t>
      </w:r>
      <w:r w:rsidRPr="00D64A83">
        <w:rPr>
          <w:i/>
          <w:iCs/>
        </w:rPr>
        <w:t>Journal of Interpersonal Violence</w:t>
      </w:r>
      <w:r w:rsidRPr="00CC5E84">
        <w:t>, 35(7-8), pp. 1719-1738. Available at: https://doi.org/10.1177/0886260517696858</w:t>
      </w:r>
    </w:p>
    <w:p w14:paraId="1121C765" w14:textId="29A40E2F" w:rsidR="00397E61" w:rsidRDefault="004F69B5" w:rsidP="00860531">
      <w:pPr>
        <w:pStyle w:val="Bibliography"/>
        <w:spacing w:after="160"/>
      </w:pPr>
      <w:r w:rsidRPr="00CC5E84">
        <w:t>Zhang, Z. and Li, C. (2022) ‘Adolescent Rebellion: Causes and Guiding Strategies’, </w:t>
      </w:r>
      <w:r w:rsidRPr="00D64A83">
        <w:rPr>
          <w:i/>
          <w:iCs/>
        </w:rPr>
        <w:t>Science Insights</w:t>
      </w:r>
      <w:r w:rsidRPr="00CC5E84">
        <w:t>, 40(4), pp. 485-487. Available at: https://doi.org/10.15354/si.22.re050</w:t>
      </w:r>
    </w:p>
    <w:p w14:paraId="3E4D7C9F" w14:textId="365101E2" w:rsidR="00257689" w:rsidRDefault="00257689" w:rsidP="00154D9A">
      <w:pPr>
        <w:spacing w:after="0"/>
        <w:ind w:left="720" w:hanging="720"/>
      </w:pPr>
      <w:r>
        <w:br w:type="page"/>
      </w:r>
    </w:p>
    <w:p w14:paraId="1976F815" w14:textId="77777777" w:rsidR="00257689" w:rsidRPr="00CC5E84" w:rsidRDefault="00257689" w:rsidP="008A4B6D">
      <w:pPr>
        <w:pStyle w:val="Heading2"/>
      </w:pPr>
      <w:r w:rsidRPr="008A4B6D">
        <w:lastRenderedPageBreak/>
        <w:t>Appendices</w:t>
      </w:r>
    </w:p>
    <w:p w14:paraId="04180843" w14:textId="77777777" w:rsidR="00257689" w:rsidRDefault="00257689" w:rsidP="008A4B6D">
      <w:pPr>
        <w:pStyle w:val="Heading3"/>
      </w:pPr>
      <w:r w:rsidRPr="008A4B6D">
        <w:t>Appendix</w:t>
      </w:r>
      <w:r w:rsidRPr="00CC5E84">
        <w:t xml:space="preserve"> A</w:t>
      </w:r>
    </w:p>
    <w:p w14:paraId="6B15350F" w14:textId="4D91D6D9" w:rsidR="005A5736" w:rsidRDefault="005A5736" w:rsidP="005A5736">
      <w:pPr>
        <w:pStyle w:val="Caption"/>
        <w:keepNext/>
      </w:pPr>
      <w:r>
        <w:t xml:space="preserve">Table </w:t>
      </w:r>
      <w:r>
        <w:fldChar w:fldCharType="begin"/>
      </w:r>
      <w:r>
        <w:instrText xml:space="preserve"> SEQ Table \* ARABIC </w:instrText>
      </w:r>
      <w:r>
        <w:fldChar w:fldCharType="separate"/>
      </w:r>
      <w:r w:rsidR="009C2621">
        <w:rPr>
          <w:noProof/>
        </w:rPr>
        <w:t>1</w:t>
      </w:r>
      <w:r>
        <w:fldChar w:fldCharType="end"/>
      </w:r>
      <w:r>
        <w:t xml:space="preserve"> - Inclusion and exclusion criteria</w:t>
      </w:r>
    </w:p>
    <w:tbl>
      <w:tblPr>
        <w:tblW w:w="5026" w:type="pct"/>
        <w:tblInd w:w="-23" w:type="dxa"/>
        <w:tblCellMar>
          <w:left w:w="0" w:type="dxa"/>
          <w:right w:w="0" w:type="dxa"/>
        </w:tblCellMar>
        <w:tblLook w:val="04A0" w:firstRow="1" w:lastRow="0" w:firstColumn="1" w:lastColumn="0" w:noHBand="0" w:noVBand="1"/>
      </w:tblPr>
      <w:tblGrid>
        <w:gridCol w:w="1237"/>
        <w:gridCol w:w="3441"/>
        <w:gridCol w:w="4349"/>
      </w:tblGrid>
      <w:tr w:rsidR="00257689" w:rsidRPr="00CC5E84" w14:paraId="5D22739C" w14:textId="77777777" w:rsidTr="008A4B6D">
        <w:trPr>
          <w:trHeight w:val="60"/>
        </w:trPr>
        <w:tc>
          <w:tcPr>
            <w:tcW w:w="685" w:type="pct"/>
            <w:tcBorders>
              <w:top w:val="single" w:sz="18" w:space="0" w:color="000000"/>
              <w:left w:val="single" w:sz="18" w:space="0" w:color="000000"/>
              <w:bottom w:val="single" w:sz="18" w:space="0" w:color="000000"/>
              <w:right w:val="single" w:sz="18" w:space="0" w:color="000000"/>
            </w:tcBorders>
            <w:shd w:val="clear" w:color="auto" w:fill="BFBFBF" w:themeFill="background1" w:themeFillShade="BF"/>
            <w:tcMar>
              <w:top w:w="30" w:type="dxa"/>
              <w:left w:w="45" w:type="dxa"/>
              <w:bottom w:w="30" w:type="dxa"/>
              <w:right w:w="45" w:type="dxa"/>
            </w:tcMar>
            <w:vAlign w:val="center"/>
            <w:hideMark/>
          </w:tcPr>
          <w:p w14:paraId="175FD7C9" w14:textId="77777777" w:rsidR="00257689" w:rsidRPr="008A4B6D" w:rsidRDefault="00257689" w:rsidP="00DB1B2D">
            <w:pPr>
              <w:spacing w:after="0" w:line="240" w:lineRule="auto"/>
              <w:jc w:val="both"/>
              <w:rPr>
                <w:rFonts w:cs="Arial"/>
                <w:b/>
                <w:bCs/>
                <w:sz w:val="20"/>
                <w:szCs w:val="20"/>
              </w:rPr>
            </w:pPr>
            <w:r w:rsidRPr="008A4B6D">
              <w:rPr>
                <w:rFonts w:cs="Arial"/>
                <w:b/>
                <w:bCs/>
                <w:sz w:val="20"/>
                <w:szCs w:val="20"/>
              </w:rPr>
              <w:t>Criterion</w:t>
            </w:r>
          </w:p>
        </w:tc>
        <w:tc>
          <w:tcPr>
            <w:tcW w:w="1906" w:type="pct"/>
            <w:tcBorders>
              <w:top w:val="single" w:sz="18" w:space="0" w:color="000000"/>
              <w:left w:val="single" w:sz="6" w:space="0" w:color="CCCCCC"/>
              <w:bottom w:val="single" w:sz="18" w:space="0" w:color="000000"/>
              <w:right w:val="single" w:sz="6" w:space="0" w:color="000000"/>
            </w:tcBorders>
            <w:shd w:val="clear" w:color="auto" w:fill="BFBFBF" w:themeFill="background1" w:themeFillShade="BF"/>
            <w:tcMar>
              <w:top w:w="30" w:type="dxa"/>
              <w:left w:w="45" w:type="dxa"/>
              <w:bottom w:w="30" w:type="dxa"/>
              <w:right w:w="45" w:type="dxa"/>
            </w:tcMar>
            <w:vAlign w:val="center"/>
            <w:hideMark/>
          </w:tcPr>
          <w:p w14:paraId="52E5F7C2" w14:textId="77777777" w:rsidR="00257689" w:rsidRPr="008A4B6D" w:rsidRDefault="00257689" w:rsidP="00DB1B2D">
            <w:pPr>
              <w:spacing w:after="0" w:line="240" w:lineRule="auto"/>
              <w:jc w:val="both"/>
              <w:rPr>
                <w:rFonts w:cs="Arial"/>
                <w:b/>
                <w:bCs/>
                <w:sz w:val="20"/>
                <w:szCs w:val="20"/>
              </w:rPr>
            </w:pPr>
            <w:r w:rsidRPr="008A4B6D">
              <w:rPr>
                <w:rFonts w:cs="Arial"/>
                <w:b/>
                <w:bCs/>
                <w:sz w:val="20"/>
                <w:szCs w:val="20"/>
              </w:rPr>
              <w:t>Inclusion</w:t>
            </w:r>
          </w:p>
        </w:tc>
        <w:tc>
          <w:tcPr>
            <w:tcW w:w="2409" w:type="pct"/>
            <w:tcBorders>
              <w:top w:val="single" w:sz="18" w:space="0" w:color="000000"/>
              <w:left w:val="single" w:sz="6" w:space="0" w:color="CCCCCC"/>
              <w:bottom w:val="single" w:sz="18" w:space="0" w:color="000000"/>
              <w:right w:val="single" w:sz="18" w:space="0" w:color="000000"/>
            </w:tcBorders>
            <w:shd w:val="clear" w:color="auto" w:fill="BFBFBF" w:themeFill="background1" w:themeFillShade="BF"/>
            <w:tcMar>
              <w:top w:w="30" w:type="dxa"/>
              <w:left w:w="45" w:type="dxa"/>
              <w:bottom w:w="30" w:type="dxa"/>
              <w:right w:w="45" w:type="dxa"/>
            </w:tcMar>
            <w:vAlign w:val="center"/>
            <w:hideMark/>
          </w:tcPr>
          <w:p w14:paraId="5B5EC117" w14:textId="77777777" w:rsidR="00257689" w:rsidRPr="008A4B6D" w:rsidRDefault="00257689" w:rsidP="00DB1B2D">
            <w:pPr>
              <w:spacing w:after="0" w:line="240" w:lineRule="auto"/>
              <w:jc w:val="both"/>
              <w:rPr>
                <w:rFonts w:cs="Arial"/>
                <w:b/>
                <w:bCs/>
                <w:sz w:val="20"/>
                <w:szCs w:val="20"/>
              </w:rPr>
            </w:pPr>
            <w:r w:rsidRPr="008A4B6D">
              <w:rPr>
                <w:rFonts w:cs="Arial"/>
                <w:b/>
                <w:bCs/>
                <w:sz w:val="20"/>
                <w:szCs w:val="20"/>
              </w:rPr>
              <w:t>Exclusion</w:t>
            </w:r>
          </w:p>
        </w:tc>
      </w:tr>
      <w:tr w:rsidR="00257689" w:rsidRPr="00CC5E84" w14:paraId="0CE6439A" w14:textId="77777777" w:rsidTr="008A4B6D">
        <w:trPr>
          <w:trHeight w:val="315"/>
        </w:trPr>
        <w:tc>
          <w:tcPr>
            <w:tcW w:w="685" w:type="pct"/>
            <w:tcBorders>
              <w:top w:val="single" w:sz="6" w:space="0" w:color="CCCCCC"/>
              <w:left w:val="single" w:sz="18" w:space="0" w:color="000000"/>
              <w:bottom w:val="single" w:sz="6" w:space="0" w:color="000000"/>
              <w:right w:val="single" w:sz="18" w:space="0" w:color="000000"/>
            </w:tcBorders>
            <w:shd w:val="clear" w:color="auto" w:fill="BFBFBF" w:themeFill="background1" w:themeFillShade="BF"/>
            <w:tcMar>
              <w:top w:w="30" w:type="dxa"/>
              <w:left w:w="45" w:type="dxa"/>
              <w:bottom w:w="30" w:type="dxa"/>
              <w:right w:w="45" w:type="dxa"/>
            </w:tcMar>
            <w:vAlign w:val="center"/>
            <w:hideMark/>
          </w:tcPr>
          <w:p w14:paraId="0DBA02DD" w14:textId="77777777" w:rsidR="00257689" w:rsidRPr="008A4B6D" w:rsidRDefault="00257689" w:rsidP="00DB1B2D">
            <w:pPr>
              <w:spacing w:after="0" w:line="240" w:lineRule="auto"/>
              <w:jc w:val="both"/>
              <w:rPr>
                <w:rFonts w:cs="Arial"/>
                <w:sz w:val="20"/>
                <w:szCs w:val="20"/>
              </w:rPr>
            </w:pPr>
            <w:r w:rsidRPr="008A4B6D">
              <w:rPr>
                <w:rFonts w:cs="Arial"/>
                <w:sz w:val="20"/>
                <w:szCs w:val="20"/>
              </w:rPr>
              <w:t>Sample</w:t>
            </w:r>
          </w:p>
        </w:tc>
        <w:tc>
          <w:tcPr>
            <w:tcW w:w="190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0C8DEF" w14:textId="77777777" w:rsidR="00257689" w:rsidRPr="008A4B6D" w:rsidRDefault="00257689" w:rsidP="00DB1B2D">
            <w:pPr>
              <w:spacing w:after="0" w:line="240" w:lineRule="auto"/>
              <w:jc w:val="both"/>
              <w:rPr>
                <w:rFonts w:cs="Arial"/>
                <w:sz w:val="20"/>
                <w:szCs w:val="20"/>
              </w:rPr>
            </w:pPr>
            <w:r w:rsidRPr="008A4B6D">
              <w:rPr>
                <w:rFonts w:cs="Arial"/>
                <w:sz w:val="20"/>
                <w:szCs w:val="20"/>
              </w:rPr>
              <w:t>Teenagers (age 12-19)</w:t>
            </w:r>
          </w:p>
        </w:tc>
        <w:tc>
          <w:tcPr>
            <w:tcW w:w="2409" w:type="pct"/>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center"/>
            <w:hideMark/>
          </w:tcPr>
          <w:p w14:paraId="60ADE5C2" w14:textId="77777777" w:rsidR="00257689" w:rsidRPr="008A4B6D" w:rsidRDefault="00257689" w:rsidP="00DB1B2D">
            <w:pPr>
              <w:pStyle w:val="ListParagraph"/>
              <w:numPr>
                <w:ilvl w:val="0"/>
                <w:numId w:val="4"/>
              </w:numPr>
              <w:spacing w:after="0" w:line="240" w:lineRule="auto"/>
              <w:ind w:left="531"/>
              <w:rPr>
                <w:rFonts w:cs="Arial"/>
                <w:sz w:val="20"/>
                <w:szCs w:val="20"/>
              </w:rPr>
            </w:pPr>
            <w:r w:rsidRPr="008A4B6D">
              <w:rPr>
                <w:rFonts w:cs="Arial"/>
                <w:sz w:val="20"/>
                <w:szCs w:val="20"/>
              </w:rPr>
              <w:t>cybercrime victims</w:t>
            </w:r>
          </w:p>
          <w:p w14:paraId="0A543ED0" w14:textId="77777777" w:rsidR="00257689" w:rsidRPr="008A4B6D" w:rsidRDefault="00257689" w:rsidP="00DB1B2D">
            <w:pPr>
              <w:pStyle w:val="ListParagraph"/>
              <w:numPr>
                <w:ilvl w:val="0"/>
                <w:numId w:val="4"/>
              </w:numPr>
              <w:spacing w:after="0" w:line="240" w:lineRule="auto"/>
              <w:ind w:left="531"/>
              <w:rPr>
                <w:rFonts w:cs="Arial"/>
                <w:sz w:val="20"/>
                <w:szCs w:val="20"/>
              </w:rPr>
            </w:pPr>
            <w:r w:rsidRPr="008A4B6D">
              <w:rPr>
                <w:rFonts w:cs="Arial"/>
                <w:sz w:val="20"/>
                <w:szCs w:val="20"/>
              </w:rPr>
              <w:t>hackers out of the age range of 12-19</w:t>
            </w:r>
          </w:p>
          <w:p w14:paraId="5CFA644A" w14:textId="77777777" w:rsidR="00257689" w:rsidRPr="008A4B6D" w:rsidRDefault="00257689" w:rsidP="00DB1B2D">
            <w:pPr>
              <w:pStyle w:val="ListParagraph"/>
              <w:numPr>
                <w:ilvl w:val="0"/>
                <w:numId w:val="4"/>
              </w:numPr>
              <w:spacing w:after="0" w:line="240" w:lineRule="auto"/>
              <w:ind w:left="531"/>
              <w:rPr>
                <w:rFonts w:cs="Arial"/>
                <w:sz w:val="20"/>
                <w:szCs w:val="20"/>
              </w:rPr>
            </w:pPr>
            <w:r w:rsidRPr="008A4B6D">
              <w:rPr>
                <w:rFonts w:cs="Arial"/>
                <w:sz w:val="20"/>
                <w:szCs w:val="20"/>
              </w:rPr>
              <w:t>ethical hackers</w:t>
            </w:r>
          </w:p>
        </w:tc>
      </w:tr>
      <w:tr w:rsidR="00257689" w:rsidRPr="00CC5E84" w14:paraId="0F9DC5BD" w14:textId="77777777" w:rsidTr="008A4B6D">
        <w:trPr>
          <w:trHeight w:val="315"/>
        </w:trPr>
        <w:tc>
          <w:tcPr>
            <w:tcW w:w="685" w:type="pct"/>
            <w:tcBorders>
              <w:top w:val="single" w:sz="6" w:space="0" w:color="CCCCCC"/>
              <w:left w:val="single" w:sz="18" w:space="0" w:color="000000"/>
              <w:bottom w:val="single" w:sz="6" w:space="0" w:color="000000"/>
              <w:right w:val="single" w:sz="18" w:space="0" w:color="000000"/>
            </w:tcBorders>
            <w:shd w:val="clear" w:color="auto" w:fill="BFBFBF" w:themeFill="background1" w:themeFillShade="BF"/>
            <w:tcMar>
              <w:top w:w="30" w:type="dxa"/>
              <w:left w:w="45" w:type="dxa"/>
              <w:bottom w:w="30" w:type="dxa"/>
              <w:right w:w="45" w:type="dxa"/>
            </w:tcMar>
            <w:vAlign w:val="center"/>
            <w:hideMark/>
          </w:tcPr>
          <w:p w14:paraId="78BC20D1" w14:textId="77777777" w:rsidR="00257689" w:rsidRPr="008A4B6D" w:rsidRDefault="00257689" w:rsidP="00DB1B2D">
            <w:pPr>
              <w:spacing w:after="0" w:line="240" w:lineRule="auto"/>
              <w:rPr>
                <w:rFonts w:cs="Arial"/>
                <w:sz w:val="20"/>
                <w:szCs w:val="20"/>
              </w:rPr>
            </w:pPr>
            <w:r w:rsidRPr="008A4B6D">
              <w:rPr>
                <w:rFonts w:cs="Arial"/>
                <w:sz w:val="20"/>
                <w:szCs w:val="20"/>
              </w:rPr>
              <w:t>Phenomenon of interest</w:t>
            </w:r>
          </w:p>
        </w:tc>
        <w:tc>
          <w:tcPr>
            <w:tcW w:w="190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43E2C4" w14:textId="7263380A" w:rsidR="00257689" w:rsidRPr="008A4B6D" w:rsidRDefault="00510904" w:rsidP="00DB1B2D">
            <w:pPr>
              <w:spacing w:after="0" w:line="240" w:lineRule="auto"/>
              <w:jc w:val="both"/>
              <w:rPr>
                <w:rFonts w:cs="Arial"/>
                <w:sz w:val="20"/>
                <w:szCs w:val="20"/>
              </w:rPr>
            </w:pPr>
            <w:r>
              <w:rPr>
                <w:rFonts w:cs="Arial"/>
                <w:sz w:val="20"/>
                <w:szCs w:val="20"/>
              </w:rPr>
              <w:t>I</w:t>
            </w:r>
            <w:r w:rsidR="00257689" w:rsidRPr="008A4B6D">
              <w:rPr>
                <w:rFonts w:cs="Arial"/>
                <w:sz w:val="20"/>
                <w:szCs w:val="20"/>
              </w:rPr>
              <w:t>llegal hacking</w:t>
            </w:r>
          </w:p>
        </w:tc>
        <w:tc>
          <w:tcPr>
            <w:tcW w:w="2409" w:type="pct"/>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center"/>
            <w:hideMark/>
          </w:tcPr>
          <w:p w14:paraId="1B5F682D" w14:textId="77777777" w:rsidR="00257689" w:rsidRPr="008A4B6D" w:rsidRDefault="00257689" w:rsidP="00DB1B2D">
            <w:pPr>
              <w:pStyle w:val="ListParagraph"/>
              <w:numPr>
                <w:ilvl w:val="0"/>
                <w:numId w:val="4"/>
              </w:numPr>
              <w:spacing w:after="0" w:line="240" w:lineRule="auto"/>
              <w:ind w:left="531"/>
              <w:rPr>
                <w:rFonts w:cs="Arial"/>
                <w:sz w:val="20"/>
                <w:szCs w:val="20"/>
              </w:rPr>
            </w:pPr>
            <w:r w:rsidRPr="008A4B6D">
              <w:rPr>
                <w:rFonts w:cs="Arial"/>
                <w:sz w:val="20"/>
                <w:szCs w:val="20"/>
              </w:rPr>
              <w:t>cyber-enabled crimes, such as harassment, bullying, promotion of violence and fake news, distribution of pornography and sexual abuse, sexting, fraud, scams and similar</w:t>
            </w:r>
          </w:p>
          <w:p w14:paraId="362C3A33" w14:textId="77777777" w:rsidR="00257689" w:rsidRPr="008A4B6D" w:rsidRDefault="00257689" w:rsidP="00DB1B2D">
            <w:pPr>
              <w:pStyle w:val="ListParagraph"/>
              <w:numPr>
                <w:ilvl w:val="0"/>
                <w:numId w:val="4"/>
              </w:numPr>
              <w:spacing w:after="0" w:line="240" w:lineRule="auto"/>
              <w:ind w:left="531"/>
              <w:rPr>
                <w:rFonts w:cs="Arial"/>
                <w:sz w:val="20"/>
                <w:szCs w:val="20"/>
              </w:rPr>
            </w:pPr>
            <w:r w:rsidRPr="008A4B6D">
              <w:rPr>
                <w:rFonts w:cs="Arial"/>
                <w:sz w:val="20"/>
                <w:szCs w:val="20"/>
              </w:rPr>
              <w:t>cybersecurity awareness evaluation</w:t>
            </w:r>
          </w:p>
          <w:p w14:paraId="59C184AD" w14:textId="77777777" w:rsidR="00257689" w:rsidRPr="008A4B6D" w:rsidRDefault="00257689" w:rsidP="00DB1B2D">
            <w:pPr>
              <w:pStyle w:val="ListParagraph"/>
              <w:numPr>
                <w:ilvl w:val="0"/>
                <w:numId w:val="4"/>
              </w:numPr>
              <w:spacing w:after="0" w:line="240" w:lineRule="auto"/>
              <w:ind w:left="531"/>
              <w:rPr>
                <w:rFonts w:cs="Arial"/>
                <w:sz w:val="20"/>
                <w:szCs w:val="20"/>
              </w:rPr>
            </w:pPr>
            <w:r w:rsidRPr="008A4B6D">
              <w:rPr>
                <w:rFonts w:cs="Arial"/>
                <w:sz w:val="20"/>
                <w:szCs w:val="20"/>
              </w:rPr>
              <w:t>‘hacker’ and ‘hacking’ applied to the domains outside cybercrime</w:t>
            </w:r>
          </w:p>
          <w:p w14:paraId="700BCBFE" w14:textId="77777777" w:rsidR="00257689" w:rsidRPr="008A4B6D" w:rsidRDefault="00257689" w:rsidP="00DB1B2D">
            <w:pPr>
              <w:pStyle w:val="ListParagraph"/>
              <w:numPr>
                <w:ilvl w:val="0"/>
                <w:numId w:val="4"/>
              </w:numPr>
              <w:spacing w:after="0" w:line="240" w:lineRule="auto"/>
              <w:ind w:left="531"/>
              <w:rPr>
                <w:rFonts w:cs="Arial"/>
                <w:sz w:val="20"/>
                <w:szCs w:val="20"/>
              </w:rPr>
            </w:pPr>
            <w:r w:rsidRPr="008A4B6D">
              <w:rPr>
                <w:rFonts w:cs="Arial"/>
                <w:sz w:val="20"/>
                <w:szCs w:val="20"/>
              </w:rPr>
              <w:t>research where the author’s or cited scholar’s last name is the same as one of the search keywords while the content is irrelevant to the cybercrime theme</w:t>
            </w:r>
          </w:p>
        </w:tc>
      </w:tr>
      <w:tr w:rsidR="00257689" w:rsidRPr="00CC5E84" w14:paraId="2083B989" w14:textId="77777777" w:rsidTr="008A4B6D">
        <w:trPr>
          <w:trHeight w:val="315"/>
        </w:trPr>
        <w:tc>
          <w:tcPr>
            <w:tcW w:w="685" w:type="pct"/>
            <w:tcBorders>
              <w:top w:val="single" w:sz="6" w:space="0" w:color="CCCCCC"/>
              <w:left w:val="single" w:sz="18" w:space="0" w:color="000000"/>
              <w:bottom w:val="single" w:sz="6" w:space="0" w:color="000000"/>
              <w:right w:val="single" w:sz="18" w:space="0" w:color="000000"/>
            </w:tcBorders>
            <w:shd w:val="clear" w:color="auto" w:fill="BFBFBF" w:themeFill="background1" w:themeFillShade="BF"/>
            <w:tcMar>
              <w:top w:w="30" w:type="dxa"/>
              <w:left w:w="45" w:type="dxa"/>
              <w:bottom w:w="30" w:type="dxa"/>
              <w:right w:w="45" w:type="dxa"/>
            </w:tcMar>
            <w:vAlign w:val="center"/>
            <w:hideMark/>
          </w:tcPr>
          <w:p w14:paraId="32B79DE1" w14:textId="77777777" w:rsidR="00257689" w:rsidRPr="008A4B6D" w:rsidRDefault="00257689" w:rsidP="00DB1B2D">
            <w:pPr>
              <w:spacing w:after="0" w:line="240" w:lineRule="auto"/>
              <w:jc w:val="both"/>
              <w:rPr>
                <w:rFonts w:cs="Arial"/>
                <w:sz w:val="20"/>
                <w:szCs w:val="20"/>
              </w:rPr>
            </w:pPr>
            <w:r w:rsidRPr="008A4B6D">
              <w:rPr>
                <w:rFonts w:cs="Arial"/>
                <w:sz w:val="20"/>
                <w:szCs w:val="20"/>
              </w:rPr>
              <w:t>Design</w:t>
            </w:r>
          </w:p>
        </w:tc>
        <w:tc>
          <w:tcPr>
            <w:tcW w:w="190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309FBF" w14:textId="6F44D601" w:rsidR="00257689" w:rsidRPr="008A4B6D" w:rsidRDefault="00510904" w:rsidP="00DB1B2D">
            <w:pPr>
              <w:spacing w:after="0" w:line="240" w:lineRule="auto"/>
              <w:jc w:val="both"/>
              <w:rPr>
                <w:rFonts w:cs="Arial"/>
                <w:sz w:val="20"/>
                <w:szCs w:val="20"/>
              </w:rPr>
            </w:pPr>
            <w:r>
              <w:rPr>
                <w:rFonts w:cs="Arial"/>
                <w:sz w:val="20"/>
                <w:szCs w:val="20"/>
              </w:rPr>
              <w:t>Q</w:t>
            </w:r>
            <w:r w:rsidR="00257689" w:rsidRPr="008A4B6D">
              <w:rPr>
                <w:rFonts w:cs="Arial"/>
                <w:sz w:val="20"/>
                <w:szCs w:val="20"/>
              </w:rPr>
              <w:t>uestionnaires, surveys, interviews, focus groups, case studies, observations, data and samples</w:t>
            </w:r>
          </w:p>
        </w:tc>
        <w:tc>
          <w:tcPr>
            <w:tcW w:w="2409" w:type="pct"/>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center"/>
            <w:hideMark/>
          </w:tcPr>
          <w:p w14:paraId="696D4883" w14:textId="77777777" w:rsidR="00257689" w:rsidRPr="008A4B6D" w:rsidRDefault="00257689" w:rsidP="00DB1B2D">
            <w:pPr>
              <w:spacing w:after="0" w:line="240" w:lineRule="auto"/>
              <w:jc w:val="both"/>
              <w:rPr>
                <w:rFonts w:cs="Arial"/>
                <w:sz w:val="20"/>
                <w:szCs w:val="20"/>
              </w:rPr>
            </w:pPr>
          </w:p>
        </w:tc>
      </w:tr>
      <w:tr w:rsidR="00257689" w:rsidRPr="00CC5E84" w14:paraId="3AA62B5B" w14:textId="77777777" w:rsidTr="008A4B6D">
        <w:trPr>
          <w:trHeight w:val="315"/>
        </w:trPr>
        <w:tc>
          <w:tcPr>
            <w:tcW w:w="685" w:type="pct"/>
            <w:tcBorders>
              <w:top w:val="single" w:sz="6" w:space="0" w:color="CCCCCC"/>
              <w:left w:val="single" w:sz="18" w:space="0" w:color="000000"/>
              <w:bottom w:val="single" w:sz="6" w:space="0" w:color="000000"/>
              <w:right w:val="single" w:sz="18" w:space="0" w:color="000000"/>
            </w:tcBorders>
            <w:shd w:val="clear" w:color="auto" w:fill="BFBFBF" w:themeFill="background1" w:themeFillShade="BF"/>
            <w:tcMar>
              <w:top w:w="30" w:type="dxa"/>
              <w:left w:w="45" w:type="dxa"/>
              <w:bottom w:w="30" w:type="dxa"/>
              <w:right w:w="45" w:type="dxa"/>
            </w:tcMar>
            <w:vAlign w:val="center"/>
            <w:hideMark/>
          </w:tcPr>
          <w:p w14:paraId="78717E7B" w14:textId="77777777" w:rsidR="00257689" w:rsidRPr="008A4B6D" w:rsidRDefault="00257689" w:rsidP="00DB1B2D">
            <w:pPr>
              <w:spacing w:after="0" w:line="240" w:lineRule="auto"/>
              <w:jc w:val="both"/>
              <w:rPr>
                <w:rFonts w:cs="Arial"/>
                <w:sz w:val="20"/>
                <w:szCs w:val="20"/>
              </w:rPr>
            </w:pPr>
            <w:r w:rsidRPr="008A4B6D">
              <w:rPr>
                <w:rFonts w:cs="Arial"/>
                <w:sz w:val="20"/>
                <w:szCs w:val="20"/>
              </w:rPr>
              <w:t>Evaluation</w:t>
            </w:r>
          </w:p>
        </w:tc>
        <w:tc>
          <w:tcPr>
            <w:tcW w:w="190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0E19FD" w14:textId="3BA0001C" w:rsidR="00257689" w:rsidRPr="008A4B6D" w:rsidRDefault="00510904" w:rsidP="00DB1B2D">
            <w:pPr>
              <w:spacing w:after="0" w:line="240" w:lineRule="auto"/>
              <w:jc w:val="both"/>
              <w:rPr>
                <w:rFonts w:cs="Arial"/>
                <w:sz w:val="20"/>
                <w:szCs w:val="20"/>
              </w:rPr>
            </w:pPr>
            <w:r>
              <w:rPr>
                <w:rFonts w:cs="Arial"/>
                <w:sz w:val="20"/>
                <w:szCs w:val="20"/>
              </w:rPr>
              <w:t>C</w:t>
            </w:r>
            <w:r w:rsidR="00257689" w:rsidRPr="008A4B6D">
              <w:rPr>
                <w:rFonts w:cs="Arial"/>
                <w:sz w:val="20"/>
                <w:szCs w:val="20"/>
              </w:rPr>
              <w:t>haracteristics, reasons, motives, causes, explanations, factors, behaviour, attitude and benefits</w:t>
            </w:r>
          </w:p>
        </w:tc>
        <w:tc>
          <w:tcPr>
            <w:tcW w:w="2409" w:type="pct"/>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center"/>
            <w:hideMark/>
          </w:tcPr>
          <w:p w14:paraId="7907C890" w14:textId="77777777" w:rsidR="00257689" w:rsidRPr="008A4B6D" w:rsidRDefault="00257689" w:rsidP="00DB1B2D">
            <w:pPr>
              <w:spacing w:after="0" w:line="240" w:lineRule="auto"/>
              <w:jc w:val="both"/>
              <w:rPr>
                <w:rFonts w:cs="Arial"/>
                <w:sz w:val="20"/>
                <w:szCs w:val="20"/>
              </w:rPr>
            </w:pPr>
            <w:r w:rsidRPr="008A4B6D">
              <w:rPr>
                <w:rFonts w:cs="Arial"/>
                <w:sz w:val="20"/>
                <w:szCs w:val="20"/>
              </w:rPr>
              <w:t>unclear purpose</w:t>
            </w:r>
          </w:p>
        </w:tc>
      </w:tr>
      <w:tr w:rsidR="00257689" w:rsidRPr="00CC5E84" w14:paraId="29042AF7" w14:textId="77777777" w:rsidTr="008A4B6D">
        <w:trPr>
          <w:trHeight w:val="315"/>
        </w:trPr>
        <w:tc>
          <w:tcPr>
            <w:tcW w:w="685" w:type="pct"/>
            <w:tcBorders>
              <w:top w:val="single" w:sz="6" w:space="0" w:color="CCCCCC"/>
              <w:left w:val="single" w:sz="18" w:space="0" w:color="000000"/>
              <w:bottom w:val="single" w:sz="6" w:space="0" w:color="000000"/>
              <w:right w:val="single" w:sz="18" w:space="0" w:color="000000"/>
            </w:tcBorders>
            <w:shd w:val="clear" w:color="auto" w:fill="BFBFBF" w:themeFill="background1" w:themeFillShade="BF"/>
            <w:tcMar>
              <w:top w:w="30" w:type="dxa"/>
              <w:left w:w="45" w:type="dxa"/>
              <w:bottom w:w="30" w:type="dxa"/>
              <w:right w:w="45" w:type="dxa"/>
            </w:tcMar>
            <w:vAlign w:val="center"/>
            <w:hideMark/>
          </w:tcPr>
          <w:p w14:paraId="13DA233E" w14:textId="77777777" w:rsidR="00257689" w:rsidRPr="008A4B6D" w:rsidRDefault="00257689" w:rsidP="00DB1B2D">
            <w:pPr>
              <w:spacing w:after="0" w:line="240" w:lineRule="auto"/>
              <w:jc w:val="both"/>
              <w:rPr>
                <w:rFonts w:cs="Arial"/>
                <w:sz w:val="20"/>
                <w:szCs w:val="20"/>
              </w:rPr>
            </w:pPr>
            <w:r w:rsidRPr="008A4B6D">
              <w:rPr>
                <w:rFonts w:cs="Arial"/>
                <w:sz w:val="20"/>
                <w:szCs w:val="20"/>
              </w:rPr>
              <w:t>Research type</w:t>
            </w:r>
          </w:p>
        </w:tc>
        <w:tc>
          <w:tcPr>
            <w:tcW w:w="190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86CB8E" w14:textId="68D1BED2" w:rsidR="00257689" w:rsidRPr="008A4B6D" w:rsidRDefault="00510904" w:rsidP="00DB1B2D">
            <w:pPr>
              <w:spacing w:after="0" w:line="240" w:lineRule="auto"/>
              <w:jc w:val="both"/>
              <w:rPr>
                <w:rFonts w:cs="Arial"/>
                <w:sz w:val="20"/>
                <w:szCs w:val="20"/>
              </w:rPr>
            </w:pPr>
            <w:r>
              <w:rPr>
                <w:rFonts w:cs="Arial"/>
                <w:sz w:val="20"/>
                <w:szCs w:val="20"/>
              </w:rPr>
              <w:t>D</w:t>
            </w:r>
            <w:r w:rsidR="00257689" w:rsidRPr="008A4B6D">
              <w:rPr>
                <w:rFonts w:cs="Arial"/>
                <w:sz w:val="20"/>
                <w:szCs w:val="20"/>
              </w:rPr>
              <w:t>ynamic panel model, longitudinal, qualitative, quantitative and mixed methods</w:t>
            </w:r>
          </w:p>
        </w:tc>
        <w:tc>
          <w:tcPr>
            <w:tcW w:w="2409" w:type="pct"/>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center"/>
            <w:hideMark/>
          </w:tcPr>
          <w:p w14:paraId="783BCBBE" w14:textId="77777777" w:rsidR="00257689" w:rsidRPr="008A4B6D" w:rsidRDefault="00257689" w:rsidP="00DB1B2D">
            <w:pPr>
              <w:spacing w:after="0" w:line="240" w:lineRule="auto"/>
              <w:jc w:val="both"/>
              <w:rPr>
                <w:rFonts w:cs="Arial"/>
                <w:sz w:val="20"/>
                <w:szCs w:val="20"/>
              </w:rPr>
            </w:pPr>
            <w:r w:rsidRPr="008A4B6D">
              <w:rPr>
                <w:rFonts w:cs="Arial"/>
                <w:sz w:val="20"/>
                <w:szCs w:val="20"/>
              </w:rPr>
              <w:t>analysis with no empirical data involved</w:t>
            </w:r>
          </w:p>
        </w:tc>
      </w:tr>
      <w:tr w:rsidR="00257689" w:rsidRPr="00CC5E84" w14:paraId="4E70A3D0" w14:textId="77777777" w:rsidTr="008A4B6D">
        <w:trPr>
          <w:trHeight w:val="315"/>
        </w:trPr>
        <w:tc>
          <w:tcPr>
            <w:tcW w:w="685" w:type="pct"/>
            <w:tcBorders>
              <w:top w:val="single" w:sz="6" w:space="0" w:color="CCCCCC"/>
              <w:left w:val="single" w:sz="18" w:space="0" w:color="000000"/>
              <w:bottom w:val="single" w:sz="6" w:space="0" w:color="000000"/>
              <w:right w:val="single" w:sz="18" w:space="0" w:color="000000"/>
            </w:tcBorders>
            <w:shd w:val="clear" w:color="auto" w:fill="BFBFBF" w:themeFill="background1" w:themeFillShade="BF"/>
            <w:tcMar>
              <w:top w:w="30" w:type="dxa"/>
              <w:left w:w="45" w:type="dxa"/>
              <w:bottom w:w="30" w:type="dxa"/>
              <w:right w:w="45" w:type="dxa"/>
            </w:tcMar>
            <w:vAlign w:val="center"/>
            <w:hideMark/>
          </w:tcPr>
          <w:p w14:paraId="1FF111A3" w14:textId="77777777" w:rsidR="00257689" w:rsidRPr="008A4B6D" w:rsidRDefault="00257689" w:rsidP="00DB1B2D">
            <w:pPr>
              <w:spacing w:after="0" w:line="240" w:lineRule="auto"/>
              <w:jc w:val="both"/>
              <w:rPr>
                <w:rFonts w:cs="Arial"/>
                <w:sz w:val="20"/>
                <w:szCs w:val="20"/>
              </w:rPr>
            </w:pPr>
            <w:r w:rsidRPr="008A4B6D">
              <w:rPr>
                <w:rFonts w:cs="Arial"/>
                <w:sz w:val="20"/>
                <w:szCs w:val="20"/>
              </w:rPr>
              <w:t>Date range</w:t>
            </w:r>
          </w:p>
        </w:tc>
        <w:tc>
          <w:tcPr>
            <w:tcW w:w="190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3E4DC3" w14:textId="77777777" w:rsidR="00257689" w:rsidRPr="008A4B6D" w:rsidRDefault="00257689" w:rsidP="00DB1B2D">
            <w:pPr>
              <w:spacing w:after="0" w:line="240" w:lineRule="auto"/>
              <w:jc w:val="both"/>
              <w:rPr>
                <w:rFonts w:cs="Arial"/>
                <w:sz w:val="20"/>
                <w:szCs w:val="20"/>
              </w:rPr>
            </w:pPr>
            <w:r w:rsidRPr="008A4B6D">
              <w:rPr>
                <w:rFonts w:cs="Arial"/>
                <w:sz w:val="20"/>
                <w:szCs w:val="20"/>
              </w:rPr>
              <w:t>January 1</w:t>
            </w:r>
            <w:r w:rsidRPr="008A4B6D">
              <w:rPr>
                <w:rFonts w:cs="Arial"/>
                <w:sz w:val="20"/>
                <w:szCs w:val="20"/>
                <w:vertAlign w:val="superscript"/>
              </w:rPr>
              <w:t>st</w:t>
            </w:r>
            <w:r w:rsidRPr="008A4B6D">
              <w:rPr>
                <w:rFonts w:cs="Arial"/>
                <w:sz w:val="20"/>
                <w:szCs w:val="20"/>
              </w:rPr>
              <w:t>, 2020 – September 11</w:t>
            </w:r>
            <w:r w:rsidRPr="008A4B6D">
              <w:rPr>
                <w:rFonts w:cs="Arial"/>
                <w:sz w:val="20"/>
                <w:szCs w:val="20"/>
                <w:vertAlign w:val="superscript"/>
              </w:rPr>
              <w:t>th</w:t>
            </w:r>
            <w:r w:rsidRPr="008A4B6D">
              <w:rPr>
                <w:rFonts w:cs="Arial"/>
                <w:sz w:val="20"/>
                <w:szCs w:val="20"/>
              </w:rPr>
              <w:t>, 2024</w:t>
            </w:r>
          </w:p>
        </w:tc>
        <w:tc>
          <w:tcPr>
            <w:tcW w:w="2409" w:type="pct"/>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center"/>
            <w:hideMark/>
          </w:tcPr>
          <w:p w14:paraId="373A30D8" w14:textId="77777777" w:rsidR="00257689" w:rsidRPr="008A4B6D" w:rsidRDefault="00257689" w:rsidP="00DB1B2D">
            <w:pPr>
              <w:spacing w:after="0" w:line="240" w:lineRule="auto"/>
              <w:jc w:val="both"/>
              <w:rPr>
                <w:rFonts w:cs="Arial"/>
                <w:sz w:val="20"/>
                <w:szCs w:val="20"/>
              </w:rPr>
            </w:pPr>
            <w:r w:rsidRPr="008A4B6D">
              <w:rPr>
                <w:rFonts w:cs="Arial"/>
                <w:sz w:val="20"/>
                <w:szCs w:val="20"/>
              </w:rPr>
              <w:t>any document published earlier than January 1</w:t>
            </w:r>
            <w:r w:rsidRPr="008A4B6D">
              <w:rPr>
                <w:rFonts w:cs="Arial"/>
                <w:sz w:val="20"/>
                <w:szCs w:val="20"/>
                <w:vertAlign w:val="superscript"/>
              </w:rPr>
              <w:t>st</w:t>
            </w:r>
            <w:r w:rsidRPr="008A4B6D">
              <w:rPr>
                <w:rFonts w:cs="Arial"/>
                <w:sz w:val="20"/>
                <w:szCs w:val="20"/>
              </w:rPr>
              <w:t>, 2020</w:t>
            </w:r>
          </w:p>
        </w:tc>
      </w:tr>
      <w:tr w:rsidR="00257689" w:rsidRPr="00CC5E84" w14:paraId="09B3060F" w14:textId="77777777" w:rsidTr="008A4B6D">
        <w:trPr>
          <w:trHeight w:val="315"/>
        </w:trPr>
        <w:tc>
          <w:tcPr>
            <w:tcW w:w="685" w:type="pct"/>
            <w:tcBorders>
              <w:top w:val="single" w:sz="6" w:space="0" w:color="CCCCCC"/>
              <w:left w:val="single" w:sz="18" w:space="0" w:color="000000"/>
              <w:bottom w:val="single" w:sz="6" w:space="0" w:color="000000"/>
              <w:right w:val="single" w:sz="18" w:space="0" w:color="000000"/>
            </w:tcBorders>
            <w:shd w:val="clear" w:color="auto" w:fill="BFBFBF" w:themeFill="background1" w:themeFillShade="BF"/>
            <w:tcMar>
              <w:top w:w="30" w:type="dxa"/>
              <w:left w:w="45" w:type="dxa"/>
              <w:bottom w:w="30" w:type="dxa"/>
              <w:right w:w="45" w:type="dxa"/>
            </w:tcMar>
            <w:vAlign w:val="center"/>
            <w:hideMark/>
          </w:tcPr>
          <w:p w14:paraId="52493821" w14:textId="77777777" w:rsidR="00257689" w:rsidRPr="008A4B6D" w:rsidRDefault="00257689" w:rsidP="00DB1B2D">
            <w:pPr>
              <w:spacing w:after="0" w:line="240" w:lineRule="auto"/>
              <w:jc w:val="both"/>
              <w:rPr>
                <w:rFonts w:cs="Arial"/>
                <w:sz w:val="20"/>
                <w:szCs w:val="20"/>
              </w:rPr>
            </w:pPr>
            <w:r w:rsidRPr="008A4B6D">
              <w:rPr>
                <w:rFonts w:cs="Arial"/>
                <w:sz w:val="20"/>
                <w:szCs w:val="20"/>
              </w:rPr>
              <w:t>Language</w:t>
            </w:r>
          </w:p>
        </w:tc>
        <w:tc>
          <w:tcPr>
            <w:tcW w:w="190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FB3476" w14:textId="77777777" w:rsidR="00257689" w:rsidRPr="008A4B6D" w:rsidRDefault="00257689" w:rsidP="00DB1B2D">
            <w:pPr>
              <w:spacing w:after="0" w:line="240" w:lineRule="auto"/>
              <w:jc w:val="both"/>
              <w:rPr>
                <w:rFonts w:cs="Arial"/>
                <w:sz w:val="20"/>
                <w:szCs w:val="20"/>
              </w:rPr>
            </w:pPr>
            <w:r w:rsidRPr="008A4B6D">
              <w:rPr>
                <w:rFonts w:cs="Arial"/>
                <w:sz w:val="20"/>
                <w:szCs w:val="20"/>
              </w:rPr>
              <w:t>English</w:t>
            </w:r>
          </w:p>
        </w:tc>
        <w:tc>
          <w:tcPr>
            <w:tcW w:w="2409" w:type="pct"/>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center"/>
            <w:hideMark/>
          </w:tcPr>
          <w:p w14:paraId="091870FB" w14:textId="77777777" w:rsidR="00257689" w:rsidRPr="008A4B6D" w:rsidRDefault="00257689" w:rsidP="00DB1B2D">
            <w:pPr>
              <w:spacing w:after="0" w:line="240" w:lineRule="auto"/>
              <w:jc w:val="both"/>
              <w:rPr>
                <w:rFonts w:cs="Arial"/>
                <w:sz w:val="20"/>
                <w:szCs w:val="20"/>
              </w:rPr>
            </w:pPr>
            <w:r w:rsidRPr="008A4B6D">
              <w:rPr>
                <w:rFonts w:cs="Arial"/>
                <w:sz w:val="20"/>
                <w:szCs w:val="20"/>
              </w:rPr>
              <w:t>any other language than English as the only language of the document</w:t>
            </w:r>
          </w:p>
        </w:tc>
      </w:tr>
      <w:tr w:rsidR="00257689" w:rsidRPr="00CC5E84" w14:paraId="2F986A3D" w14:textId="77777777" w:rsidTr="008A4B6D">
        <w:trPr>
          <w:trHeight w:val="315"/>
        </w:trPr>
        <w:tc>
          <w:tcPr>
            <w:tcW w:w="685" w:type="pct"/>
            <w:tcBorders>
              <w:top w:val="single" w:sz="6" w:space="0" w:color="CCCCCC"/>
              <w:left w:val="single" w:sz="18" w:space="0" w:color="000000"/>
              <w:bottom w:val="single" w:sz="6" w:space="0" w:color="000000"/>
              <w:right w:val="single" w:sz="18" w:space="0" w:color="000000"/>
            </w:tcBorders>
            <w:shd w:val="clear" w:color="auto" w:fill="BFBFBF" w:themeFill="background1" w:themeFillShade="BF"/>
            <w:tcMar>
              <w:top w:w="30" w:type="dxa"/>
              <w:left w:w="45" w:type="dxa"/>
              <w:bottom w:w="30" w:type="dxa"/>
              <w:right w:w="45" w:type="dxa"/>
            </w:tcMar>
            <w:vAlign w:val="center"/>
            <w:hideMark/>
          </w:tcPr>
          <w:p w14:paraId="33FC1BC2" w14:textId="77777777" w:rsidR="00257689" w:rsidRPr="008A4B6D" w:rsidRDefault="00257689" w:rsidP="00DB1B2D">
            <w:pPr>
              <w:spacing w:after="0" w:line="240" w:lineRule="auto"/>
              <w:jc w:val="both"/>
              <w:rPr>
                <w:rFonts w:cs="Arial"/>
                <w:sz w:val="20"/>
                <w:szCs w:val="20"/>
              </w:rPr>
            </w:pPr>
            <w:r w:rsidRPr="008A4B6D">
              <w:rPr>
                <w:rFonts w:cs="Arial"/>
                <w:sz w:val="20"/>
                <w:szCs w:val="20"/>
              </w:rPr>
              <w:t>Geography</w:t>
            </w:r>
          </w:p>
        </w:tc>
        <w:tc>
          <w:tcPr>
            <w:tcW w:w="190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C19EB1" w14:textId="787682B2" w:rsidR="00257689" w:rsidRPr="008A4B6D" w:rsidRDefault="00510904" w:rsidP="00DB1B2D">
            <w:pPr>
              <w:spacing w:after="0" w:line="240" w:lineRule="auto"/>
              <w:jc w:val="both"/>
              <w:rPr>
                <w:rFonts w:cs="Arial"/>
                <w:sz w:val="20"/>
                <w:szCs w:val="20"/>
              </w:rPr>
            </w:pPr>
            <w:r w:rsidRPr="008A4B6D">
              <w:rPr>
                <w:rFonts w:cs="Arial"/>
                <w:sz w:val="20"/>
                <w:szCs w:val="20"/>
              </w:rPr>
              <w:t>G</w:t>
            </w:r>
            <w:r w:rsidR="00257689" w:rsidRPr="008A4B6D">
              <w:rPr>
                <w:rFonts w:cs="Arial"/>
                <w:sz w:val="20"/>
                <w:szCs w:val="20"/>
              </w:rPr>
              <w:t>lobal</w:t>
            </w:r>
          </w:p>
        </w:tc>
        <w:tc>
          <w:tcPr>
            <w:tcW w:w="2409" w:type="pct"/>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center"/>
            <w:hideMark/>
          </w:tcPr>
          <w:p w14:paraId="43F1D580" w14:textId="77777777" w:rsidR="00257689" w:rsidRPr="008A4B6D" w:rsidRDefault="00257689" w:rsidP="00DB1B2D">
            <w:pPr>
              <w:spacing w:after="0" w:line="240" w:lineRule="auto"/>
              <w:jc w:val="both"/>
              <w:rPr>
                <w:rFonts w:cs="Arial"/>
                <w:sz w:val="20"/>
                <w:szCs w:val="20"/>
              </w:rPr>
            </w:pPr>
          </w:p>
        </w:tc>
      </w:tr>
      <w:tr w:rsidR="00257689" w:rsidRPr="00CC5E84" w14:paraId="1C0E6828" w14:textId="77777777" w:rsidTr="008A4B6D">
        <w:trPr>
          <w:trHeight w:val="315"/>
        </w:trPr>
        <w:tc>
          <w:tcPr>
            <w:tcW w:w="685" w:type="pct"/>
            <w:tcBorders>
              <w:top w:val="single" w:sz="6" w:space="0" w:color="CCCCCC"/>
              <w:left w:val="single" w:sz="18" w:space="0" w:color="000000"/>
              <w:bottom w:val="single" w:sz="6" w:space="0" w:color="000000"/>
              <w:right w:val="single" w:sz="18" w:space="0" w:color="000000"/>
            </w:tcBorders>
            <w:shd w:val="clear" w:color="auto" w:fill="BFBFBF" w:themeFill="background1" w:themeFillShade="BF"/>
            <w:tcMar>
              <w:top w:w="30" w:type="dxa"/>
              <w:left w:w="45" w:type="dxa"/>
              <w:bottom w:w="30" w:type="dxa"/>
              <w:right w:w="45" w:type="dxa"/>
            </w:tcMar>
            <w:vAlign w:val="center"/>
            <w:hideMark/>
          </w:tcPr>
          <w:p w14:paraId="05307EBB" w14:textId="77777777" w:rsidR="00257689" w:rsidRPr="008A4B6D" w:rsidRDefault="00257689" w:rsidP="00DB1B2D">
            <w:pPr>
              <w:spacing w:after="0" w:line="240" w:lineRule="auto"/>
              <w:jc w:val="both"/>
              <w:rPr>
                <w:rFonts w:cs="Arial"/>
                <w:sz w:val="20"/>
                <w:szCs w:val="20"/>
              </w:rPr>
            </w:pPr>
            <w:r w:rsidRPr="008A4B6D">
              <w:rPr>
                <w:rFonts w:cs="Arial"/>
                <w:sz w:val="20"/>
                <w:szCs w:val="20"/>
              </w:rPr>
              <w:t>Document type</w:t>
            </w:r>
          </w:p>
        </w:tc>
        <w:tc>
          <w:tcPr>
            <w:tcW w:w="190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7A73DF" w14:textId="6E9E3387" w:rsidR="00257689" w:rsidRPr="008A4B6D" w:rsidRDefault="00510904" w:rsidP="00DB1B2D">
            <w:pPr>
              <w:spacing w:after="0" w:line="240" w:lineRule="auto"/>
              <w:jc w:val="both"/>
              <w:rPr>
                <w:rFonts w:cs="Arial"/>
                <w:sz w:val="20"/>
                <w:szCs w:val="20"/>
              </w:rPr>
            </w:pPr>
            <w:r>
              <w:rPr>
                <w:rFonts w:cs="Arial"/>
                <w:sz w:val="20"/>
                <w:szCs w:val="20"/>
              </w:rPr>
              <w:t>A</w:t>
            </w:r>
            <w:r w:rsidR="00257689" w:rsidRPr="008A4B6D">
              <w:rPr>
                <w:rFonts w:cs="Arial"/>
                <w:sz w:val="20"/>
                <w:szCs w:val="20"/>
              </w:rPr>
              <w:t>rticle, conference paper</w:t>
            </w:r>
          </w:p>
        </w:tc>
        <w:tc>
          <w:tcPr>
            <w:tcW w:w="2409" w:type="pct"/>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center"/>
            <w:hideMark/>
          </w:tcPr>
          <w:p w14:paraId="64BC04BB" w14:textId="77777777" w:rsidR="00257689" w:rsidRPr="008A4B6D" w:rsidRDefault="00257689" w:rsidP="00DB1B2D">
            <w:pPr>
              <w:spacing w:after="0" w:line="240" w:lineRule="auto"/>
              <w:jc w:val="both"/>
              <w:rPr>
                <w:rFonts w:cs="Arial"/>
                <w:sz w:val="20"/>
                <w:szCs w:val="20"/>
              </w:rPr>
            </w:pPr>
            <w:r w:rsidRPr="008A4B6D">
              <w:rPr>
                <w:rFonts w:cs="Arial"/>
                <w:sz w:val="20"/>
                <w:szCs w:val="20"/>
              </w:rPr>
              <w:t>book, letter</w:t>
            </w:r>
          </w:p>
        </w:tc>
      </w:tr>
      <w:tr w:rsidR="00257689" w:rsidRPr="00CC5E84" w14:paraId="426311A9" w14:textId="77777777" w:rsidTr="008A4B6D">
        <w:trPr>
          <w:trHeight w:val="315"/>
        </w:trPr>
        <w:tc>
          <w:tcPr>
            <w:tcW w:w="685" w:type="pct"/>
            <w:tcBorders>
              <w:top w:val="single" w:sz="6" w:space="0" w:color="CCCCCC"/>
              <w:left w:val="single" w:sz="18" w:space="0" w:color="000000"/>
              <w:bottom w:val="single" w:sz="18" w:space="0" w:color="000000"/>
              <w:right w:val="single" w:sz="18" w:space="0" w:color="000000"/>
            </w:tcBorders>
            <w:shd w:val="clear" w:color="auto" w:fill="BFBFBF" w:themeFill="background1" w:themeFillShade="BF"/>
            <w:tcMar>
              <w:top w:w="30" w:type="dxa"/>
              <w:left w:w="45" w:type="dxa"/>
              <w:bottom w:w="30" w:type="dxa"/>
              <w:right w:w="45" w:type="dxa"/>
            </w:tcMar>
            <w:vAlign w:val="center"/>
            <w:hideMark/>
          </w:tcPr>
          <w:p w14:paraId="6FBE816C" w14:textId="77777777" w:rsidR="00257689" w:rsidRPr="008A4B6D" w:rsidRDefault="00257689" w:rsidP="00DB1B2D">
            <w:pPr>
              <w:spacing w:after="0" w:line="240" w:lineRule="auto"/>
              <w:jc w:val="both"/>
              <w:rPr>
                <w:rFonts w:cs="Arial"/>
                <w:sz w:val="20"/>
                <w:szCs w:val="20"/>
              </w:rPr>
            </w:pPr>
            <w:r w:rsidRPr="008A4B6D">
              <w:rPr>
                <w:rFonts w:cs="Arial"/>
                <w:sz w:val="20"/>
                <w:szCs w:val="20"/>
              </w:rPr>
              <w:t>Access</w:t>
            </w:r>
          </w:p>
        </w:tc>
        <w:tc>
          <w:tcPr>
            <w:tcW w:w="1906" w:type="pct"/>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center"/>
            <w:hideMark/>
          </w:tcPr>
          <w:p w14:paraId="7A780398" w14:textId="13A5EC3A" w:rsidR="00257689" w:rsidRPr="008A4B6D" w:rsidRDefault="00510904" w:rsidP="00DB1B2D">
            <w:pPr>
              <w:spacing w:after="0" w:line="240" w:lineRule="auto"/>
              <w:jc w:val="both"/>
              <w:rPr>
                <w:rFonts w:cs="Arial"/>
                <w:sz w:val="20"/>
                <w:szCs w:val="20"/>
              </w:rPr>
            </w:pPr>
            <w:r>
              <w:rPr>
                <w:rFonts w:cs="Arial"/>
                <w:sz w:val="20"/>
                <w:szCs w:val="20"/>
              </w:rPr>
              <w:t>F</w:t>
            </w:r>
            <w:r w:rsidR="00257689" w:rsidRPr="008A4B6D">
              <w:rPr>
                <w:rFonts w:cs="Arial"/>
                <w:sz w:val="20"/>
                <w:szCs w:val="20"/>
              </w:rPr>
              <w:t>ull text, available via either the University of Essex or open access</w:t>
            </w:r>
          </w:p>
        </w:tc>
        <w:tc>
          <w:tcPr>
            <w:tcW w:w="2409" w:type="pct"/>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692EC5B1" w14:textId="77777777" w:rsidR="00257689" w:rsidRPr="008A4B6D" w:rsidRDefault="00257689" w:rsidP="00DB1B2D">
            <w:pPr>
              <w:spacing w:after="0" w:line="240" w:lineRule="auto"/>
              <w:jc w:val="both"/>
              <w:rPr>
                <w:rFonts w:cs="Arial"/>
                <w:sz w:val="20"/>
                <w:szCs w:val="20"/>
              </w:rPr>
            </w:pPr>
            <w:r w:rsidRPr="008A4B6D">
              <w:rPr>
                <w:rFonts w:cs="Arial"/>
                <w:sz w:val="20"/>
                <w:szCs w:val="20"/>
              </w:rPr>
              <w:t>restricted for the University of Essex Online account</w:t>
            </w:r>
          </w:p>
        </w:tc>
      </w:tr>
    </w:tbl>
    <w:p w14:paraId="1C1EB1C5" w14:textId="77777777" w:rsidR="00DB1B2D" w:rsidRDefault="00DB1B2D">
      <w:pPr>
        <w:rPr>
          <w:rFonts w:eastAsiaTheme="majorEastAsia" w:cstheme="majorBidi"/>
          <w:b/>
          <w:i/>
          <w:color w:val="000000" w:themeColor="text1"/>
          <w:sz w:val="24"/>
          <w:szCs w:val="24"/>
        </w:rPr>
      </w:pPr>
      <w:r>
        <w:br w:type="page"/>
      </w:r>
    </w:p>
    <w:p w14:paraId="768C0960" w14:textId="004CC498" w:rsidR="00257689" w:rsidRDefault="00257689" w:rsidP="008A4B6D">
      <w:pPr>
        <w:pStyle w:val="Heading3"/>
      </w:pPr>
      <w:r w:rsidRPr="00CC5E84">
        <w:lastRenderedPageBreak/>
        <w:t>Appendix B</w:t>
      </w:r>
    </w:p>
    <w:p w14:paraId="5C204BBF" w14:textId="38342C1B" w:rsidR="004825F9" w:rsidRDefault="004825F9" w:rsidP="004825F9">
      <w:pPr>
        <w:pStyle w:val="Caption"/>
        <w:keepNext/>
      </w:pPr>
      <w:r>
        <w:t xml:space="preserve">Table </w:t>
      </w:r>
      <w:r>
        <w:fldChar w:fldCharType="begin"/>
      </w:r>
      <w:r>
        <w:instrText xml:space="preserve"> SEQ Table \* ARABIC </w:instrText>
      </w:r>
      <w:r>
        <w:fldChar w:fldCharType="separate"/>
      </w:r>
      <w:r w:rsidR="009C2621">
        <w:rPr>
          <w:noProof/>
        </w:rPr>
        <w:t>2</w:t>
      </w:r>
      <w:r>
        <w:fldChar w:fldCharType="end"/>
      </w:r>
      <w:r>
        <w:t xml:space="preserve"> - Analysis of motivations for hacking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
        <w:gridCol w:w="1506"/>
        <w:gridCol w:w="3599"/>
        <w:gridCol w:w="458"/>
        <w:gridCol w:w="357"/>
        <w:gridCol w:w="357"/>
        <w:gridCol w:w="357"/>
        <w:gridCol w:w="357"/>
        <w:gridCol w:w="357"/>
        <w:gridCol w:w="357"/>
        <w:gridCol w:w="357"/>
        <w:gridCol w:w="357"/>
        <w:gridCol w:w="366"/>
      </w:tblGrid>
      <w:tr w:rsidR="00CC5E84" w:rsidRPr="008A4B6D" w14:paraId="3828DAA0" w14:textId="77777777" w:rsidTr="004825F9">
        <w:tc>
          <w:tcPr>
            <w:tcW w:w="128" w:type="pct"/>
            <w:shd w:val="clear" w:color="auto" w:fill="B7B7B7"/>
            <w:vAlign w:val="center"/>
          </w:tcPr>
          <w:p w14:paraId="2F97E813" w14:textId="77777777" w:rsidR="00257689" w:rsidRPr="008A4B6D" w:rsidRDefault="00257689" w:rsidP="005A5736">
            <w:pPr>
              <w:spacing w:after="0" w:line="240" w:lineRule="auto"/>
              <w:jc w:val="center"/>
              <w:rPr>
                <w:rFonts w:cs="Arial"/>
                <w:b/>
                <w:bCs/>
                <w:sz w:val="20"/>
                <w:szCs w:val="20"/>
              </w:rPr>
            </w:pPr>
            <w:r w:rsidRPr="008A4B6D">
              <w:rPr>
                <w:rFonts w:cs="Arial"/>
                <w:b/>
                <w:bCs/>
                <w:sz w:val="20"/>
                <w:szCs w:val="20"/>
              </w:rPr>
              <w:t>#</w:t>
            </w:r>
          </w:p>
        </w:tc>
        <w:tc>
          <w:tcPr>
            <w:tcW w:w="835" w:type="pct"/>
            <w:shd w:val="clear" w:color="auto" w:fill="B7B7B7"/>
            <w:tcMar>
              <w:top w:w="30" w:type="dxa"/>
              <w:left w:w="45" w:type="dxa"/>
              <w:bottom w:w="30" w:type="dxa"/>
              <w:right w:w="45" w:type="dxa"/>
            </w:tcMar>
            <w:vAlign w:val="center"/>
            <w:hideMark/>
          </w:tcPr>
          <w:p w14:paraId="71AEF139" w14:textId="77777777" w:rsidR="00257689" w:rsidRPr="008A4B6D" w:rsidRDefault="00257689" w:rsidP="005A5736">
            <w:pPr>
              <w:spacing w:after="0" w:line="240" w:lineRule="auto"/>
              <w:jc w:val="center"/>
              <w:rPr>
                <w:rFonts w:cs="Arial"/>
                <w:b/>
                <w:bCs/>
                <w:sz w:val="20"/>
                <w:szCs w:val="20"/>
              </w:rPr>
            </w:pPr>
            <w:r w:rsidRPr="008A4B6D">
              <w:rPr>
                <w:rFonts w:cs="Arial"/>
                <w:b/>
                <w:bCs/>
                <w:sz w:val="20"/>
                <w:szCs w:val="20"/>
              </w:rPr>
              <w:t>Authors</w:t>
            </w:r>
          </w:p>
        </w:tc>
        <w:tc>
          <w:tcPr>
            <w:tcW w:w="1996" w:type="pct"/>
            <w:shd w:val="clear" w:color="auto" w:fill="B7B7B7"/>
            <w:tcMar>
              <w:top w:w="30" w:type="dxa"/>
              <w:left w:w="45" w:type="dxa"/>
              <w:bottom w:w="30" w:type="dxa"/>
              <w:right w:w="45" w:type="dxa"/>
            </w:tcMar>
            <w:vAlign w:val="center"/>
            <w:hideMark/>
          </w:tcPr>
          <w:p w14:paraId="5F690D1E" w14:textId="77777777" w:rsidR="00257689" w:rsidRPr="008A4B6D" w:rsidRDefault="00257689" w:rsidP="005A5736">
            <w:pPr>
              <w:spacing w:after="0" w:line="240" w:lineRule="auto"/>
              <w:jc w:val="center"/>
              <w:rPr>
                <w:rFonts w:cs="Arial"/>
                <w:b/>
                <w:bCs/>
                <w:sz w:val="20"/>
                <w:szCs w:val="20"/>
              </w:rPr>
            </w:pPr>
            <w:r w:rsidRPr="008A4B6D">
              <w:rPr>
                <w:rFonts w:cs="Arial"/>
                <w:b/>
                <w:bCs/>
                <w:sz w:val="20"/>
                <w:szCs w:val="20"/>
              </w:rPr>
              <w:t>Title</w:t>
            </w:r>
          </w:p>
        </w:tc>
        <w:tc>
          <w:tcPr>
            <w:tcW w:w="254" w:type="pct"/>
            <w:shd w:val="clear" w:color="auto" w:fill="B7B7B7"/>
            <w:vAlign w:val="center"/>
          </w:tcPr>
          <w:p w14:paraId="5C292A03" w14:textId="77777777" w:rsidR="00257689" w:rsidRPr="008A4B6D" w:rsidRDefault="00257689" w:rsidP="005A5736">
            <w:pPr>
              <w:spacing w:after="0" w:line="240" w:lineRule="auto"/>
              <w:jc w:val="center"/>
              <w:rPr>
                <w:rFonts w:cs="Arial"/>
                <w:b/>
                <w:bCs/>
                <w:sz w:val="20"/>
                <w:szCs w:val="20"/>
              </w:rPr>
            </w:pPr>
            <w:r w:rsidRPr="008A4B6D">
              <w:rPr>
                <w:rFonts w:cs="Arial"/>
                <w:b/>
                <w:bCs/>
                <w:sz w:val="20"/>
                <w:szCs w:val="20"/>
              </w:rPr>
              <w:t>Year</w:t>
            </w:r>
          </w:p>
        </w:tc>
        <w:tc>
          <w:tcPr>
            <w:tcW w:w="198" w:type="pct"/>
            <w:shd w:val="clear" w:color="auto" w:fill="B7B7B7"/>
            <w:tcMar>
              <w:top w:w="30" w:type="dxa"/>
              <w:left w:w="45" w:type="dxa"/>
              <w:bottom w:w="30" w:type="dxa"/>
              <w:right w:w="45" w:type="dxa"/>
            </w:tcMar>
            <w:vAlign w:val="center"/>
            <w:hideMark/>
          </w:tcPr>
          <w:p w14:paraId="323DA76E" w14:textId="77777777" w:rsidR="00257689" w:rsidRPr="008A4B6D" w:rsidRDefault="00257689" w:rsidP="005A5736">
            <w:pPr>
              <w:spacing w:after="0" w:line="240" w:lineRule="auto"/>
              <w:jc w:val="center"/>
              <w:rPr>
                <w:rFonts w:cs="Arial"/>
                <w:b/>
                <w:bCs/>
                <w:sz w:val="20"/>
                <w:szCs w:val="20"/>
              </w:rPr>
            </w:pPr>
            <w:r w:rsidRPr="008A4B6D">
              <w:rPr>
                <w:rFonts w:cs="Arial"/>
                <w:b/>
                <w:bCs/>
                <w:sz w:val="20"/>
                <w:szCs w:val="20"/>
              </w:rPr>
              <w:t>(1)</w:t>
            </w:r>
          </w:p>
        </w:tc>
        <w:tc>
          <w:tcPr>
            <w:tcW w:w="198" w:type="pct"/>
            <w:shd w:val="clear" w:color="auto" w:fill="B7B7B7"/>
            <w:tcMar>
              <w:top w:w="30" w:type="dxa"/>
              <w:left w:w="45" w:type="dxa"/>
              <w:bottom w:w="30" w:type="dxa"/>
              <w:right w:w="45" w:type="dxa"/>
            </w:tcMar>
            <w:vAlign w:val="center"/>
            <w:hideMark/>
          </w:tcPr>
          <w:p w14:paraId="024D07D9" w14:textId="77777777" w:rsidR="00257689" w:rsidRPr="008A4B6D" w:rsidRDefault="00257689" w:rsidP="005A5736">
            <w:pPr>
              <w:spacing w:after="0" w:line="240" w:lineRule="auto"/>
              <w:jc w:val="center"/>
              <w:rPr>
                <w:rFonts w:cs="Arial"/>
                <w:b/>
                <w:bCs/>
                <w:sz w:val="20"/>
                <w:szCs w:val="20"/>
              </w:rPr>
            </w:pPr>
            <w:r w:rsidRPr="008A4B6D">
              <w:rPr>
                <w:rFonts w:cs="Arial"/>
                <w:b/>
                <w:bCs/>
                <w:sz w:val="20"/>
                <w:szCs w:val="20"/>
              </w:rPr>
              <w:t>(2)</w:t>
            </w:r>
          </w:p>
        </w:tc>
        <w:tc>
          <w:tcPr>
            <w:tcW w:w="198" w:type="pct"/>
            <w:shd w:val="clear" w:color="auto" w:fill="B7B7B7"/>
            <w:tcMar>
              <w:top w:w="30" w:type="dxa"/>
              <w:left w:w="45" w:type="dxa"/>
              <w:bottom w:w="30" w:type="dxa"/>
              <w:right w:w="45" w:type="dxa"/>
            </w:tcMar>
            <w:vAlign w:val="center"/>
            <w:hideMark/>
          </w:tcPr>
          <w:p w14:paraId="6032BDFC" w14:textId="77777777" w:rsidR="00257689" w:rsidRPr="008A4B6D" w:rsidRDefault="00257689" w:rsidP="005A5736">
            <w:pPr>
              <w:spacing w:after="0" w:line="240" w:lineRule="auto"/>
              <w:jc w:val="center"/>
              <w:rPr>
                <w:rFonts w:cs="Arial"/>
                <w:b/>
                <w:bCs/>
                <w:sz w:val="20"/>
                <w:szCs w:val="20"/>
              </w:rPr>
            </w:pPr>
            <w:r w:rsidRPr="008A4B6D">
              <w:rPr>
                <w:rFonts w:cs="Arial"/>
                <w:b/>
                <w:bCs/>
                <w:sz w:val="20"/>
                <w:szCs w:val="20"/>
              </w:rPr>
              <w:t>(3)</w:t>
            </w:r>
          </w:p>
        </w:tc>
        <w:tc>
          <w:tcPr>
            <w:tcW w:w="198" w:type="pct"/>
            <w:shd w:val="clear" w:color="auto" w:fill="B7B7B7"/>
            <w:tcMar>
              <w:top w:w="30" w:type="dxa"/>
              <w:left w:w="45" w:type="dxa"/>
              <w:bottom w:w="30" w:type="dxa"/>
              <w:right w:w="45" w:type="dxa"/>
            </w:tcMar>
            <w:vAlign w:val="center"/>
            <w:hideMark/>
          </w:tcPr>
          <w:p w14:paraId="15AF688F" w14:textId="77777777" w:rsidR="00257689" w:rsidRPr="008A4B6D" w:rsidRDefault="00257689" w:rsidP="005A5736">
            <w:pPr>
              <w:spacing w:after="0" w:line="240" w:lineRule="auto"/>
              <w:jc w:val="center"/>
              <w:rPr>
                <w:rFonts w:cs="Arial"/>
                <w:b/>
                <w:bCs/>
                <w:sz w:val="20"/>
                <w:szCs w:val="20"/>
              </w:rPr>
            </w:pPr>
            <w:r w:rsidRPr="008A4B6D">
              <w:rPr>
                <w:rFonts w:cs="Arial"/>
                <w:b/>
                <w:bCs/>
                <w:sz w:val="20"/>
                <w:szCs w:val="20"/>
              </w:rPr>
              <w:t>(4)</w:t>
            </w:r>
          </w:p>
        </w:tc>
        <w:tc>
          <w:tcPr>
            <w:tcW w:w="198" w:type="pct"/>
            <w:shd w:val="clear" w:color="auto" w:fill="B7B7B7"/>
            <w:tcMar>
              <w:top w:w="30" w:type="dxa"/>
              <w:left w:w="45" w:type="dxa"/>
              <w:bottom w:w="30" w:type="dxa"/>
              <w:right w:w="45" w:type="dxa"/>
            </w:tcMar>
            <w:vAlign w:val="center"/>
            <w:hideMark/>
          </w:tcPr>
          <w:p w14:paraId="054AF1AC" w14:textId="77777777" w:rsidR="00257689" w:rsidRPr="008A4B6D" w:rsidRDefault="00257689" w:rsidP="005A5736">
            <w:pPr>
              <w:spacing w:after="0" w:line="240" w:lineRule="auto"/>
              <w:jc w:val="center"/>
              <w:rPr>
                <w:rFonts w:cs="Arial"/>
                <w:b/>
                <w:bCs/>
                <w:sz w:val="20"/>
                <w:szCs w:val="20"/>
              </w:rPr>
            </w:pPr>
            <w:r w:rsidRPr="008A4B6D">
              <w:rPr>
                <w:rFonts w:cs="Arial"/>
                <w:b/>
                <w:bCs/>
                <w:sz w:val="20"/>
                <w:szCs w:val="20"/>
              </w:rPr>
              <w:t>(5)</w:t>
            </w:r>
          </w:p>
        </w:tc>
        <w:tc>
          <w:tcPr>
            <w:tcW w:w="198" w:type="pct"/>
            <w:shd w:val="clear" w:color="auto" w:fill="B7B7B7"/>
            <w:tcMar>
              <w:top w:w="30" w:type="dxa"/>
              <w:left w:w="45" w:type="dxa"/>
              <w:bottom w:w="30" w:type="dxa"/>
              <w:right w:w="45" w:type="dxa"/>
            </w:tcMar>
            <w:vAlign w:val="center"/>
            <w:hideMark/>
          </w:tcPr>
          <w:p w14:paraId="2725FE0C" w14:textId="77777777" w:rsidR="00257689" w:rsidRPr="008A4B6D" w:rsidRDefault="00257689" w:rsidP="005A5736">
            <w:pPr>
              <w:spacing w:after="0" w:line="240" w:lineRule="auto"/>
              <w:jc w:val="center"/>
              <w:rPr>
                <w:rFonts w:cs="Arial"/>
                <w:b/>
                <w:bCs/>
                <w:sz w:val="20"/>
                <w:szCs w:val="20"/>
              </w:rPr>
            </w:pPr>
            <w:r w:rsidRPr="008A4B6D">
              <w:rPr>
                <w:rFonts w:cs="Arial"/>
                <w:b/>
                <w:bCs/>
                <w:sz w:val="20"/>
                <w:szCs w:val="20"/>
              </w:rPr>
              <w:t>(6)</w:t>
            </w:r>
          </w:p>
        </w:tc>
        <w:tc>
          <w:tcPr>
            <w:tcW w:w="198" w:type="pct"/>
            <w:shd w:val="clear" w:color="auto" w:fill="B7B7B7"/>
            <w:tcMar>
              <w:top w:w="30" w:type="dxa"/>
              <w:left w:w="45" w:type="dxa"/>
              <w:bottom w:w="30" w:type="dxa"/>
              <w:right w:w="45" w:type="dxa"/>
            </w:tcMar>
            <w:vAlign w:val="center"/>
            <w:hideMark/>
          </w:tcPr>
          <w:p w14:paraId="778FCC6D" w14:textId="77777777" w:rsidR="00257689" w:rsidRPr="008A4B6D" w:rsidRDefault="00257689" w:rsidP="005A5736">
            <w:pPr>
              <w:spacing w:after="0" w:line="240" w:lineRule="auto"/>
              <w:jc w:val="center"/>
              <w:rPr>
                <w:rFonts w:cs="Arial"/>
                <w:b/>
                <w:bCs/>
                <w:sz w:val="20"/>
                <w:szCs w:val="20"/>
              </w:rPr>
            </w:pPr>
            <w:r w:rsidRPr="008A4B6D">
              <w:rPr>
                <w:rFonts w:cs="Arial"/>
                <w:b/>
                <w:bCs/>
                <w:sz w:val="20"/>
                <w:szCs w:val="20"/>
              </w:rPr>
              <w:t>(7)</w:t>
            </w:r>
          </w:p>
        </w:tc>
        <w:tc>
          <w:tcPr>
            <w:tcW w:w="198" w:type="pct"/>
            <w:shd w:val="clear" w:color="auto" w:fill="B7B7B7"/>
            <w:tcMar>
              <w:top w:w="30" w:type="dxa"/>
              <w:left w:w="45" w:type="dxa"/>
              <w:bottom w:w="30" w:type="dxa"/>
              <w:right w:w="45" w:type="dxa"/>
            </w:tcMar>
            <w:vAlign w:val="center"/>
            <w:hideMark/>
          </w:tcPr>
          <w:p w14:paraId="62A26908" w14:textId="77777777" w:rsidR="00257689" w:rsidRPr="008A4B6D" w:rsidRDefault="00257689" w:rsidP="005A5736">
            <w:pPr>
              <w:spacing w:after="0" w:line="240" w:lineRule="auto"/>
              <w:jc w:val="center"/>
              <w:rPr>
                <w:rFonts w:cs="Arial"/>
                <w:b/>
                <w:bCs/>
                <w:sz w:val="20"/>
                <w:szCs w:val="20"/>
              </w:rPr>
            </w:pPr>
            <w:r w:rsidRPr="008A4B6D">
              <w:rPr>
                <w:rFonts w:cs="Arial"/>
                <w:b/>
                <w:bCs/>
                <w:sz w:val="20"/>
                <w:szCs w:val="20"/>
              </w:rPr>
              <w:t>(8)</w:t>
            </w:r>
          </w:p>
        </w:tc>
        <w:tc>
          <w:tcPr>
            <w:tcW w:w="203" w:type="pct"/>
            <w:shd w:val="clear" w:color="auto" w:fill="B7B7B7"/>
            <w:tcMar>
              <w:top w:w="30" w:type="dxa"/>
              <w:left w:w="45" w:type="dxa"/>
              <w:bottom w:w="30" w:type="dxa"/>
              <w:right w:w="45" w:type="dxa"/>
            </w:tcMar>
            <w:vAlign w:val="center"/>
            <w:hideMark/>
          </w:tcPr>
          <w:p w14:paraId="0BA44647" w14:textId="77777777" w:rsidR="00257689" w:rsidRPr="008A4B6D" w:rsidRDefault="00257689" w:rsidP="005A5736">
            <w:pPr>
              <w:spacing w:after="0" w:line="240" w:lineRule="auto"/>
              <w:jc w:val="center"/>
              <w:rPr>
                <w:rFonts w:cs="Arial"/>
                <w:b/>
                <w:bCs/>
                <w:sz w:val="20"/>
                <w:szCs w:val="20"/>
              </w:rPr>
            </w:pPr>
            <w:r w:rsidRPr="008A4B6D">
              <w:rPr>
                <w:rFonts w:cs="Arial"/>
                <w:b/>
                <w:bCs/>
                <w:sz w:val="20"/>
                <w:szCs w:val="20"/>
              </w:rPr>
              <w:t>(9)</w:t>
            </w:r>
          </w:p>
        </w:tc>
      </w:tr>
      <w:tr w:rsidR="008A4B6D" w:rsidRPr="008A4B6D" w14:paraId="2C3F15AC" w14:textId="77777777" w:rsidTr="004825F9">
        <w:tc>
          <w:tcPr>
            <w:tcW w:w="128" w:type="pct"/>
            <w:vAlign w:val="center"/>
          </w:tcPr>
          <w:p w14:paraId="1257F4E2" w14:textId="77777777" w:rsidR="00257689" w:rsidRPr="008A4B6D" w:rsidRDefault="00257689" w:rsidP="005A5736">
            <w:pPr>
              <w:spacing w:after="0" w:line="240" w:lineRule="auto"/>
              <w:jc w:val="center"/>
              <w:rPr>
                <w:rFonts w:cs="Arial"/>
                <w:sz w:val="20"/>
                <w:szCs w:val="20"/>
              </w:rPr>
            </w:pPr>
            <w:r w:rsidRPr="008A4B6D">
              <w:rPr>
                <w:rFonts w:cs="Arial"/>
                <w:sz w:val="20"/>
                <w:szCs w:val="20"/>
              </w:rPr>
              <w:t>1</w:t>
            </w:r>
          </w:p>
        </w:tc>
        <w:tc>
          <w:tcPr>
            <w:tcW w:w="835" w:type="pct"/>
            <w:tcMar>
              <w:top w:w="30" w:type="dxa"/>
              <w:left w:w="45" w:type="dxa"/>
              <w:bottom w:w="30" w:type="dxa"/>
              <w:right w:w="45" w:type="dxa"/>
            </w:tcMar>
            <w:vAlign w:val="center"/>
            <w:hideMark/>
          </w:tcPr>
          <w:p w14:paraId="535A43E3" w14:textId="77777777" w:rsidR="00257689" w:rsidRPr="008A4B6D" w:rsidRDefault="00257689" w:rsidP="005A5736">
            <w:pPr>
              <w:spacing w:after="0" w:line="240" w:lineRule="auto"/>
              <w:rPr>
                <w:rFonts w:cs="Arial"/>
                <w:sz w:val="20"/>
                <w:szCs w:val="20"/>
              </w:rPr>
            </w:pPr>
            <w:r w:rsidRPr="008A4B6D">
              <w:rPr>
                <w:rFonts w:cs="Arial"/>
                <w:sz w:val="20"/>
                <w:szCs w:val="20"/>
              </w:rPr>
              <w:t>Aiken et al.</w:t>
            </w:r>
          </w:p>
        </w:tc>
        <w:tc>
          <w:tcPr>
            <w:tcW w:w="1996" w:type="pct"/>
            <w:tcMar>
              <w:top w:w="30" w:type="dxa"/>
              <w:left w:w="45" w:type="dxa"/>
              <w:bottom w:w="30" w:type="dxa"/>
              <w:right w:w="45" w:type="dxa"/>
            </w:tcMar>
            <w:vAlign w:val="center"/>
            <w:hideMark/>
          </w:tcPr>
          <w:p w14:paraId="48EB47BC" w14:textId="77777777" w:rsidR="00257689" w:rsidRPr="008A4B6D" w:rsidRDefault="00257689" w:rsidP="005A5736">
            <w:pPr>
              <w:spacing w:after="0" w:line="240" w:lineRule="auto"/>
              <w:rPr>
                <w:rFonts w:cs="Arial"/>
                <w:sz w:val="20"/>
                <w:szCs w:val="20"/>
              </w:rPr>
            </w:pPr>
            <w:r w:rsidRPr="008A4B6D">
              <w:rPr>
                <w:rFonts w:cs="Arial"/>
                <w:sz w:val="20"/>
                <w:szCs w:val="20"/>
              </w:rPr>
              <w:t>Intention to Hack? Applying the Theory of Planned Behaviour to Youth Criminal Hacking</w:t>
            </w:r>
          </w:p>
        </w:tc>
        <w:tc>
          <w:tcPr>
            <w:tcW w:w="254" w:type="pct"/>
            <w:vAlign w:val="center"/>
          </w:tcPr>
          <w:p w14:paraId="052BE333" w14:textId="77777777" w:rsidR="00257689" w:rsidRPr="008A4B6D" w:rsidRDefault="00257689" w:rsidP="005A5736">
            <w:pPr>
              <w:spacing w:after="0" w:line="240" w:lineRule="auto"/>
              <w:jc w:val="center"/>
              <w:rPr>
                <w:rFonts w:cs="Arial"/>
                <w:sz w:val="20"/>
                <w:szCs w:val="20"/>
              </w:rPr>
            </w:pPr>
            <w:r w:rsidRPr="008A4B6D">
              <w:rPr>
                <w:rFonts w:cs="Arial"/>
                <w:sz w:val="20"/>
                <w:szCs w:val="20"/>
              </w:rPr>
              <w:t>2024</w:t>
            </w:r>
          </w:p>
        </w:tc>
        <w:tc>
          <w:tcPr>
            <w:tcW w:w="198" w:type="pct"/>
            <w:shd w:val="clear" w:color="auto" w:fill="FFFFFF" w:themeFill="background1"/>
            <w:tcMar>
              <w:top w:w="30" w:type="dxa"/>
              <w:left w:w="45" w:type="dxa"/>
              <w:bottom w:w="30" w:type="dxa"/>
              <w:right w:w="45" w:type="dxa"/>
            </w:tcMar>
            <w:vAlign w:val="center"/>
            <w:hideMark/>
          </w:tcPr>
          <w:p w14:paraId="7FB7BE37"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c>
          <w:tcPr>
            <w:tcW w:w="198" w:type="pct"/>
            <w:shd w:val="clear" w:color="auto" w:fill="FFFFFF" w:themeFill="background1"/>
            <w:tcMar>
              <w:top w:w="30" w:type="dxa"/>
              <w:left w:w="45" w:type="dxa"/>
              <w:bottom w:w="30" w:type="dxa"/>
              <w:right w:w="45" w:type="dxa"/>
            </w:tcMar>
            <w:vAlign w:val="center"/>
            <w:hideMark/>
          </w:tcPr>
          <w:p w14:paraId="47094801"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c>
          <w:tcPr>
            <w:tcW w:w="198" w:type="pct"/>
            <w:shd w:val="clear" w:color="auto" w:fill="FFFFFF" w:themeFill="background1"/>
            <w:tcMar>
              <w:top w:w="30" w:type="dxa"/>
              <w:left w:w="45" w:type="dxa"/>
              <w:bottom w:w="30" w:type="dxa"/>
              <w:right w:w="45" w:type="dxa"/>
            </w:tcMar>
            <w:vAlign w:val="center"/>
            <w:hideMark/>
          </w:tcPr>
          <w:p w14:paraId="4A1C2A26"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c>
          <w:tcPr>
            <w:tcW w:w="198" w:type="pct"/>
            <w:shd w:val="clear" w:color="auto" w:fill="FFFFFF" w:themeFill="background1"/>
            <w:tcMar>
              <w:top w:w="30" w:type="dxa"/>
              <w:left w:w="45" w:type="dxa"/>
              <w:bottom w:w="30" w:type="dxa"/>
              <w:right w:w="45" w:type="dxa"/>
            </w:tcMar>
            <w:vAlign w:val="center"/>
            <w:hideMark/>
          </w:tcPr>
          <w:p w14:paraId="3589E133" w14:textId="77777777" w:rsidR="00257689" w:rsidRPr="008A4B6D" w:rsidRDefault="00257689" w:rsidP="005A5736">
            <w:pPr>
              <w:spacing w:after="0" w:line="240" w:lineRule="auto"/>
              <w:jc w:val="center"/>
              <w:rPr>
                <w:rFonts w:cs="Arial"/>
                <w:sz w:val="20"/>
                <w:szCs w:val="20"/>
              </w:rPr>
            </w:pPr>
          </w:p>
        </w:tc>
        <w:tc>
          <w:tcPr>
            <w:tcW w:w="198" w:type="pct"/>
            <w:shd w:val="clear" w:color="auto" w:fill="FFFFFF" w:themeFill="background1"/>
            <w:tcMar>
              <w:top w:w="30" w:type="dxa"/>
              <w:left w:w="45" w:type="dxa"/>
              <w:bottom w:w="30" w:type="dxa"/>
              <w:right w:w="45" w:type="dxa"/>
            </w:tcMar>
            <w:vAlign w:val="center"/>
            <w:hideMark/>
          </w:tcPr>
          <w:p w14:paraId="059142DD" w14:textId="77777777" w:rsidR="00257689" w:rsidRPr="008A4B6D" w:rsidRDefault="00257689" w:rsidP="005A5736">
            <w:pPr>
              <w:spacing w:after="0" w:line="240" w:lineRule="auto"/>
              <w:jc w:val="center"/>
              <w:rPr>
                <w:rFonts w:cs="Arial"/>
                <w:sz w:val="20"/>
                <w:szCs w:val="20"/>
              </w:rPr>
            </w:pPr>
          </w:p>
        </w:tc>
        <w:tc>
          <w:tcPr>
            <w:tcW w:w="198" w:type="pct"/>
            <w:shd w:val="clear" w:color="auto" w:fill="FFFFFF" w:themeFill="background1"/>
            <w:tcMar>
              <w:top w:w="30" w:type="dxa"/>
              <w:left w:w="45" w:type="dxa"/>
              <w:bottom w:w="30" w:type="dxa"/>
              <w:right w:w="45" w:type="dxa"/>
            </w:tcMar>
            <w:vAlign w:val="center"/>
            <w:hideMark/>
          </w:tcPr>
          <w:p w14:paraId="30BEC9E4" w14:textId="77777777" w:rsidR="00257689" w:rsidRPr="008A4B6D" w:rsidRDefault="00257689" w:rsidP="005A5736">
            <w:pPr>
              <w:spacing w:after="0" w:line="240" w:lineRule="auto"/>
              <w:jc w:val="center"/>
              <w:rPr>
                <w:rFonts w:cs="Arial"/>
                <w:sz w:val="20"/>
                <w:szCs w:val="20"/>
              </w:rPr>
            </w:pPr>
          </w:p>
        </w:tc>
        <w:tc>
          <w:tcPr>
            <w:tcW w:w="198" w:type="pct"/>
            <w:shd w:val="clear" w:color="auto" w:fill="FFFFFF" w:themeFill="background1"/>
            <w:tcMar>
              <w:top w:w="30" w:type="dxa"/>
              <w:left w:w="45" w:type="dxa"/>
              <w:bottom w:w="30" w:type="dxa"/>
              <w:right w:w="45" w:type="dxa"/>
            </w:tcMar>
            <w:vAlign w:val="center"/>
            <w:hideMark/>
          </w:tcPr>
          <w:p w14:paraId="2253ECBF"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c>
          <w:tcPr>
            <w:tcW w:w="198" w:type="pct"/>
            <w:shd w:val="clear" w:color="auto" w:fill="FFFFFF" w:themeFill="background1"/>
            <w:tcMar>
              <w:top w:w="30" w:type="dxa"/>
              <w:left w:w="45" w:type="dxa"/>
              <w:bottom w:w="30" w:type="dxa"/>
              <w:right w:w="45" w:type="dxa"/>
            </w:tcMar>
            <w:vAlign w:val="center"/>
            <w:hideMark/>
          </w:tcPr>
          <w:p w14:paraId="08AE28B7"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c>
          <w:tcPr>
            <w:tcW w:w="203" w:type="pct"/>
            <w:shd w:val="clear" w:color="auto" w:fill="FFFFFF" w:themeFill="background1"/>
            <w:tcMar>
              <w:top w:w="30" w:type="dxa"/>
              <w:left w:w="45" w:type="dxa"/>
              <w:bottom w:w="30" w:type="dxa"/>
              <w:right w:w="45" w:type="dxa"/>
            </w:tcMar>
            <w:vAlign w:val="center"/>
            <w:hideMark/>
          </w:tcPr>
          <w:p w14:paraId="1C5CB958" w14:textId="77777777" w:rsidR="00257689" w:rsidRPr="008A4B6D" w:rsidRDefault="00257689" w:rsidP="005A5736">
            <w:pPr>
              <w:spacing w:after="0" w:line="240" w:lineRule="auto"/>
              <w:jc w:val="center"/>
              <w:rPr>
                <w:rFonts w:cs="Arial"/>
                <w:sz w:val="20"/>
                <w:szCs w:val="20"/>
              </w:rPr>
            </w:pPr>
          </w:p>
        </w:tc>
      </w:tr>
      <w:tr w:rsidR="008A4B6D" w:rsidRPr="008A4B6D" w14:paraId="78DB6B51" w14:textId="77777777" w:rsidTr="004825F9">
        <w:tc>
          <w:tcPr>
            <w:tcW w:w="128" w:type="pct"/>
            <w:vAlign w:val="center"/>
          </w:tcPr>
          <w:p w14:paraId="0B2F43E0" w14:textId="77777777" w:rsidR="00257689" w:rsidRPr="008A4B6D" w:rsidRDefault="00257689" w:rsidP="005A5736">
            <w:pPr>
              <w:spacing w:after="0" w:line="240" w:lineRule="auto"/>
              <w:jc w:val="center"/>
              <w:rPr>
                <w:rFonts w:cs="Arial"/>
                <w:sz w:val="20"/>
                <w:szCs w:val="20"/>
              </w:rPr>
            </w:pPr>
            <w:r w:rsidRPr="008A4B6D">
              <w:rPr>
                <w:rFonts w:cs="Arial"/>
                <w:sz w:val="20"/>
                <w:szCs w:val="20"/>
              </w:rPr>
              <w:t>2</w:t>
            </w:r>
          </w:p>
        </w:tc>
        <w:tc>
          <w:tcPr>
            <w:tcW w:w="835" w:type="pct"/>
            <w:tcMar>
              <w:top w:w="30" w:type="dxa"/>
              <w:left w:w="45" w:type="dxa"/>
              <w:bottom w:w="30" w:type="dxa"/>
              <w:right w:w="45" w:type="dxa"/>
            </w:tcMar>
            <w:vAlign w:val="center"/>
            <w:hideMark/>
          </w:tcPr>
          <w:p w14:paraId="2F4B9A6E" w14:textId="77777777" w:rsidR="00257689" w:rsidRPr="008A4B6D" w:rsidRDefault="00257689" w:rsidP="005A5736">
            <w:pPr>
              <w:spacing w:after="0" w:line="240" w:lineRule="auto"/>
              <w:rPr>
                <w:rFonts w:cs="Arial"/>
                <w:sz w:val="20"/>
                <w:szCs w:val="20"/>
              </w:rPr>
            </w:pPr>
            <w:r w:rsidRPr="008A4B6D">
              <w:rPr>
                <w:rFonts w:cs="Arial"/>
                <w:sz w:val="20"/>
                <w:szCs w:val="20"/>
              </w:rPr>
              <w:t>Fox and Holt</w:t>
            </w:r>
          </w:p>
        </w:tc>
        <w:tc>
          <w:tcPr>
            <w:tcW w:w="1996" w:type="pct"/>
            <w:tcMar>
              <w:top w:w="30" w:type="dxa"/>
              <w:left w:w="45" w:type="dxa"/>
              <w:bottom w:w="30" w:type="dxa"/>
              <w:right w:w="45" w:type="dxa"/>
            </w:tcMar>
            <w:vAlign w:val="center"/>
            <w:hideMark/>
          </w:tcPr>
          <w:p w14:paraId="02702E54" w14:textId="77777777" w:rsidR="00257689" w:rsidRPr="008A4B6D" w:rsidRDefault="00257689" w:rsidP="005A5736">
            <w:pPr>
              <w:spacing w:after="0" w:line="240" w:lineRule="auto"/>
              <w:rPr>
                <w:rFonts w:cs="Arial"/>
                <w:sz w:val="20"/>
                <w:szCs w:val="20"/>
              </w:rPr>
            </w:pPr>
            <w:r w:rsidRPr="008A4B6D">
              <w:rPr>
                <w:rFonts w:cs="Arial"/>
                <w:sz w:val="20"/>
                <w:szCs w:val="20"/>
              </w:rPr>
              <w:t xml:space="preserve">Use of a </w:t>
            </w:r>
            <w:proofErr w:type="spellStart"/>
            <w:r w:rsidRPr="008A4B6D">
              <w:rPr>
                <w:rFonts w:cs="Arial"/>
                <w:sz w:val="20"/>
                <w:szCs w:val="20"/>
              </w:rPr>
              <w:t>Multitheoretic</w:t>
            </w:r>
            <w:proofErr w:type="spellEnd"/>
            <w:r w:rsidRPr="008A4B6D">
              <w:rPr>
                <w:rFonts w:cs="Arial"/>
                <w:sz w:val="20"/>
                <w:szCs w:val="20"/>
              </w:rPr>
              <w:t xml:space="preserve"> Model to Understand and Classify Juvenile Computer Hacking </w:t>
            </w:r>
            <w:proofErr w:type="spellStart"/>
            <w:r w:rsidRPr="008A4B6D">
              <w:rPr>
                <w:rFonts w:cs="Arial"/>
                <w:sz w:val="20"/>
                <w:szCs w:val="20"/>
              </w:rPr>
              <w:t>Behavior</w:t>
            </w:r>
            <w:proofErr w:type="spellEnd"/>
          </w:p>
        </w:tc>
        <w:tc>
          <w:tcPr>
            <w:tcW w:w="254" w:type="pct"/>
            <w:vAlign w:val="center"/>
          </w:tcPr>
          <w:p w14:paraId="24AE011E" w14:textId="77777777" w:rsidR="00257689" w:rsidRPr="008A4B6D" w:rsidRDefault="00257689" w:rsidP="005A5736">
            <w:pPr>
              <w:spacing w:after="0" w:line="240" w:lineRule="auto"/>
              <w:jc w:val="center"/>
              <w:rPr>
                <w:rFonts w:cs="Arial"/>
                <w:sz w:val="20"/>
                <w:szCs w:val="20"/>
              </w:rPr>
            </w:pPr>
            <w:r w:rsidRPr="008A4B6D">
              <w:rPr>
                <w:rFonts w:cs="Arial"/>
                <w:sz w:val="20"/>
                <w:szCs w:val="20"/>
              </w:rPr>
              <w:t>2021</w:t>
            </w:r>
          </w:p>
        </w:tc>
        <w:tc>
          <w:tcPr>
            <w:tcW w:w="198" w:type="pct"/>
            <w:shd w:val="clear" w:color="auto" w:fill="FFFFFF" w:themeFill="background1"/>
            <w:tcMar>
              <w:top w:w="30" w:type="dxa"/>
              <w:left w:w="45" w:type="dxa"/>
              <w:bottom w:w="30" w:type="dxa"/>
              <w:right w:w="45" w:type="dxa"/>
            </w:tcMar>
            <w:vAlign w:val="center"/>
            <w:hideMark/>
          </w:tcPr>
          <w:p w14:paraId="426DA302" w14:textId="77777777" w:rsidR="00257689" w:rsidRPr="008A4B6D" w:rsidRDefault="00257689" w:rsidP="005A5736">
            <w:pPr>
              <w:spacing w:after="0" w:line="240" w:lineRule="auto"/>
              <w:jc w:val="center"/>
              <w:rPr>
                <w:rFonts w:cs="Arial"/>
                <w:sz w:val="20"/>
                <w:szCs w:val="20"/>
              </w:rPr>
            </w:pPr>
          </w:p>
        </w:tc>
        <w:tc>
          <w:tcPr>
            <w:tcW w:w="198" w:type="pct"/>
            <w:shd w:val="clear" w:color="auto" w:fill="FFFFFF" w:themeFill="background1"/>
            <w:tcMar>
              <w:top w:w="30" w:type="dxa"/>
              <w:left w:w="45" w:type="dxa"/>
              <w:bottom w:w="30" w:type="dxa"/>
              <w:right w:w="45" w:type="dxa"/>
            </w:tcMar>
            <w:vAlign w:val="center"/>
            <w:hideMark/>
          </w:tcPr>
          <w:p w14:paraId="03135CAC"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c>
          <w:tcPr>
            <w:tcW w:w="198" w:type="pct"/>
            <w:shd w:val="clear" w:color="auto" w:fill="FFFFFF" w:themeFill="background1"/>
            <w:tcMar>
              <w:top w:w="30" w:type="dxa"/>
              <w:left w:w="45" w:type="dxa"/>
              <w:bottom w:w="30" w:type="dxa"/>
              <w:right w:w="45" w:type="dxa"/>
            </w:tcMar>
            <w:vAlign w:val="center"/>
            <w:hideMark/>
          </w:tcPr>
          <w:p w14:paraId="18D6D6E7" w14:textId="77777777" w:rsidR="00257689" w:rsidRPr="008A4B6D" w:rsidRDefault="00257689" w:rsidP="005A5736">
            <w:pPr>
              <w:spacing w:after="0" w:line="240" w:lineRule="auto"/>
              <w:jc w:val="center"/>
              <w:rPr>
                <w:rFonts w:cs="Arial"/>
                <w:sz w:val="20"/>
                <w:szCs w:val="20"/>
              </w:rPr>
            </w:pPr>
          </w:p>
        </w:tc>
        <w:tc>
          <w:tcPr>
            <w:tcW w:w="198" w:type="pct"/>
            <w:shd w:val="clear" w:color="auto" w:fill="FFFFFF" w:themeFill="background1"/>
            <w:tcMar>
              <w:top w:w="30" w:type="dxa"/>
              <w:left w:w="45" w:type="dxa"/>
              <w:bottom w:w="30" w:type="dxa"/>
              <w:right w:w="45" w:type="dxa"/>
            </w:tcMar>
            <w:vAlign w:val="center"/>
            <w:hideMark/>
          </w:tcPr>
          <w:p w14:paraId="04FF1A0A"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c>
          <w:tcPr>
            <w:tcW w:w="198" w:type="pct"/>
            <w:shd w:val="clear" w:color="auto" w:fill="FFFFFF" w:themeFill="background1"/>
            <w:tcMar>
              <w:top w:w="30" w:type="dxa"/>
              <w:left w:w="45" w:type="dxa"/>
              <w:bottom w:w="30" w:type="dxa"/>
              <w:right w:w="45" w:type="dxa"/>
            </w:tcMar>
            <w:vAlign w:val="center"/>
            <w:hideMark/>
          </w:tcPr>
          <w:p w14:paraId="4996AC00"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c>
          <w:tcPr>
            <w:tcW w:w="198" w:type="pct"/>
            <w:shd w:val="clear" w:color="auto" w:fill="FFFFFF" w:themeFill="background1"/>
            <w:tcMar>
              <w:top w:w="30" w:type="dxa"/>
              <w:left w:w="45" w:type="dxa"/>
              <w:bottom w:w="30" w:type="dxa"/>
              <w:right w:w="45" w:type="dxa"/>
            </w:tcMar>
            <w:vAlign w:val="center"/>
            <w:hideMark/>
          </w:tcPr>
          <w:p w14:paraId="345168F2"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c>
          <w:tcPr>
            <w:tcW w:w="198" w:type="pct"/>
            <w:shd w:val="clear" w:color="auto" w:fill="FFFFFF" w:themeFill="background1"/>
            <w:tcMar>
              <w:top w:w="30" w:type="dxa"/>
              <w:left w:w="45" w:type="dxa"/>
              <w:bottom w:w="30" w:type="dxa"/>
              <w:right w:w="45" w:type="dxa"/>
            </w:tcMar>
            <w:vAlign w:val="center"/>
            <w:hideMark/>
          </w:tcPr>
          <w:p w14:paraId="3233E9CD"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c>
          <w:tcPr>
            <w:tcW w:w="198" w:type="pct"/>
            <w:shd w:val="clear" w:color="auto" w:fill="FFFFFF" w:themeFill="background1"/>
            <w:tcMar>
              <w:top w:w="30" w:type="dxa"/>
              <w:left w:w="45" w:type="dxa"/>
              <w:bottom w:w="30" w:type="dxa"/>
              <w:right w:w="45" w:type="dxa"/>
            </w:tcMar>
            <w:vAlign w:val="center"/>
            <w:hideMark/>
          </w:tcPr>
          <w:p w14:paraId="0C9D27CE" w14:textId="77777777" w:rsidR="00257689" w:rsidRPr="008A4B6D" w:rsidRDefault="00257689" w:rsidP="005A5736">
            <w:pPr>
              <w:spacing w:after="0" w:line="240" w:lineRule="auto"/>
              <w:jc w:val="center"/>
              <w:rPr>
                <w:rFonts w:cs="Arial"/>
                <w:sz w:val="20"/>
                <w:szCs w:val="20"/>
              </w:rPr>
            </w:pPr>
          </w:p>
        </w:tc>
        <w:tc>
          <w:tcPr>
            <w:tcW w:w="203" w:type="pct"/>
            <w:shd w:val="clear" w:color="auto" w:fill="FFFFFF" w:themeFill="background1"/>
            <w:tcMar>
              <w:top w:w="30" w:type="dxa"/>
              <w:left w:w="45" w:type="dxa"/>
              <w:bottom w:w="30" w:type="dxa"/>
              <w:right w:w="45" w:type="dxa"/>
            </w:tcMar>
            <w:vAlign w:val="center"/>
            <w:hideMark/>
          </w:tcPr>
          <w:p w14:paraId="040CC482" w14:textId="77777777" w:rsidR="00257689" w:rsidRPr="008A4B6D" w:rsidRDefault="00257689" w:rsidP="005A5736">
            <w:pPr>
              <w:spacing w:after="0" w:line="240" w:lineRule="auto"/>
              <w:jc w:val="center"/>
              <w:rPr>
                <w:rFonts w:cs="Arial"/>
                <w:sz w:val="20"/>
                <w:szCs w:val="20"/>
              </w:rPr>
            </w:pPr>
          </w:p>
        </w:tc>
      </w:tr>
      <w:tr w:rsidR="008A4B6D" w:rsidRPr="008A4B6D" w14:paraId="0DC58E33" w14:textId="77777777" w:rsidTr="004825F9">
        <w:tc>
          <w:tcPr>
            <w:tcW w:w="128" w:type="pct"/>
            <w:vAlign w:val="center"/>
          </w:tcPr>
          <w:p w14:paraId="14B0F631" w14:textId="77777777" w:rsidR="00257689" w:rsidRPr="008A4B6D" w:rsidRDefault="00257689" w:rsidP="005A5736">
            <w:pPr>
              <w:spacing w:after="0" w:line="240" w:lineRule="auto"/>
              <w:jc w:val="center"/>
              <w:rPr>
                <w:rFonts w:cs="Arial"/>
                <w:sz w:val="20"/>
                <w:szCs w:val="20"/>
              </w:rPr>
            </w:pPr>
            <w:r w:rsidRPr="008A4B6D">
              <w:rPr>
                <w:rFonts w:cs="Arial"/>
                <w:sz w:val="20"/>
                <w:szCs w:val="20"/>
              </w:rPr>
              <w:t>3</w:t>
            </w:r>
          </w:p>
        </w:tc>
        <w:tc>
          <w:tcPr>
            <w:tcW w:w="835" w:type="pct"/>
            <w:tcMar>
              <w:top w:w="30" w:type="dxa"/>
              <w:left w:w="45" w:type="dxa"/>
              <w:bottom w:w="30" w:type="dxa"/>
              <w:right w:w="45" w:type="dxa"/>
            </w:tcMar>
            <w:vAlign w:val="center"/>
            <w:hideMark/>
          </w:tcPr>
          <w:p w14:paraId="63E181B4" w14:textId="77777777" w:rsidR="00257689" w:rsidRPr="008A4B6D" w:rsidRDefault="00257689" w:rsidP="005A5736">
            <w:pPr>
              <w:spacing w:after="0" w:line="240" w:lineRule="auto"/>
              <w:rPr>
                <w:rFonts w:cs="Arial"/>
                <w:sz w:val="20"/>
                <w:szCs w:val="20"/>
              </w:rPr>
            </w:pPr>
            <w:r w:rsidRPr="008A4B6D">
              <w:rPr>
                <w:rFonts w:cs="Arial"/>
                <w:sz w:val="20"/>
                <w:szCs w:val="20"/>
              </w:rPr>
              <w:t>Guo and Wang</w:t>
            </w:r>
          </w:p>
        </w:tc>
        <w:tc>
          <w:tcPr>
            <w:tcW w:w="1996" w:type="pct"/>
            <w:tcMar>
              <w:top w:w="30" w:type="dxa"/>
              <w:left w:w="45" w:type="dxa"/>
              <w:bottom w:w="30" w:type="dxa"/>
              <w:right w:w="45" w:type="dxa"/>
            </w:tcMar>
            <w:vAlign w:val="center"/>
            <w:hideMark/>
          </w:tcPr>
          <w:p w14:paraId="5D39B04E" w14:textId="77777777" w:rsidR="00257689" w:rsidRPr="008A4B6D" w:rsidRDefault="00257689" w:rsidP="005A5736">
            <w:pPr>
              <w:spacing w:after="0" w:line="240" w:lineRule="auto"/>
              <w:rPr>
                <w:rFonts w:cs="Arial"/>
                <w:sz w:val="20"/>
                <w:szCs w:val="20"/>
              </w:rPr>
            </w:pPr>
            <w:r w:rsidRPr="008A4B6D">
              <w:rPr>
                <w:rFonts w:cs="Arial"/>
                <w:sz w:val="20"/>
                <w:szCs w:val="20"/>
              </w:rPr>
              <w:t>Investigating predictors of juvenile traditional and/or cyber offense using machine learning by constructing a decision support system</w:t>
            </w:r>
          </w:p>
        </w:tc>
        <w:tc>
          <w:tcPr>
            <w:tcW w:w="254" w:type="pct"/>
            <w:vAlign w:val="center"/>
          </w:tcPr>
          <w:p w14:paraId="092D78FB" w14:textId="77777777" w:rsidR="00257689" w:rsidRPr="008A4B6D" w:rsidRDefault="00257689" w:rsidP="005A5736">
            <w:pPr>
              <w:spacing w:after="0" w:line="240" w:lineRule="auto"/>
              <w:jc w:val="center"/>
              <w:rPr>
                <w:rFonts w:cs="Arial"/>
                <w:sz w:val="20"/>
                <w:szCs w:val="20"/>
              </w:rPr>
            </w:pPr>
            <w:r w:rsidRPr="008A4B6D">
              <w:rPr>
                <w:rFonts w:cs="Arial"/>
                <w:sz w:val="20"/>
                <w:szCs w:val="20"/>
              </w:rPr>
              <w:t>2024</w:t>
            </w:r>
          </w:p>
        </w:tc>
        <w:tc>
          <w:tcPr>
            <w:tcW w:w="198" w:type="pct"/>
            <w:shd w:val="clear" w:color="auto" w:fill="FFFFFF" w:themeFill="background1"/>
            <w:tcMar>
              <w:top w:w="30" w:type="dxa"/>
              <w:left w:w="45" w:type="dxa"/>
              <w:bottom w:w="30" w:type="dxa"/>
              <w:right w:w="45" w:type="dxa"/>
            </w:tcMar>
            <w:vAlign w:val="center"/>
            <w:hideMark/>
          </w:tcPr>
          <w:p w14:paraId="3086E417"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c>
          <w:tcPr>
            <w:tcW w:w="198" w:type="pct"/>
            <w:shd w:val="clear" w:color="auto" w:fill="FFFFFF" w:themeFill="background1"/>
            <w:tcMar>
              <w:top w:w="30" w:type="dxa"/>
              <w:left w:w="45" w:type="dxa"/>
              <w:bottom w:w="30" w:type="dxa"/>
              <w:right w:w="45" w:type="dxa"/>
            </w:tcMar>
            <w:vAlign w:val="center"/>
            <w:hideMark/>
          </w:tcPr>
          <w:p w14:paraId="41E914F5"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c>
          <w:tcPr>
            <w:tcW w:w="198" w:type="pct"/>
            <w:shd w:val="clear" w:color="auto" w:fill="FFFFFF" w:themeFill="background1"/>
            <w:tcMar>
              <w:top w:w="30" w:type="dxa"/>
              <w:left w:w="45" w:type="dxa"/>
              <w:bottom w:w="30" w:type="dxa"/>
              <w:right w:w="45" w:type="dxa"/>
            </w:tcMar>
            <w:vAlign w:val="center"/>
            <w:hideMark/>
          </w:tcPr>
          <w:p w14:paraId="25D5C33D"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c>
          <w:tcPr>
            <w:tcW w:w="198" w:type="pct"/>
            <w:shd w:val="clear" w:color="auto" w:fill="FFFFFF" w:themeFill="background1"/>
            <w:tcMar>
              <w:top w:w="30" w:type="dxa"/>
              <w:left w:w="45" w:type="dxa"/>
              <w:bottom w:w="30" w:type="dxa"/>
              <w:right w:w="45" w:type="dxa"/>
            </w:tcMar>
            <w:vAlign w:val="center"/>
            <w:hideMark/>
          </w:tcPr>
          <w:p w14:paraId="14AFB289" w14:textId="77777777" w:rsidR="00257689" w:rsidRPr="008A4B6D" w:rsidRDefault="00257689" w:rsidP="005A5736">
            <w:pPr>
              <w:spacing w:after="0" w:line="240" w:lineRule="auto"/>
              <w:jc w:val="center"/>
              <w:rPr>
                <w:rFonts w:cs="Arial"/>
                <w:sz w:val="20"/>
                <w:szCs w:val="20"/>
              </w:rPr>
            </w:pPr>
          </w:p>
        </w:tc>
        <w:tc>
          <w:tcPr>
            <w:tcW w:w="198" w:type="pct"/>
            <w:shd w:val="clear" w:color="auto" w:fill="FFFFFF" w:themeFill="background1"/>
            <w:tcMar>
              <w:top w:w="30" w:type="dxa"/>
              <w:left w:w="45" w:type="dxa"/>
              <w:bottom w:w="30" w:type="dxa"/>
              <w:right w:w="45" w:type="dxa"/>
            </w:tcMar>
            <w:vAlign w:val="center"/>
            <w:hideMark/>
          </w:tcPr>
          <w:p w14:paraId="3360EE2A"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c>
          <w:tcPr>
            <w:tcW w:w="198" w:type="pct"/>
            <w:shd w:val="clear" w:color="auto" w:fill="FFFFFF" w:themeFill="background1"/>
            <w:tcMar>
              <w:top w:w="30" w:type="dxa"/>
              <w:left w:w="45" w:type="dxa"/>
              <w:bottom w:w="30" w:type="dxa"/>
              <w:right w:w="45" w:type="dxa"/>
            </w:tcMar>
            <w:vAlign w:val="center"/>
            <w:hideMark/>
          </w:tcPr>
          <w:p w14:paraId="289D842C" w14:textId="77777777" w:rsidR="00257689" w:rsidRPr="008A4B6D" w:rsidRDefault="00257689" w:rsidP="005A5736">
            <w:pPr>
              <w:spacing w:after="0" w:line="240" w:lineRule="auto"/>
              <w:jc w:val="center"/>
              <w:rPr>
                <w:rFonts w:cs="Arial"/>
                <w:sz w:val="20"/>
                <w:szCs w:val="20"/>
              </w:rPr>
            </w:pPr>
          </w:p>
        </w:tc>
        <w:tc>
          <w:tcPr>
            <w:tcW w:w="198" w:type="pct"/>
            <w:shd w:val="clear" w:color="auto" w:fill="FFFFFF" w:themeFill="background1"/>
            <w:tcMar>
              <w:top w:w="30" w:type="dxa"/>
              <w:left w:w="45" w:type="dxa"/>
              <w:bottom w:w="30" w:type="dxa"/>
              <w:right w:w="45" w:type="dxa"/>
            </w:tcMar>
            <w:vAlign w:val="center"/>
            <w:hideMark/>
          </w:tcPr>
          <w:p w14:paraId="3DE44754"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c>
          <w:tcPr>
            <w:tcW w:w="198" w:type="pct"/>
            <w:shd w:val="clear" w:color="auto" w:fill="FFFFFF" w:themeFill="background1"/>
            <w:tcMar>
              <w:top w:w="30" w:type="dxa"/>
              <w:left w:w="45" w:type="dxa"/>
              <w:bottom w:w="30" w:type="dxa"/>
              <w:right w:w="45" w:type="dxa"/>
            </w:tcMar>
            <w:vAlign w:val="center"/>
            <w:hideMark/>
          </w:tcPr>
          <w:p w14:paraId="799135F5" w14:textId="77777777" w:rsidR="00257689" w:rsidRPr="008A4B6D" w:rsidRDefault="00257689" w:rsidP="005A5736">
            <w:pPr>
              <w:spacing w:after="0" w:line="240" w:lineRule="auto"/>
              <w:jc w:val="center"/>
              <w:rPr>
                <w:rFonts w:cs="Arial"/>
                <w:sz w:val="20"/>
                <w:szCs w:val="20"/>
              </w:rPr>
            </w:pPr>
          </w:p>
        </w:tc>
        <w:tc>
          <w:tcPr>
            <w:tcW w:w="203" w:type="pct"/>
            <w:shd w:val="clear" w:color="auto" w:fill="FFFFFF" w:themeFill="background1"/>
            <w:tcMar>
              <w:top w:w="30" w:type="dxa"/>
              <w:left w:w="45" w:type="dxa"/>
              <w:bottom w:w="30" w:type="dxa"/>
              <w:right w:w="45" w:type="dxa"/>
            </w:tcMar>
            <w:vAlign w:val="center"/>
            <w:hideMark/>
          </w:tcPr>
          <w:p w14:paraId="52CFED0B"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r>
      <w:tr w:rsidR="008A4B6D" w:rsidRPr="008A4B6D" w14:paraId="40FA1CDC" w14:textId="77777777" w:rsidTr="004825F9">
        <w:tc>
          <w:tcPr>
            <w:tcW w:w="128" w:type="pct"/>
            <w:vAlign w:val="center"/>
          </w:tcPr>
          <w:p w14:paraId="6EECEDC7" w14:textId="77777777" w:rsidR="00257689" w:rsidRPr="008A4B6D" w:rsidRDefault="00257689" w:rsidP="005A5736">
            <w:pPr>
              <w:spacing w:after="0" w:line="240" w:lineRule="auto"/>
              <w:jc w:val="center"/>
              <w:rPr>
                <w:rFonts w:cs="Arial"/>
                <w:sz w:val="20"/>
                <w:szCs w:val="20"/>
              </w:rPr>
            </w:pPr>
            <w:r w:rsidRPr="008A4B6D">
              <w:rPr>
                <w:rFonts w:cs="Arial"/>
                <w:sz w:val="20"/>
                <w:szCs w:val="20"/>
              </w:rPr>
              <w:t>4</w:t>
            </w:r>
          </w:p>
        </w:tc>
        <w:tc>
          <w:tcPr>
            <w:tcW w:w="835" w:type="pct"/>
            <w:tcMar>
              <w:top w:w="30" w:type="dxa"/>
              <w:left w:w="45" w:type="dxa"/>
              <w:bottom w:w="30" w:type="dxa"/>
              <w:right w:w="45" w:type="dxa"/>
            </w:tcMar>
            <w:vAlign w:val="center"/>
            <w:hideMark/>
          </w:tcPr>
          <w:p w14:paraId="126ACE6D" w14:textId="77777777" w:rsidR="00257689" w:rsidRPr="008A4B6D" w:rsidRDefault="00257689" w:rsidP="005A5736">
            <w:pPr>
              <w:spacing w:after="0" w:line="240" w:lineRule="auto"/>
              <w:rPr>
                <w:rFonts w:cs="Arial"/>
                <w:sz w:val="20"/>
                <w:szCs w:val="20"/>
              </w:rPr>
            </w:pPr>
            <w:r w:rsidRPr="008A4B6D">
              <w:rPr>
                <w:rFonts w:cs="Arial"/>
                <w:sz w:val="20"/>
                <w:szCs w:val="20"/>
              </w:rPr>
              <w:t>Holt et al.</w:t>
            </w:r>
          </w:p>
        </w:tc>
        <w:tc>
          <w:tcPr>
            <w:tcW w:w="1996" w:type="pct"/>
            <w:tcMar>
              <w:top w:w="30" w:type="dxa"/>
              <w:left w:w="45" w:type="dxa"/>
              <w:bottom w:w="30" w:type="dxa"/>
              <w:right w:w="45" w:type="dxa"/>
            </w:tcMar>
            <w:vAlign w:val="center"/>
            <w:hideMark/>
          </w:tcPr>
          <w:p w14:paraId="267DEB10" w14:textId="77777777" w:rsidR="00257689" w:rsidRPr="008A4B6D" w:rsidRDefault="00257689" w:rsidP="005A5736">
            <w:pPr>
              <w:spacing w:after="0" w:line="240" w:lineRule="auto"/>
              <w:rPr>
                <w:rFonts w:cs="Arial"/>
                <w:sz w:val="20"/>
                <w:szCs w:val="20"/>
              </w:rPr>
            </w:pPr>
            <w:r w:rsidRPr="008A4B6D">
              <w:rPr>
                <w:rFonts w:cs="Arial"/>
                <w:sz w:val="20"/>
                <w:szCs w:val="20"/>
              </w:rPr>
              <w:t>Assessing the Role of Opportunity and Low Self-Control in Juvenile Hacking</w:t>
            </w:r>
          </w:p>
        </w:tc>
        <w:tc>
          <w:tcPr>
            <w:tcW w:w="254" w:type="pct"/>
            <w:vAlign w:val="center"/>
          </w:tcPr>
          <w:p w14:paraId="47AF98E2" w14:textId="77777777" w:rsidR="00257689" w:rsidRPr="008A4B6D" w:rsidRDefault="00257689" w:rsidP="005A5736">
            <w:pPr>
              <w:spacing w:after="0" w:line="240" w:lineRule="auto"/>
              <w:jc w:val="center"/>
              <w:rPr>
                <w:rFonts w:cs="Arial"/>
                <w:sz w:val="20"/>
                <w:szCs w:val="20"/>
              </w:rPr>
            </w:pPr>
            <w:r w:rsidRPr="008A4B6D">
              <w:rPr>
                <w:rFonts w:cs="Arial"/>
                <w:sz w:val="20"/>
                <w:szCs w:val="20"/>
              </w:rPr>
              <w:t>2021</w:t>
            </w:r>
          </w:p>
        </w:tc>
        <w:tc>
          <w:tcPr>
            <w:tcW w:w="198" w:type="pct"/>
            <w:shd w:val="clear" w:color="auto" w:fill="FFFFFF" w:themeFill="background1"/>
            <w:tcMar>
              <w:top w:w="30" w:type="dxa"/>
              <w:left w:w="45" w:type="dxa"/>
              <w:bottom w:w="30" w:type="dxa"/>
              <w:right w:w="45" w:type="dxa"/>
            </w:tcMar>
            <w:vAlign w:val="center"/>
            <w:hideMark/>
          </w:tcPr>
          <w:p w14:paraId="3688E84C" w14:textId="77777777" w:rsidR="00257689" w:rsidRPr="008A4B6D" w:rsidRDefault="00257689" w:rsidP="005A5736">
            <w:pPr>
              <w:spacing w:after="0" w:line="240" w:lineRule="auto"/>
              <w:jc w:val="center"/>
              <w:rPr>
                <w:rFonts w:cs="Arial"/>
                <w:sz w:val="20"/>
                <w:szCs w:val="20"/>
              </w:rPr>
            </w:pPr>
          </w:p>
        </w:tc>
        <w:tc>
          <w:tcPr>
            <w:tcW w:w="198" w:type="pct"/>
            <w:shd w:val="clear" w:color="auto" w:fill="FFFFFF" w:themeFill="background1"/>
            <w:tcMar>
              <w:top w:w="30" w:type="dxa"/>
              <w:left w:w="45" w:type="dxa"/>
              <w:bottom w:w="30" w:type="dxa"/>
              <w:right w:w="45" w:type="dxa"/>
            </w:tcMar>
            <w:vAlign w:val="center"/>
            <w:hideMark/>
          </w:tcPr>
          <w:p w14:paraId="3D448F6A"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c>
          <w:tcPr>
            <w:tcW w:w="198" w:type="pct"/>
            <w:shd w:val="clear" w:color="auto" w:fill="FFFFFF" w:themeFill="background1"/>
            <w:tcMar>
              <w:top w:w="30" w:type="dxa"/>
              <w:left w:w="45" w:type="dxa"/>
              <w:bottom w:w="30" w:type="dxa"/>
              <w:right w:w="45" w:type="dxa"/>
            </w:tcMar>
            <w:vAlign w:val="center"/>
            <w:hideMark/>
          </w:tcPr>
          <w:p w14:paraId="0A3EAD41" w14:textId="77777777" w:rsidR="00257689" w:rsidRPr="008A4B6D" w:rsidRDefault="00257689" w:rsidP="005A5736">
            <w:pPr>
              <w:spacing w:after="0" w:line="240" w:lineRule="auto"/>
              <w:jc w:val="center"/>
              <w:rPr>
                <w:rFonts w:cs="Arial"/>
                <w:sz w:val="20"/>
                <w:szCs w:val="20"/>
              </w:rPr>
            </w:pPr>
          </w:p>
        </w:tc>
        <w:tc>
          <w:tcPr>
            <w:tcW w:w="198" w:type="pct"/>
            <w:shd w:val="clear" w:color="auto" w:fill="FFFFFF" w:themeFill="background1"/>
            <w:tcMar>
              <w:top w:w="30" w:type="dxa"/>
              <w:left w:w="45" w:type="dxa"/>
              <w:bottom w:w="30" w:type="dxa"/>
              <w:right w:w="45" w:type="dxa"/>
            </w:tcMar>
            <w:vAlign w:val="center"/>
            <w:hideMark/>
          </w:tcPr>
          <w:p w14:paraId="21893EA1" w14:textId="77777777" w:rsidR="00257689" w:rsidRPr="008A4B6D" w:rsidRDefault="00257689" w:rsidP="005A5736">
            <w:pPr>
              <w:spacing w:after="0" w:line="240" w:lineRule="auto"/>
              <w:jc w:val="center"/>
              <w:rPr>
                <w:rFonts w:cs="Arial"/>
                <w:sz w:val="20"/>
                <w:szCs w:val="20"/>
              </w:rPr>
            </w:pPr>
          </w:p>
        </w:tc>
        <w:tc>
          <w:tcPr>
            <w:tcW w:w="198" w:type="pct"/>
            <w:shd w:val="clear" w:color="auto" w:fill="FFFFFF" w:themeFill="background1"/>
            <w:tcMar>
              <w:top w:w="30" w:type="dxa"/>
              <w:left w:w="45" w:type="dxa"/>
              <w:bottom w:w="30" w:type="dxa"/>
              <w:right w:w="45" w:type="dxa"/>
            </w:tcMar>
            <w:vAlign w:val="center"/>
            <w:hideMark/>
          </w:tcPr>
          <w:p w14:paraId="293459D1"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c>
          <w:tcPr>
            <w:tcW w:w="198" w:type="pct"/>
            <w:shd w:val="clear" w:color="auto" w:fill="FFFFFF" w:themeFill="background1"/>
            <w:tcMar>
              <w:top w:w="30" w:type="dxa"/>
              <w:left w:w="45" w:type="dxa"/>
              <w:bottom w:w="30" w:type="dxa"/>
              <w:right w:w="45" w:type="dxa"/>
            </w:tcMar>
            <w:vAlign w:val="center"/>
            <w:hideMark/>
          </w:tcPr>
          <w:p w14:paraId="58666AA9" w14:textId="77777777" w:rsidR="00257689" w:rsidRPr="008A4B6D" w:rsidRDefault="00257689" w:rsidP="005A5736">
            <w:pPr>
              <w:spacing w:after="0" w:line="240" w:lineRule="auto"/>
              <w:jc w:val="center"/>
              <w:rPr>
                <w:rFonts w:cs="Arial"/>
                <w:sz w:val="20"/>
                <w:szCs w:val="20"/>
              </w:rPr>
            </w:pPr>
          </w:p>
        </w:tc>
        <w:tc>
          <w:tcPr>
            <w:tcW w:w="198" w:type="pct"/>
            <w:shd w:val="clear" w:color="auto" w:fill="FFFFFF" w:themeFill="background1"/>
            <w:tcMar>
              <w:top w:w="30" w:type="dxa"/>
              <w:left w:w="45" w:type="dxa"/>
              <w:bottom w:w="30" w:type="dxa"/>
              <w:right w:w="45" w:type="dxa"/>
            </w:tcMar>
            <w:vAlign w:val="center"/>
            <w:hideMark/>
          </w:tcPr>
          <w:p w14:paraId="6C16B706"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c>
          <w:tcPr>
            <w:tcW w:w="198" w:type="pct"/>
            <w:shd w:val="clear" w:color="auto" w:fill="FFFFFF" w:themeFill="background1"/>
            <w:tcMar>
              <w:top w:w="30" w:type="dxa"/>
              <w:left w:w="45" w:type="dxa"/>
              <w:bottom w:w="30" w:type="dxa"/>
              <w:right w:w="45" w:type="dxa"/>
            </w:tcMar>
            <w:vAlign w:val="center"/>
            <w:hideMark/>
          </w:tcPr>
          <w:p w14:paraId="3E785505"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c>
          <w:tcPr>
            <w:tcW w:w="203" w:type="pct"/>
            <w:shd w:val="clear" w:color="auto" w:fill="FFFFFF" w:themeFill="background1"/>
            <w:tcMar>
              <w:top w:w="30" w:type="dxa"/>
              <w:left w:w="45" w:type="dxa"/>
              <w:bottom w:w="30" w:type="dxa"/>
              <w:right w:w="45" w:type="dxa"/>
            </w:tcMar>
            <w:vAlign w:val="center"/>
            <w:hideMark/>
          </w:tcPr>
          <w:p w14:paraId="2962739D" w14:textId="77777777" w:rsidR="00257689" w:rsidRPr="008A4B6D" w:rsidRDefault="00257689" w:rsidP="005A5736">
            <w:pPr>
              <w:spacing w:after="0" w:line="240" w:lineRule="auto"/>
              <w:jc w:val="center"/>
              <w:rPr>
                <w:rFonts w:cs="Arial"/>
                <w:sz w:val="20"/>
                <w:szCs w:val="20"/>
              </w:rPr>
            </w:pPr>
          </w:p>
        </w:tc>
      </w:tr>
      <w:tr w:rsidR="008A4B6D" w:rsidRPr="008A4B6D" w14:paraId="7445D691" w14:textId="77777777" w:rsidTr="004825F9">
        <w:tc>
          <w:tcPr>
            <w:tcW w:w="128" w:type="pct"/>
            <w:vAlign w:val="center"/>
          </w:tcPr>
          <w:p w14:paraId="5632010F" w14:textId="77777777" w:rsidR="00257689" w:rsidRPr="008A4B6D" w:rsidRDefault="00257689" w:rsidP="005A5736">
            <w:pPr>
              <w:spacing w:after="0" w:line="240" w:lineRule="auto"/>
              <w:jc w:val="center"/>
              <w:rPr>
                <w:rFonts w:cs="Arial"/>
                <w:sz w:val="20"/>
                <w:szCs w:val="20"/>
              </w:rPr>
            </w:pPr>
            <w:r w:rsidRPr="008A4B6D">
              <w:rPr>
                <w:rFonts w:cs="Arial"/>
                <w:sz w:val="20"/>
                <w:szCs w:val="20"/>
              </w:rPr>
              <w:t>5</w:t>
            </w:r>
          </w:p>
        </w:tc>
        <w:tc>
          <w:tcPr>
            <w:tcW w:w="835" w:type="pct"/>
            <w:tcMar>
              <w:top w:w="30" w:type="dxa"/>
              <w:left w:w="45" w:type="dxa"/>
              <w:bottom w:w="30" w:type="dxa"/>
              <w:right w:w="45" w:type="dxa"/>
            </w:tcMar>
            <w:vAlign w:val="center"/>
          </w:tcPr>
          <w:p w14:paraId="575F6DD2" w14:textId="77777777" w:rsidR="00257689" w:rsidRPr="008A4B6D" w:rsidRDefault="00257689" w:rsidP="005A5736">
            <w:pPr>
              <w:spacing w:after="0" w:line="240" w:lineRule="auto"/>
              <w:rPr>
                <w:rFonts w:cs="Arial"/>
                <w:sz w:val="20"/>
                <w:szCs w:val="20"/>
              </w:rPr>
            </w:pPr>
            <w:r w:rsidRPr="008A4B6D">
              <w:rPr>
                <w:rFonts w:cs="Arial"/>
                <w:sz w:val="20"/>
                <w:szCs w:val="20"/>
              </w:rPr>
              <w:t>Holt, Navarro and Clevenger</w:t>
            </w:r>
          </w:p>
        </w:tc>
        <w:tc>
          <w:tcPr>
            <w:tcW w:w="1996" w:type="pct"/>
            <w:tcMar>
              <w:top w:w="30" w:type="dxa"/>
              <w:left w:w="45" w:type="dxa"/>
              <w:bottom w:w="30" w:type="dxa"/>
              <w:right w:w="45" w:type="dxa"/>
            </w:tcMar>
            <w:vAlign w:val="center"/>
          </w:tcPr>
          <w:p w14:paraId="0304F52C" w14:textId="77777777" w:rsidR="00257689" w:rsidRPr="008A4B6D" w:rsidRDefault="00257689" w:rsidP="005A5736">
            <w:pPr>
              <w:spacing w:after="0" w:line="240" w:lineRule="auto"/>
              <w:rPr>
                <w:rFonts w:cs="Arial"/>
                <w:sz w:val="20"/>
                <w:szCs w:val="20"/>
              </w:rPr>
            </w:pPr>
            <w:r w:rsidRPr="008A4B6D">
              <w:rPr>
                <w:rFonts w:cs="Arial"/>
                <w:sz w:val="20"/>
                <w:szCs w:val="20"/>
              </w:rPr>
              <w:t xml:space="preserve">Exploring the Moderating Role of Gender in Juvenile Hacking </w:t>
            </w:r>
            <w:proofErr w:type="spellStart"/>
            <w:r w:rsidRPr="008A4B6D">
              <w:rPr>
                <w:rFonts w:cs="Arial"/>
                <w:sz w:val="20"/>
                <w:szCs w:val="20"/>
              </w:rPr>
              <w:t>Behaviors</w:t>
            </w:r>
            <w:proofErr w:type="spellEnd"/>
          </w:p>
        </w:tc>
        <w:tc>
          <w:tcPr>
            <w:tcW w:w="254" w:type="pct"/>
            <w:vAlign w:val="center"/>
          </w:tcPr>
          <w:p w14:paraId="703E5154" w14:textId="77777777" w:rsidR="00257689" w:rsidRPr="008A4B6D" w:rsidRDefault="00257689" w:rsidP="005A5736">
            <w:pPr>
              <w:spacing w:after="0" w:line="240" w:lineRule="auto"/>
              <w:jc w:val="center"/>
              <w:rPr>
                <w:rFonts w:cs="Arial"/>
                <w:sz w:val="20"/>
                <w:szCs w:val="20"/>
              </w:rPr>
            </w:pPr>
            <w:r w:rsidRPr="008A4B6D">
              <w:rPr>
                <w:rFonts w:cs="Arial"/>
                <w:sz w:val="20"/>
                <w:szCs w:val="20"/>
              </w:rPr>
              <w:t>2020</w:t>
            </w:r>
          </w:p>
        </w:tc>
        <w:tc>
          <w:tcPr>
            <w:tcW w:w="198" w:type="pct"/>
            <w:shd w:val="clear" w:color="auto" w:fill="FFFFFF" w:themeFill="background1"/>
            <w:tcMar>
              <w:top w:w="30" w:type="dxa"/>
              <w:left w:w="45" w:type="dxa"/>
              <w:bottom w:w="30" w:type="dxa"/>
              <w:right w:w="45" w:type="dxa"/>
            </w:tcMar>
            <w:vAlign w:val="center"/>
          </w:tcPr>
          <w:p w14:paraId="21C2F423" w14:textId="77777777" w:rsidR="00257689" w:rsidRPr="008A4B6D" w:rsidRDefault="00257689" w:rsidP="005A5736">
            <w:pPr>
              <w:spacing w:after="0" w:line="240" w:lineRule="auto"/>
              <w:jc w:val="center"/>
              <w:rPr>
                <w:rFonts w:cs="Arial"/>
                <w:sz w:val="20"/>
                <w:szCs w:val="20"/>
              </w:rPr>
            </w:pPr>
          </w:p>
        </w:tc>
        <w:tc>
          <w:tcPr>
            <w:tcW w:w="198" w:type="pct"/>
            <w:shd w:val="clear" w:color="auto" w:fill="FFFFFF" w:themeFill="background1"/>
            <w:tcMar>
              <w:top w:w="30" w:type="dxa"/>
              <w:left w:w="45" w:type="dxa"/>
              <w:bottom w:w="30" w:type="dxa"/>
              <w:right w:w="45" w:type="dxa"/>
            </w:tcMar>
            <w:vAlign w:val="center"/>
          </w:tcPr>
          <w:p w14:paraId="4F1CAD6B"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c>
          <w:tcPr>
            <w:tcW w:w="198" w:type="pct"/>
            <w:shd w:val="clear" w:color="auto" w:fill="FFFFFF" w:themeFill="background1"/>
            <w:tcMar>
              <w:top w:w="30" w:type="dxa"/>
              <w:left w:w="45" w:type="dxa"/>
              <w:bottom w:w="30" w:type="dxa"/>
              <w:right w:w="45" w:type="dxa"/>
            </w:tcMar>
            <w:vAlign w:val="center"/>
          </w:tcPr>
          <w:p w14:paraId="1A35BF62" w14:textId="77777777" w:rsidR="00257689" w:rsidRPr="008A4B6D" w:rsidRDefault="00257689" w:rsidP="005A5736">
            <w:pPr>
              <w:spacing w:after="0" w:line="240" w:lineRule="auto"/>
              <w:jc w:val="center"/>
              <w:rPr>
                <w:rFonts w:cs="Arial"/>
                <w:sz w:val="20"/>
                <w:szCs w:val="20"/>
              </w:rPr>
            </w:pPr>
          </w:p>
        </w:tc>
        <w:tc>
          <w:tcPr>
            <w:tcW w:w="198" w:type="pct"/>
            <w:shd w:val="clear" w:color="auto" w:fill="FFFFFF" w:themeFill="background1"/>
            <w:tcMar>
              <w:top w:w="30" w:type="dxa"/>
              <w:left w:w="45" w:type="dxa"/>
              <w:bottom w:w="30" w:type="dxa"/>
              <w:right w:w="45" w:type="dxa"/>
            </w:tcMar>
            <w:vAlign w:val="center"/>
          </w:tcPr>
          <w:p w14:paraId="1AFBE074"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c>
          <w:tcPr>
            <w:tcW w:w="198" w:type="pct"/>
            <w:shd w:val="clear" w:color="auto" w:fill="FFFFFF" w:themeFill="background1"/>
            <w:tcMar>
              <w:top w:w="30" w:type="dxa"/>
              <w:left w:w="45" w:type="dxa"/>
              <w:bottom w:w="30" w:type="dxa"/>
              <w:right w:w="45" w:type="dxa"/>
            </w:tcMar>
            <w:vAlign w:val="center"/>
          </w:tcPr>
          <w:p w14:paraId="4BDE916A"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c>
          <w:tcPr>
            <w:tcW w:w="198" w:type="pct"/>
            <w:shd w:val="clear" w:color="auto" w:fill="FFFFFF" w:themeFill="background1"/>
            <w:tcMar>
              <w:top w:w="30" w:type="dxa"/>
              <w:left w:w="45" w:type="dxa"/>
              <w:bottom w:w="30" w:type="dxa"/>
              <w:right w:w="45" w:type="dxa"/>
            </w:tcMar>
            <w:vAlign w:val="center"/>
          </w:tcPr>
          <w:p w14:paraId="347D7017"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c>
          <w:tcPr>
            <w:tcW w:w="198" w:type="pct"/>
            <w:shd w:val="clear" w:color="auto" w:fill="FFFFFF" w:themeFill="background1"/>
            <w:tcMar>
              <w:top w:w="30" w:type="dxa"/>
              <w:left w:w="45" w:type="dxa"/>
              <w:bottom w:w="30" w:type="dxa"/>
              <w:right w:w="45" w:type="dxa"/>
            </w:tcMar>
            <w:vAlign w:val="center"/>
          </w:tcPr>
          <w:p w14:paraId="4B42015D"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c>
          <w:tcPr>
            <w:tcW w:w="198" w:type="pct"/>
            <w:shd w:val="clear" w:color="auto" w:fill="FFFFFF" w:themeFill="background1"/>
            <w:tcMar>
              <w:top w:w="30" w:type="dxa"/>
              <w:left w:w="45" w:type="dxa"/>
              <w:bottom w:w="30" w:type="dxa"/>
              <w:right w:w="45" w:type="dxa"/>
            </w:tcMar>
            <w:vAlign w:val="center"/>
          </w:tcPr>
          <w:p w14:paraId="3E3B32EA" w14:textId="77777777" w:rsidR="00257689" w:rsidRPr="008A4B6D" w:rsidRDefault="00257689" w:rsidP="005A5736">
            <w:pPr>
              <w:spacing w:after="0" w:line="240" w:lineRule="auto"/>
              <w:jc w:val="center"/>
              <w:rPr>
                <w:rFonts w:cs="Arial"/>
                <w:sz w:val="20"/>
                <w:szCs w:val="20"/>
              </w:rPr>
            </w:pPr>
          </w:p>
        </w:tc>
        <w:tc>
          <w:tcPr>
            <w:tcW w:w="203" w:type="pct"/>
            <w:shd w:val="clear" w:color="auto" w:fill="FFFFFF" w:themeFill="background1"/>
            <w:tcMar>
              <w:top w:w="30" w:type="dxa"/>
              <w:left w:w="45" w:type="dxa"/>
              <w:bottom w:w="30" w:type="dxa"/>
              <w:right w:w="45" w:type="dxa"/>
            </w:tcMar>
            <w:vAlign w:val="center"/>
          </w:tcPr>
          <w:p w14:paraId="001D0497"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r>
      <w:tr w:rsidR="008A4B6D" w:rsidRPr="008A4B6D" w14:paraId="4A7DAE11" w14:textId="77777777" w:rsidTr="004825F9">
        <w:tc>
          <w:tcPr>
            <w:tcW w:w="128" w:type="pct"/>
            <w:vAlign w:val="center"/>
          </w:tcPr>
          <w:p w14:paraId="36455DFB" w14:textId="77777777" w:rsidR="00257689" w:rsidRPr="008A4B6D" w:rsidRDefault="00257689" w:rsidP="005A5736">
            <w:pPr>
              <w:spacing w:after="0" w:line="240" w:lineRule="auto"/>
              <w:jc w:val="center"/>
              <w:rPr>
                <w:rFonts w:cs="Arial"/>
                <w:sz w:val="20"/>
                <w:szCs w:val="20"/>
              </w:rPr>
            </w:pPr>
            <w:r w:rsidRPr="008A4B6D">
              <w:rPr>
                <w:rFonts w:cs="Arial"/>
                <w:sz w:val="20"/>
                <w:szCs w:val="20"/>
              </w:rPr>
              <w:t>6</w:t>
            </w:r>
          </w:p>
        </w:tc>
        <w:tc>
          <w:tcPr>
            <w:tcW w:w="835" w:type="pct"/>
            <w:tcMar>
              <w:top w:w="30" w:type="dxa"/>
              <w:left w:w="45" w:type="dxa"/>
              <w:bottom w:w="30" w:type="dxa"/>
              <w:right w:w="45" w:type="dxa"/>
            </w:tcMar>
            <w:vAlign w:val="center"/>
          </w:tcPr>
          <w:p w14:paraId="1E333E3A" w14:textId="77777777" w:rsidR="00257689" w:rsidRPr="008A4B6D" w:rsidRDefault="00257689" w:rsidP="005A5736">
            <w:pPr>
              <w:spacing w:after="0" w:line="240" w:lineRule="auto"/>
              <w:rPr>
                <w:rFonts w:cs="Arial"/>
                <w:sz w:val="20"/>
                <w:szCs w:val="20"/>
              </w:rPr>
            </w:pPr>
            <w:r w:rsidRPr="008A4B6D">
              <w:rPr>
                <w:rFonts w:cs="Arial"/>
                <w:sz w:val="20"/>
                <w:szCs w:val="20"/>
              </w:rPr>
              <w:t>Kim, Leban and Lee</w:t>
            </w:r>
          </w:p>
        </w:tc>
        <w:tc>
          <w:tcPr>
            <w:tcW w:w="1996" w:type="pct"/>
            <w:tcMar>
              <w:top w:w="30" w:type="dxa"/>
              <w:left w:w="45" w:type="dxa"/>
              <w:bottom w:w="30" w:type="dxa"/>
              <w:right w:w="45" w:type="dxa"/>
            </w:tcMar>
            <w:vAlign w:val="center"/>
          </w:tcPr>
          <w:p w14:paraId="2EE6FAF5" w14:textId="77777777" w:rsidR="00257689" w:rsidRPr="008A4B6D" w:rsidRDefault="00257689" w:rsidP="005A5736">
            <w:pPr>
              <w:spacing w:after="0" w:line="240" w:lineRule="auto"/>
              <w:rPr>
                <w:rFonts w:cs="Arial"/>
                <w:sz w:val="20"/>
                <w:szCs w:val="20"/>
              </w:rPr>
            </w:pPr>
            <w:r w:rsidRPr="008A4B6D">
              <w:rPr>
                <w:rFonts w:cs="Arial"/>
                <w:sz w:val="20"/>
                <w:szCs w:val="20"/>
              </w:rPr>
              <w:t>Theoretical Explanations of the Development of Youth Hacking</w:t>
            </w:r>
          </w:p>
        </w:tc>
        <w:tc>
          <w:tcPr>
            <w:tcW w:w="254" w:type="pct"/>
            <w:vAlign w:val="center"/>
          </w:tcPr>
          <w:p w14:paraId="6E365235" w14:textId="77777777" w:rsidR="00257689" w:rsidRPr="008A4B6D" w:rsidRDefault="00257689" w:rsidP="005A5736">
            <w:pPr>
              <w:spacing w:after="0" w:line="240" w:lineRule="auto"/>
              <w:jc w:val="center"/>
              <w:rPr>
                <w:rFonts w:cs="Arial"/>
                <w:sz w:val="20"/>
                <w:szCs w:val="20"/>
              </w:rPr>
            </w:pPr>
            <w:r w:rsidRPr="008A4B6D">
              <w:rPr>
                <w:rFonts w:cs="Arial"/>
                <w:sz w:val="20"/>
                <w:szCs w:val="20"/>
              </w:rPr>
              <w:t>2024</w:t>
            </w:r>
          </w:p>
        </w:tc>
        <w:tc>
          <w:tcPr>
            <w:tcW w:w="198" w:type="pct"/>
            <w:shd w:val="clear" w:color="auto" w:fill="FFFFFF" w:themeFill="background1"/>
            <w:tcMar>
              <w:top w:w="30" w:type="dxa"/>
              <w:left w:w="45" w:type="dxa"/>
              <w:bottom w:w="30" w:type="dxa"/>
              <w:right w:w="45" w:type="dxa"/>
            </w:tcMar>
            <w:vAlign w:val="center"/>
          </w:tcPr>
          <w:p w14:paraId="34FCA6DA" w14:textId="77777777" w:rsidR="00257689" w:rsidRPr="008A4B6D" w:rsidRDefault="00257689" w:rsidP="005A5736">
            <w:pPr>
              <w:spacing w:after="0" w:line="240" w:lineRule="auto"/>
              <w:jc w:val="center"/>
              <w:rPr>
                <w:rFonts w:cs="Arial"/>
                <w:sz w:val="20"/>
                <w:szCs w:val="20"/>
              </w:rPr>
            </w:pPr>
          </w:p>
        </w:tc>
        <w:tc>
          <w:tcPr>
            <w:tcW w:w="198" w:type="pct"/>
            <w:shd w:val="clear" w:color="auto" w:fill="FFFFFF" w:themeFill="background1"/>
            <w:tcMar>
              <w:top w:w="30" w:type="dxa"/>
              <w:left w:w="45" w:type="dxa"/>
              <w:bottom w:w="30" w:type="dxa"/>
              <w:right w:w="45" w:type="dxa"/>
            </w:tcMar>
            <w:vAlign w:val="center"/>
          </w:tcPr>
          <w:p w14:paraId="5B99CCBD"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c>
          <w:tcPr>
            <w:tcW w:w="198" w:type="pct"/>
            <w:shd w:val="clear" w:color="auto" w:fill="FFFFFF" w:themeFill="background1"/>
            <w:tcMar>
              <w:top w:w="30" w:type="dxa"/>
              <w:left w:w="45" w:type="dxa"/>
              <w:bottom w:w="30" w:type="dxa"/>
              <w:right w:w="45" w:type="dxa"/>
            </w:tcMar>
            <w:vAlign w:val="center"/>
          </w:tcPr>
          <w:p w14:paraId="36505CCE"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c>
          <w:tcPr>
            <w:tcW w:w="198" w:type="pct"/>
            <w:shd w:val="clear" w:color="auto" w:fill="FFFFFF" w:themeFill="background1"/>
            <w:tcMar>
              <w:top w:w="30" w:type="dxa"/>
              <w:left w:w="45" w:type="dxa"/>
              <w:bottom w:w="30" w:type="dxa"/>
              <w:right w:w="45" w:type="dxa"/>
            </w:tcMar>
            <w:vAlign w:val="center"/>
          </w:tcPr>
          <w:p w14:paraId="44052520"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c>
          <w:tcPr>
            <w:tcW w:w="198" w:type="pct"/>
            <w:shd w:val="clear" w:color="auto" w:fill="FFFFFF" w:themeFill="background1"/>
            <w:tcMar>
              <w:top w:w="30" w:type="dxa"/>
              <w:left w:w="45" w:type="dxa"/>
              <w:bottom w:w="30" w:type="dxa"/>
              <w:right w:w="45" w:type="dxa"/>
            </w:tcMar>
            <w:vAlign w:val="center"/>
          </w:tcPr>
          <w:p w14:paraId="146E11BF" w14:textId="77777777" w:rsidR="00257689" w:rsidRPr="008A4B6D" w:rsidRDefault="00257689" w:rsidP="005A5736">
            <w:pPr>
              <w:spacing w:after="0" w:line="240" w:lineRule="auto"/>
              <w:jc w:val="center"/>
              <w:rPr>
                <w:rFonts w:cs="Arial"/>
                <w:sz w:val="20"/>
                <w:szCs w:val="20"/>
              </w:rPr>
            </w:pPr>
          </w:p>
        </w:tc>
        <w:tc>
          <w:tcPr>
            <w:tcW w:w="198" w:type="pct"/>
            <w:shd w:val="clear" w:color="auto" w:fill="FFFFFF" w:themeFill="background1"/>
            <w:tcMar>
              <w:top w:w="30" w:type="dxa"/>
              <w:left w:w="45" w:type="dxa"/>
              <w:bottom w:w="30" w:type="dxa"/>
              <w:right w:w="45" w:type="dxa"/>
            </w:tcMar>
            <w:vAlign w:val="center"/>
          </w:tcPr>
          <w:p w14:paraId="5DAB8D0C" w14:textId="77777777" w:rsidR="00257689" w:rsidRPr="008A4B6D" w:rsidRDefault="00257689" w:rsidP="005A5736">
            <w:pPr>
              <w:spacing w:after="0" w:line="240" w:lineRule="auto"/>
              <w:jc w:val="center"/>
              <w:rPr>
                <w:rFonts w:cs="Arial"/>
                <w:sz w:val="20"/>
                <w:szCs w:val="20"/>
              </w:rPr>
            </w:pPr>
          </w:p>
        </w:tc>
        <w:tc>
          <w:tcPr>
            <w:tcW w:w="198" w:type="pct"/>
            <w:shd w:val="clear" w:color="auto" w:fill="FFFFFF" w:themeFill="background1"/>
            <w:tcMar>
              <w:top w:w="30" w:type="dxa"/>
              <w:left w:w="45" w:type="dxa"/>
              <w:bottom w:w="30" w:type="dxa"/>
              <w:right w:w="45" w:type="dxa"/>
            </w:tcMar>
            <w:vAlign w:val="center"/>
          </w:tcPr>
          <w:p w14:paraId="194EFC33"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c>
          <w:tcPr>
            <w:tcW w:w="198" w:type="pct"/>
            <w:shd w:val="clear" w:color="auto" w:fill="FFFFFF" w:themeFill="background1"/>
            <w:tcMar>
              <w:top w:w="30" w:type="dxa"/>
              <w:left w:w="45" w:type="dxa"/>
              <w:bottom w:w="30" w:type="dxa"/>
              <w:right w:w="45" w:type="dxa"/>
            </w:tcMar>
            <w:vAlign w:val="center"/>
          </w:tcPr>
          <w:p w14:paraId="062DE727" w14:textId="77777777" w:rsidR="00257689" w:rsidRPr="008A4B6D" w:rsidRDefault="00257689" w:rsidP="005A5736">
            <w:pPr>
              <w:spacing w:after="0" w:line="240" w:lineRule="auto"/>
              <w:jc w:val="center"/>
              <w:rPr>
                <w:rFonts w:cs="Arial"/>
                <w:sz w:val="20"/>
                <w:szCs w:val="20"/>
              </w:rPr>
            </w:pPr>
          </w:p>
        </w:tc>
        <w:tc>
          <w:tcPr>
            <w:tcW w:w="203" w:type="pct"/>
            <w:shd w:val="clear" w:color="auto" w:fill="FFFFFF" w:themeFill="background1"/>
            <w:tcMar>
              <w:top w:w="30" w:type="dxa"/>
              <w:left w:w="45" w:type="dxa"/>
              <w:bottom w:w="30" w:type="dxa"/>
              <w:right w:w="45" w:type="dxa"/>
            </w:tcMar>
            <w:vAlign w:val="center"/>
          </w:tcPr>
          <w:p w14:paraId="2A09869B"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r>
      <w:tr w:rsidR="008A4B6D" w:rsidRPr="008A4B6D" w14:paraId="2AC1C967" w14:textId="77777777" w:rsidTr="004825F9">
        <w:tc>
          <w:tcPr>
            <w:tcW w:w="128" w:type="pct"/>
            <w:vAlign w:val="center"/>
          </w:tcPr>
          <w:p w14:paraId="528BA023" w14:textId="77777777" w:rsidR="00257689" w:rsidRPr="008A4B6D" w:rsidRDefault="00257689" w:rsidP="005A5736">
            <w:pPr>
              <w:spacing w:after="0" w:line="240" w:lineRule="auto"/>
              <w:jc w:val="center"/>
              <w:rPr>
                <w:rFonts w:cs="Arial"/>
                <w:sz w:val="20"/>
                <w:szCs w:val="20"/>
              </w:rPr>
            </w:pPr>
            <w:r w:rsidRPr="008A4B6D">
              <w:rPr>
                <w:rFonts w:cs="Arial"/>
                <w:sz w:val="20"/>
                <w:szCs w:val="20"/>
              </w:rPr>
              <w:t>7</w:t>
            </w:r>
          </w:p>
        </w:tc>
        <w:tc>
          <w:tcPr>
            <w:tcW w:w="835" w:type="pct"/>
            <w:tcMar>
              <w:top w:w="30" w:type="dxa"/>
              <w:left w:w="45" w:type="dxa"/>
              <w:bottom w:w="30" w:type="dxa"/>
              <w:right w:w="45" w:type="dxa"/>
            </w:tcMar>
            <w:vAlign w:val="center"/>
          </w:tcPr>
          <w:p w14:paraId="518B3003" w14:textId="77777777" w:rsidR="00257689" w:rsidRPr="008A4B6D" w:rsidRDefault="00257689" w:rsidP="005A5736">
            <w:pPr>
              <w:spacing w:after="0" w:line="240" w:lineRule="auto"/>
              <w:rPr>
                <w:rFonts w:cs="Arial"/>
                <w:sz w:val="20"/>
                <w:szCs w:val="20"/>
              </w:rPr>
            </w:pPr>
            <w:r w:rsidRPr="008A4B6D">
              <w:rPr>
                <w:rFonts w:cs="Arial"/>
                <w:sz w:val="20"/>
                <w:szCs w:val="20"/>
              </w:rPr>
              <w:t>Lee and Holt</w:t>
            </w:r>
          </w:p>
        </w:tc>
        <w:tc>
          <w:tcPr>
            <w:tcW w:w="1996" w:type="pct"/>
            <w:tcMar>
              <w:top w:w="30" w:type="dxa"/>
              <w:left w:w="45" w:type="dxa"/>
              <w:bottom w:w="30" w:type="dxa"/>
              <w:right w:w="45" w:type="dxa"/>
            </w:tcMar>
            <w:vAlign w:val="center"/>
          </w:tcPr>
          <w:p w14:paraId="63BDC000" w14:textId="77777777" w:rsidR="00257689" w:rsidRPr="008A4B6D" w:rsidRDefault="00257689" w:rsidP="005A5736">
            <w:pPr>
              <w:spacing w:after="0" w:line="240" w:lineRule="auto"/>
              <w:rPr>
                <w:rFonts w:cs="Arial"/>
                <w:sz w:val="20"/>
                <w:szCs w:val="20"/>
              </w:rPr>
            </w:pPr>
            <w:r w:rsidRPr="008A4B6D">
              <w:rPr>
                <w:rFonts w:cs="Arial"/>
                <w:sz w:val="20"/>
                <w:szCs w:val="20"/>
              </w:rPr>
              <w:t xml:space="preserve">Assessing the Factors Associated </w:t>
            </w:r>
            <w:proofErr w:type="gramStart"/>
            <w:r w:rsidRPr="008A4B6D">
              <w:rPr>
                <w:rFonts w:cs="Arial"/>
                <w:sz w:val="20"/>
                <w:szCs w:val="20"/>
              </w:rPr>
              <w:t>With</w:t>
            </w:r>
            <w:proofErr w:type="gramEnd"/>
            <w:r w:rsidRPr="008A4B6D">
              <w:rPr>
                <w:rFonts w:cs="Arial"/>
                <w:sz w:val="20"/>
                <w:szCs w:val="20"/>
              </w:rPr>
              <w:t xml:space="preserve"> the Detection of Juvenile Hacking </w:t>
            </w:r>
            <w:proofErr w:type="spellStart"/>
            <w:r w:rsidRPr="008A4B6D">
              <w:rPr>
                <w:rFonts w:cs="Arial"/>
                <w:sz w:val="20"/>
                <w:szCs w:val="20"/>
              </w:rPr>
              <w:t>Behaviors</w:t>
            </w:r>
            <w:proofErr w:type="spellEnd"/>
          </w:p>
        </w:tc>
        <w:tc>
          <w:tcPr>
            <w:tcW w:w="254" w:type="pct"/>
            <w:vAlign w:val="center"/>
          </w:tcPr>
          <w:p w14:paraId="017BA2D6" w14:textId="77777777" w:rsidR="00257689" w:rsidRPr="008A4B6D" w:rsidRDefault="00257689" w:rsidP="005A5736">
            <w:pPr>
              <w:spacing w:after="0" w:line="240" w:lineRule="auto"/>
              <w:jc w:val="center"/>
              <w:rPr>
                <w:rFonts w:cs="Arial"/>
                <w:sz w:val="20"/>
                <w:szCs w:val="20"/>
              </w:rPr>
            </w:pPr>
            <w:r w:rsidRPr="008A4B6D">
              <w:rPr>
                <w:rFonts w:cs="Arial"/>
                <w:sz w:val="20"/>
                <w:szCs w:val="20"/>
              </w:rPr>
              <w:t>2020</w:t>
            </w:r>
          </w:p>
        </w:tc>
        <w:tc>
          <w:tcPr>
            <w:tcW w:w="198" w:type="pct"/>
            <w:shd w:val="clear" w:color="auto" w:fill="FFFFFF" w:themeFill="background1"/>
            <w:tcMar>
              <w:top w:w="30" w:type="dxa"/>
              <w:left w:w="45" w:type="dxa"/>
              <w:bottom w:w="30" w:type="dxa"/>
              <w:right w:w="45" w:type="dxa"/>
            </w:tcMar>
            <w:vAlign w:val="center"/>
          </w:tcPr>
          <w:p w14:paraId="7F228F41" w14:textId="77777777" w:rsidR="00257689" w:rsidRPr="008A4B6D" w:rsidRDefault="00257689" w:rsidP="005A5736">
            <w:pPr>
              <w:spacing w:after="0" w:line="240" w:lineRule="auto"/>
              <w:jc w:val="center"/>
              <w:rPr>
                <w:rFonts w:cs="Arial"/>
                <w:sz w:val="20"/>
                <w:szCs w:val="20"/>
              </w:rPr>
            </w:pPr>
          </w:p>
        </w:tc>
        <w:tc>
          <w:tcPr>
            <w:tcW w:w="198" w:type="pct"/>
            <w:shd w:val="clear" w:color="auto" w:fill="FFFFFF" w:themeFill="background1"/>
            <w:tcMar>
              <w:top w:w="30" w:type="dxa"/>
              <w:left w:w="45" w:type="dxa"/>
              <w:bottom w:w="30" w:type="dxa"/>
              <w:right w:w="45" w:type="dxa"/>
            </w:tcMar>
            <w:vAlign w:val="center"/>
          </w:tcPr>
          <w:p w14:paraId="6BDEB490"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c>
          <w:tcPr>
            <w:tcW w:w="198" w:type="pct"/>
            <w:shd w:val="clear" w:color="auto" w:fill="FFFFFF" w:themeFill="background1"/>
            <w:tcMar>
              <w:top w:w="30" w:type="dxa"/>
              <w:left w:w="45" w:type="dxa"/>
              <w:bottom w:w="30" w:type="dxa"/>
              <w:right w:w="45" w:type="dxa"/>
            </w:tcMar>
            <w:vAlign w:val="center"/>
          </w:tcPr>
          <w:p w14:paraId="59C1D898"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c>
          <w:tcPr>
            <w:tcW w:w="198" w:type="pct"/>
            <w:shd w:val="clear" w:color="auto" w:fill="FFFFFF" w:themeFill="background1"/>
            <w:tcMar>
              <w:top w:w="30" w:type="dxa"/>
              <w:left w:w="45" w:type="dxa"/>
              <w:bottom w:w="30" w:type="dxa"/>
              <w:right w:w="45" w:type="dxa"/>
            </w:tcMar>
            <w:vAlign w:val="center"/>
          </w:tcPr>
          <w:p w14:paraId="7C9F28CA"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c>
          <w:tcPr>
            <w:tcW w:w="198" w:type="pct"/>
            <w:shd w:val="clear" w:color="auto" w:fill="FFFFFF" w:themeFill="background1"/>
            <w:tcMar>
              <w:top w:w="30" w:type="dxa"/>
              <w:left w:w="45" w:type="dxa"/>
              <w:bottom w:w="30" w:type="dxa"/>
              <w:right w:w="45" w:type="dxa"/>
            </w:tcMar>
            <w:vAlign w:val="center"/>
          </w:tcPr>
          <w:p w14:paraId="00ECCAF8"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c>
          <w:tcPr>
            <w:tcW w:w="198" w:type="pct"/>
            <w:shd w:val="clear" w:color="auto" w:fill="FFFFFF" w:themeFill="background1"/>
            <w:tcMar>
              <w:top w:w="30" w:type="dxa"/>
              <w:left w:w="45" w:type="dxa"/>
              <w:bottom w:w="30" w:type="dxa"/>
              <w:right w:w="45" w:type="dxa"/>
            </w:tcMar>
            <w:vAlign w:val="center"/>
          </w:tcPr>
          <w:p w14:paraId="173329B1" w14:textId="77777777" w:rsidR="00257689" w:rsidRPr="008A4B6D" w:rsidRDefault="00257689" w:rsidP="005A5736">
            <w:pPr>
              <w:spacing w:after="0" w:line="240" w:lineRule="auto"/>
              <w:jc w:val="center"/>
              <w:rPr>
                <w:rFonts w:cs="Arial"/>
                <w:sz w:val="20"/>
                <w:szCs w:val="20"/>
              </w:rPr>
            </w:pPr>
          </w:p>
        </w:tc>
        <w:tc>
          <w:tcPr>
            <w:tcW w:w="198" w:type="pct"/>
            <w:shd w:val="clear" w:color="auto" w:fill="FFFFFF" w:themeFill="background1"/>
            <w:tcMar>
              <w:top w:w="30" w:type="dxa"/>
              <w:left w:w="45" w:type="dxa"/>
              <w:bottom w:w="30" w:type="dxa"/>
              <w:right w:w="45" w:type="dxa"/>
            </w:tcMar>
            <w:vAlign w:val="center"/>
          </w:tcPr>
          <w:p w14:paraId="20D33B7A" w14:textId="77777777" w:rsidR="00257689" w:rsidRPr="008A4B6D" w:rsidRDefault="00257689" w:rsidP="005A5736">
            <w:pPr>
              <w:spacing w:after="0" w:line="240" w:lineRule="auto"/>
              <w:jc w:val="center"/>
              <w:rPr>
                <w:rFonts w:cs="Arial"/>
                <w:sz w:val="20"/>
                <w:szCs w:val="20"/>
              </w:rPr>
            </w:pPr>
          </w:p>
        </w:tc>
        <w:tc>
          <w:tcPr>
            <w:tcW w:w="198" w:type="pct"/>
            <w:shd w:val="clear" w:color="auto" w:fill="FFFFFF" w:themeFill="background1"/>
            <w:tcMar>
              <w:top w:w="30" w:type="dxa"/>
              <w:left w:w="45" w:type="dxa"/>
              <w:bottom w:w="30" w:type="dxa"/>
              <w:right w:w="45" w:type="dxa"/>
            </w:tcMar>
            <w:vAlign w:val="center"/>
          </w:tcPr>
          <w:p w14:paraId="629D83EF" w14:textId="77777777" w:rsidR="00257689" w:rsidRPr="008A4B6D" w:rsidRDefault="00257689" w:rsidP="005A5736">
            <w:pPr>
              <w:spacing w:after="0" w:line="240" w:lineRule="auto"/>
              <w:jc w:val="center"/>
              <w:rPr>
                <w:rFonts w:cs="Arial"/>
                <w:sz w:val="20"/>
                <w:szCs w:val="20"/>
              </w:rPr>
            </w:pPr>
          </w:p>
        </w:tc>
        <w:tc>
          <w:tcPr>
            <w:tcW w:w="203" w:type="pct"/>
            <w:shd w:val="clear" w:color="auto" w:fill="FFFFFF" w:themeFill="background1"/>
            <w:tcMar>
              <w:top w:w="30" w:type="dxa"/>
              <w:left w:w="45" w:type="dxa"/>
              <w:bottom w:w="30" w:type="dxa"/>
              <w:right w:w="45" w:type="dxa"/>
            </w:tcMar>
            <w:vAlign w:val="center"/>
          </w:tcPr>
          <w:p w14:paraId="4FDB4A64" w14:textId="77777777" w:rsidR="00257689" w:rsidRPr="008A4B6D" w:rsidRDefault="00257689" w:rsidP="005A5736">
            <w:pPr>
              <w:spacing w:after="0" w:line="240" w:lineRule="auto"/>
              <w:jc w:val="center"/>
              <w:rPr>
                <w:rFonts w:cs="Arial"/>
                <w:sz w:val="20"/>
                <w:szCs w:val="20"/>
              </w:rPr>
            </w:pPr>
          </w:p>
        </w:tc>
      </w:tr>
      <w:tr w:rsidR="008A4B6D" w:rsidRPr="008A4B6D" w14:paraId="46A33766" w14:textId="77777777" w:rsidTr="004825F9">
        <w:tc>
          <w:tcPr>
            <w:tcW w:w="128" w:type="pct"/>
            <w:vAlign w:val="center"/>
          </w:tcPr>
          <w:p w14:paraId="67583D8C" w14:textId="77777777" w:rsidR="00257689" w:rsidRPr="008A4B6D" w:rsidRDefault="00257689" w:rsidP="005A5736">
            <w:pPr>
              <w:spacing w:after="0" w:line="240" w:lineRule="auto"/>
              <w:jc w:val="center"/>
              <w:rPr>
                <w:rFonts w:cs="Arial"/>
                <w:sz w:val="20"/>
                <w:szCs w:val="20"/>
              </w:rPr>
            </w:pPr>
            <w:r w:rsidRPr="008A4B6D">
              <w:rPr>
                <w:rFonts w:cs="Arial"/>
                <w:sz w:val="20"/>
                <w:szCs w:val="20"/>
              </w:rPr>
              <w:t>8</w:t>
            </w:r>
          </w:p>
        </w:tc>
        <w:tc>
          <w:tcPr>
            <w:tcW w:w="835" w:type="pct"/>
            <w:tcMar>
              <w:top w:w="30" w:type="dxa"/>
              <w:left w:w="45" w:type="dxa"/>
              <w:bottom w:w="30" w:type="dxa"/>
              <w:right w:w="45" w:type="dxa"/>
            </w:tcMar>
            <w:vAlign w:val="center"/>
          </w:tcPr>
          <w:p w14:paraId="3F3E087D" w14:textId="77777777" w:rsidR="00257689" w:rsidRPr="008A4B6D" w:rsidRDefault="00257689" w:rsidP="005A5736">
            <w:pPr>
              <w:spacing w:after="0" w:line="240" w:lineRule="auto"/>
              <w:rPr>
                <w:rFonts w:cs="Arial"/>
                <w:sz w:val="20"/>
                <w:szCs w:val="20"/>
              </w:rPr>
            </w:pPr>
            <w:r w:rsidRPr="008A4B6D">
              <w:rPr>
                <w:rFonts w:cs="Arial"/>
                <w:sz w:val="20"/>
                <w:szCs w:val="20"/>
              </w:rPr>
              <w:t>Walters</w:t>
            </w:r>
          </w:p>
        </w:tc>
        <w:tc>
          <w:tcPr>
            <w:tcW w:w="1996" w:type="pct"/>
            <w:tcMar>
              <w:top w:w="30" w:type="dxa"/>
              <w:left w:w="45" w:type="dxa"/>
              <w:bottom w:w="30" w:type="dxa"/>
              <w:right w:w="45" w:type="dxa"/>
            </w:tcMar>
            <w:vAlign w:val="center"/>
          </w:tcPr>
          <w:p w14:paraId="49D87B13" w14:textId="77777777" w:rsidR="00257689" w:rsidRPr="008A4B6D" w:rsidRDefault="00257689" w:rsidP="005A5736">
            <w:pPr>
              <w:spacing w:after="0" w:line="240" w:lineRule="auto"/>
              <w:rPr>
                <w:rFonts w:cs="Arial"/>
                <w:sz w:val="20"/>
                <w:szCs w:val="20"/>
              </w:rPr>
            </w:pPr>
            <w:r w:rsidRPr="008A4B6D">
              <w:rPr>
                <w:rFonts w:cs="Arial"/>
                <w:sz w:val="20"/>
                <w:szCs w:val="20"/>
              </w:rPr>
              <w:t>The Person-Computer Interface in Delinquency Research: Proactive Criminal Thinking as a Moderator of the Hacking with Peers–Juvenile Offending Relationship</w:t>
            </w:r>
          </w:p>
        </w:tc>
        <w:tc>
          <w:tcPr>
            <w:tcW w:w="254" w:type="pct"/>
            <w:vAlign w:val="center"/>
          </w:tcPr>
          <w:p w14:paraId="10F675AD" w14:textId="77777777" w:rsidR="00257689" w:rsidRPr="008A4B6D" w:rsidRDefault="00257689" w:rsidP="005A5736">
            <w:pPr>
              <w:spacing w:after="0" w:line="240" w:lineRule="auto"/>
              <w:jc w:val="center"/>
              <w:rPr>
                <w:rFonts w:cs="Arial"/>
                <w:sz w:val="20"/>
                <w:szCs w:val="20"/>
              </w:rPr>
            </w:pPr>
            <w:r w:rsidRPr="008A4B6D">
              <w:rPr>
                <w:rFonts w:cs="Arial"/>
                <w:sz w:val="20"/>
                <w:szCs w:val="20"/>
              </w:rPr>
              <w:t>2023</w:t>
            </w:r>
          </w:p>
        </w:tc>
        <w:tc>
          <w:tcPr>
            <w:tcW w:w="198" w:type="pct"/>
            <w:shd w:val="clear" w:color="auto" w:fill="FFFFFF" w:themeFill="background1"/>
            <w:tcMar>
              <w:top w:w="30" w:type="dxa"/>
              <w:left w:w="45" w:type="dxa"/>
              <w:bottom w:w="30" w:type="dxa"/>
              <w:right w:w="45" w:type="dxa"/>
            </w:tcMar>
            <w:vAlign w:val="center"/>
          </w:tcPr>
          <w:p w14:paraId="5A0D254B" w14:textId="77777777" w:rsidR="00257689" w:rsidRPr="008A4B6D" w:rsidRDefault="00257689" w:rsidP="005A5736">
            <w:pPr>
              <w:spacing w:after="0" w:line="240" w:lineRule="auto"/>
              <w:jc w:val="center"/>
              <w:rPr>
                <w:rFonts w:cs="Arial"/>
                <w:sz w:val="20"/>
                <w:szCs w:val="20"/>
              </w:rPr>
            </w:pPr>
          </w:p>
        </w:tc>
        <w:tc>
          <w:tcPr>
            <w:tcW w:w="198" w:type="pct"/>
            <w:shd w:val="clear" w:color="auto" w:fill="FFFFFF" w:themeFill="background1"/>
            <w:tcMar>
              <w:top w:w="30" w:type="dxa"/>
              <w:left w:w="45" w:type="dxa"/>
              <w:bottom w:w="30" w:type="dxa"/>
              <w:right w:w="45" w:type="dxa"/>
            </w:tcMar>
            <w:vAlign w:val="center"/>
          </w:tcPr>
          <w:p w14:paraId="455C97F8" w14:textId="77777777" w:rsidR="00257689" w:rsidRPr="008A4B6D" w:rsidRDefault="00257689" w:rsidP="005A5736">
            <w:pPr>
              <w:spacing w:after="0" w:line="240" w:lineRule="auto"/>
              <w:jc w:val="center"/>
              <w:rPr>
                <w:rFonts w:cs="Arial"/>
                <w:sz w:val="20"/>
                <w:szCs w:val="20"/>
              </w:rPr>
            </w:pPr>
          </w:p>
        </w:tc>
        <w:tc>
          <w:tcPr>
            <w:tcW w:w="198" w:type="pct"/>
            <w:shd w:val="clear" w:color="auto" w:fill="FFFFFF" w:themeFill="background1"/>
            <w:tcMar>
              <w:top w:w="30" w:type="dxa"/>
              <w:left w:w="45" w:type="dxa"/>
              <w:bottom w:w="30" w:type="dxa"/>
              <w:right w:w="45" w:type="dxa"/>
            </w:tcMar>
            <w:vAlign w:val="center"/>
          </w:tcPr>
          <w:p w14:paraId="0C3EEA40" w14:textId="77777777" w:rsidR="00257689" w:rsidRPr="008A4B6D" w:rsidRDefault="00257689" w:rsidP="005A5736">
            <w:pPr>
              <w:spacing w:after="0" w:line="240" w:lineRule="auto"/>
              <w:jc w:val="center"/>
              <w:rPr>
                <w:rFonts w:cs="Arial"/>
                <w:sz w:val="20"/>
                <w:szCs w:val="20"/>
              </w:rPr>
            </w:pPr>
          </w:p>
        </w:tc>
        <w:tc>
          <w:tcPr>
            <w:tcW w:w="198" w:type="pct"/>
            <w:shd w:val="clear" w:color="auto" w:fill="FFFFFF" w:themeFill="background1"/>
            <w:tcMar>
              <w:top w:w="30" w:type="dxa"/>
              <w:left w:w="45" w:type="dxa"/>
              <w:bottom w:w="30" w:type="dxa"/>
              <w:right w:w="45" w:type="dxa"/>
            </w:tcMar>
            <w:vAlign w:val="center"/>
          </w:tcPr>
          <w:p w14:paraId="64AD54F7" w14:textId="77777777" w:rsidR="00257689" w:rsidRPr="008A4B6D" w:rsidRDefault="00257689" w:rsidP="005A5736">
            <w:pPr>
              <w:spacing w:after="0" w:line="240" w:lineRule="auto"/>
              <w:jc w:val="center"/>
              <w:rPr>
                <w:rFonts w:cs="Arial"/>
                <w:sz w:val="20"/>
                <w:szCs w:val="20"/>
              </w:rPr>
            </w:pPr>
          </w:p>
        </w:tc>
        <w:tc>
          <w:tcPr>
            <w:tcW w:w="198" w:type="pct"/>
            <w:shd w:val="clear" w:color="auto" w:fill="FFFFFF" w:themeFill="background1"/>
            <w:tcMar>
              <w:top w:w="30" w:type="dxa"/>
              <w:left w:w="45" w:type="dxa"/>
              <w:bottom w:w="30" w:type="dxa"/>
              <w:right w:w="45" w:type="dxa"/>
            </w:tcMar>
            <w:vAlign w:val="center"/>
          </w:tcPr>
          <w:p w14:paraId="68A17F04" w14:textId="77777777" w:rsidR="00257689" w:rsidRPr="008A4B6D" w:rsidRDefault="00257689" w:rsidP="005A5736">
            <w:pPr>
              <w:spacing w:after="0" w:line="240" w:lineRule="auto"/>
              <w:jc w:val="center"/>
              <w:rPr>
                <w:rFonts w:cs="Arial"/>
                <w:sz w:val="20"/>
                <w:szCs w:val="20"/>
              </w:rPr>
            </w:pPr>
          </w:p>
        </w:tc>
        <w:tc>
          <w:tcPr>
            <w:tcW w:w="198" w:type="pct"/>
            <w:shd w:val="clear" w:color="auto" w:fill="FFFFFF" w:themeFill="background1"/>
            <w:tcMar>
              <w:top w:w="30" w:type="dxa"/>
              <w:left w:w="45" w:type="dxa"/>
              <w:bottom w:w="30" w:type="dxa"/>
              <w:right w:w="45" w:type="dxa"/>
            </w:tcMar>
            <w:vAlign w:val="center"/>
          </w:tcPr>
          <w:p w14:paraId="16929CE4" w14:textId="77777777" w:rsidR="00257689" w:rsidRPr="008A4B6D" w:rsidRDefault="00257689" w:rsidP="005A5736">
            <w:pPr>
              <w:spacing w:after="0" w:line="240" w:lineRule="auto"/>
              <w:jc w:val="center"/>
              <w:rPr>
                <w:rFonts w:cs="Arial"/>
                <w:sz w:val="20"/>
                <w:szCs w:val="20"/>
              </w:rPr>
            </w:pPr>
          </w:p>
        </w:tc>
        <w:tc>
          <w:tcPr>
            <w:tcW w:w="198" w:type="pct"/>
            <w:shd w:val="clear" w:color="auto" w:fill="FFFFFF" w:themeFill="background1"/>
            <w:tcMar>
              <w:top w:w="30" w:type="dxa"/>
              <w:left w:w="45" w:type="dxa"/>
              <w:bottom w:w="30" w:type="dxa"/>
              <w:right w:w="45" w:type="dxa"/>
            </w:tcMar>
            <w:vAlign w:val="center"/>
          </w:tcPr>
          <w:p w14:paraId="1199818A"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c>
          <w:tcPr>
            <w:tcW w:w="198" w:type="pct"/>
            <w:shd w:val="clear" w:color="auto" w:fill="FFFFFF" w:themeFill="background1"/>
            <w:tcMar>
              <w:top w:w="30" w:type="dxa"/>
              <w:left w:w="45" w:type="dxa"/>
              <w:bottom w:w="30" w:type="dxa"/>
              <w:right w:w="45" w:type="dxa"/>
            </w:tcMar>
            <w:vAlign w:val="center"/>
          </w:tcPr>
          <w:p w14:paraId="490B5324" w14:textId="77777777" w:rsidR="00257689" w:rsidRPr="008A4B6D" w:rsidRDefault="00257689" w:rsidP="005A5736">
            <w:pPr>
              <w:spacing w:after="0" w:line="240" w:lineRule="auto"/>
              <w:jc w:val="center"/>
              <w:rPr>
                <w:rFonts w:cs="Arial"/>
                <w:sz w:val="20"/>
                <w:szCs w:val="20"/>
              </w:rPr>
            </w:pPr>
          </w:p>
        </w:tc>
        <w:tc>
          <w:tcPr>
            <w:tcW w:w="203" w:type="pct"/>
            <w:shd w:val="clear" w:color="auto" w:fill="FFFFFF" w:themeFill="background1"/>
            <w:tcMar>
              <w:top w:w="30" w:type="dxa"/>
              <w:left w:w="45" w:type="dxa"/>
              <w:bottom w:w="30" w:type="dxa"/>
              <w:right w:w="45" w:type="dxa"/>
            </w:tcMar>
            <w:vAlign w:val="center"/>
          </w:tcPr>
          <w:p w14:paraId="528154E8"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r>
      <w:tr w:rsidR="008A4B6D" w:rsidRPr="008A4B6D" w14:paraId="2BE011AC" w14:textId="77777777" w:rsidTr="004825F9">
        <w:tc>
          <w:tcPr>
            <w:tcW w:w="128" w:type="pct"/>
            <w:vAlign w:val="center"/>
          </w:tcPr>
          <w:p w14:paraId="7E912C34" w14:textId="77777777" w:rsidR="00257689" w:rsidRPr="008A4B6D" w:rsidRDefault="00257689" w:rsidP="005A5736">
            <w:pPr>
              <w:spacing w:after="0" w:line="240" w:lineRule="auto"/>
              <w:jc w:val="center"/>
              <w:rPr>
                <w:rFonts w:cs="Arial"/>
                <w:sz w:val="20"/>
                <w:szCs w:val="20"/>
              </w:rPr>
            </w:pPr>
            <w:r w:rsidRPr="008A4B6D">
              <w:rPr>
                <w:rFonts w:cs="Arial"/>
                <w:sz w:val="20"/>
                <w:szCs w:val="20"/>
              </w:rPr>
              <w:t>9</w:t>
            </w:r>
          </w:p>
        </w:tc>
        <w:tc>
          <w:tcPr>
            <w:tcW w:w="835" w:type="pct"/>
            <w:tcMar>
              <w:top w:w="30" w:type="dxa"/>
              <w:left w:w="45" w:type="dxa"/>
              <w:bottom w:w="30" w:type="dxa"/>
              <w:right w:w="45" w:type="dxa"/>
            </w:tcMar>
            <w:vAlign w:val="center"/>
          </w:tcPr>
          <w:p w14:paraId="2259B32A" w14:textId="77777777" w:rsidR="00257689" w:rsidRPr="008A4B6D" w:rsidRDefault="00257689" w:rsidP="005A5736">
            <w:pPr>
              <w:spacing w:after="0" w:line="240" w:lineRule="auto"/>
              <w:rPr>
                <w:rFonts w:cs="Arial"/>
                <w:sz w:val="20"/>
                <w:szCs w:val="20"/>
              </w:rPr>
            </w:pPr>
            <w:r w:rsidRPr="008A4B6D">
              <w:rPr>
                <w:rFonts w:cs="Arial"/>
                <w:sz w:val="20"/>
                <w:szCs w:val="20"/>
              </w:rPr>
              <w:t>Whitten et al.</w:t>
            </w:r>
          </w:p>
        </w:tc>
        <w:tc>
          <w:tcPr>
            <w:tcW w:w="1996" w:type="pct"/>
            <w:tcMar>
              <w:top w:w="30" w:type="dxa"/>
              <w:left w:w="45" w:type="dxa"/>
              <w:bottom w:w="30" w:type="dxa"/>
              <w:right w:w="45" w:type="dxa"/>
            </w:tcMar>
            <w:vAlign w:val="center"/>
          </w:tcPr>
          <w:p w14:paraId="663B17DD" w14:textId="77777777" w:rsidR="00257689" w:rsidRPr="008A4B6D" w:rsidRDefault="00257689" w:rsidP="005A5736">
            <w:pPr>
              <w:spacing w:after="0" w:line="240" w:lineRule="auto"/>
              <w:rPr>
                <w:rFonts w:cs="Arial"/>
                <w:sz w:val="20"/>
                <w:szCs w:val="20"/>
              </w:rPr>
            </w:pPr>
            <w:r w:rsidRPr="008A4B6D">
              <w:rPr>
                <w:rFonts w:cs="Arial"/>
                <w:sz w:val="20"/>
                <w:szCs w:val="20"/>
              </w:rPr>
              <w:t>Exploring the Role of Self-Control Across Distinct Patterns of Cyber-Deviance in Emerging Adolescence</w:t>
            </w:r>
          </w:p>
        </w:tc>
        <w:tc>
          <w:tcPr>
            <w:tcW w:w="254" w:type="pct"/>
            <w:vAlign w:val="center"/>
          </w:tcPr>
          <w:p w14:paraId="040F6FAD" w14:textId="77777777" w:rsidR="00257689" w:rsidRPr="008A4B6D" w:rsidRDefault="00257689" w:rsidP="005A5736">
            <w:pPr>
              <w:spacing w:after="0" w:line="240" w:lineRule="auto"/>
              <w:jc w:val="center"/>
              <w:rPr>
                <w:rFonts w:cs="Arial"/>
                <w:sz w:val="20"/>
                <w:szCs w:val="20"/>
              </w:rPr>
            </w:pPr>
            <w:r w:rsidRPr="008A4B6D">
              <w:rPr>
                <w:rFonts w:cs="Arial"/>
                <w:sz w:val="20"/>
                <w:szCs w:val="20"/>
              </w:rPr>
              <w:t>2024</w:t>
            </w:r>
          </w:p>
        </w:tc>
        <w:tc>
          <w:tcPr>
            <w:tcW w:w="198" w:type="pct"/>
            <w:shd w:val="clear" w:color="auto" w:fill="FFFFFF" w:themeFill="background1"/>
            <w:tcMar>
              <w:top w:w="30" w:type="dxa"/>
              <w:left w:w="45" w:type="dxa"/>
              <w:bottom w:w="30" w:type="dxa"/>
              <w:right w:w="45" w:type="dxa"/>
            </w:tcMar>
            <w:vAlign w:val="center"/>
          </w:tcPr>
          <w:p w14:paraId="5F3BF306" w14:textId="77777777" w:rsidR="00257689" w:rsidRPr="008A4B6D" w:rsidRDefault="00257689" w:rsidP="005A5736">
            <w:pPr>
              <w:spacing w:after="0" w:line="240" w:lineRule="auto"/>
              <w:jc w:val="center"/>
              <w:rPr>
                <w:rFonts w:cs="Arial"/>
                <w:sz w:val="20"/>
                <w:szCs w:val="20"/>
              </w:rPr>
            </w:pPr>
          </w:p>
        </w:tc>
        <w:tc>
          <w:tcPr>
            <w:tcW w:w="198" w:type="pct"/>
            <w:shd w:val="clear" w:color="auto" w:fill="FFFFFF" w:themeFill="background1"/>
            <w:tcMar>
              <w:top w:w="30" w:type="dxa"/>
              <w:left w:w="45" w:type="dxa"/>
              <w:bottom w:w="30" w:type="dxa"/>
              <w:right w:w="45" w:type="dxa"/>
            </w:tcMar>
            <w:vAlign w:val="center"/>
          </w:tcPr>
          <w:p w14:paraId="19E70958"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c>
          <w:tcPr>
            <w:tcW w:w="198" w:type="pct"/>
            <w:shd w:val="clear" w:color="auto" w:fill="FFFFFF" w:themeFill="background1"/>
            <w:tcMar>
              <w:top w:w="30" w:type="dxa"/>
              <w:left w:w="45" w:type="dxa"/>
              <w:bottom w:w="30" w:type="dxa"/>
              <w:right w:w="45" w:type="dxa"/>
            </w:tcMar>
            <w:vAlign w:val="center"/>
          </w:tcPr>
          <w:p w14:paraId="4F5E387B" w14:textId="77777777" w:rsidR="00257689" w:rsidRPr="008A4B6D" w:rsidRDefault="00257689" w:rsidP="005A5736">
            <w:pPr>
              <w:spacing w:after="0" w:line="240" w:lineRule="auto"/>
              <w:jc w:val="center"/>
              <w:rPr>
                <w:rFonts w:cs="Arial"/>
                <w:sz w:val="20"/>
                <w:szCs w:val="20"/>
              </w:rPr>
            </w:pPr>
          </w:p>
        </w:tc>
        <w:tc>
          <w:tcPr>
            <w:tcW w:w="198" w:type="pct"/>
            <w:shd w:val="clear" w:color="auto" w:fill="FFFFFF" w:themeFill="background1"/>
            <w:tcMar>
              <w:top w:w="30" w:type="dxa"/>
              <w:left w:w="45" w:type="dxa"/>
              <w:bottom w:w="30" w:type="dxa"/>
              <w:right w:w="45" w:type="dxa"/>
            </w:tcMar>
            <w:vAlign w:val="center"/>
          </w:tcPr>
          <w:p w14:paraId="6CA99368" w14:textId="77777777" w:rsidR="00257689" w:rsidRPr="008A4B6D" w:rsidRDefault="00257689" w:rsidP="005A5736">
            <w:pPr>
              <w:spacing w:after="0" w:line="240" w:lineRule="auto"/>
              <w:jc w:val="center"/>
              <w:rPr>
                <w:rFonts w:cs="Arial"/>
                <w:sz w:val="20"/>
                <w:szCs w:val="20"/>
              </w:rPr>
            </w:pPr>
          </w:p>
        </w:tc>
        <w:tc>
          <w:tcPr>
            <w:tcW w:w="198" w:type="pct"/>
            <w:shd w:val="clear" w:color="auto" w:fill="FFFFFF" w:themeFill="background1"/>
            <w:tcMar>
              <w:top w:w="30" w:type="dxa"/>
              <w:left w:w="45" w:type="dxa"/>
              <w:bottom w:w="30" w:type="dxa"/>
              <w:right w:w="45" w:type="dxa"/>
            </w:tcMar>
            <w:vAlign w:val="center"/>
          </w:tcPr>
          <w:p w14:paraId="4088FCFC" w14:textId="77777777" w:rsidR="00257689" w:rsidRPr="008A4B6D" w:rsidRDefault="00257689" w:rsidP="005A5736">
            <w:pPr>
              <w:spacing w:after="0" w:line="240" w:lineRule="auto"/>
              <w:jc w:val="center"/>
              <w:rPr>
                <w:rFonts w:cs="Arial"/>
                <w:sz w:val="20"/>
                <w:szCs w:val="20"/>
              </w:rPr>
            </w:pPr>
          </w:p>
        </w:tc>
        <w:tc>
          <w:tcPr>
            <w:tcW w:w="198" w:type="pct"/>
            <w:shd w:val="clear" w:color="auto" w:fill="FFFFFF" w:themeFill="background1"/>
            <w:tcMar>
              <w:top w:w="30" w:type="dxa"/>
              <w:left w:w="45" w:type="dxa"/>
              <w:bottom w:w="30" w:type="dxa"/>
              <w:right w:w="45" w:type="dxa"/>
            </w:tcMar>
            <w:vAlign w:val="center"/>
          </w:tcPr>
          <w:p w14:paraId="625E214B" w14:textId="77777777" w:rsidR="00257689" w:rsidRPr="008A4B6D" w:rsidRDefault="00257689" w:rsidP="005A5736">
            <w:pPr>
              <w:spacing w:after="0" w:line="240" w:lineRule="auto"/>
              <w:jc w:val="center"/>
              <w:rPr>
                <w:rFonts w:cs="Arial"/>
                <w:sz w:val="20"/>
                <w:szCs w:val="20"/>
              </w:rPr>
            </w:pPr>
          </w:p>
        </w:tc>
        <w:tc>
          <w:tcPr>
            <w:tcW w:w="198" w:type="pct"/>
            <w:shd w:val="clear" w:color="auto" w:fill="FFFFFF" w:themeFill="background1"/>
            <w:tcMar>
              <w:top w:w="30" w:type="dxa"/>
              <w:left w:w="45" w:type="dxa"/>
              <w:bottom w:w="30" w:type="dxa"/>
              <w:right w:w="45" w:type="dxa"/>
            </w:tcMar>
            <w:vAlign w:val="center"/>
          </w:tcPr>
          <w:p w14:paraId="50301A9A" w14:textId="77777777" w:rsidR="00257689" w:rsidRPr="008A4B6D" w:rsidRDefault="00257689" w:rsidP="005A5736">
            <w:pPr>
              <w:spacing w:after="0" w:line="240" w:lineRule="auto"/>
              <w:jc w:val="center"/>
              <w:rPr>
                <w:rFonts w:cs="Arial"/>
                <w:sz w:val="20"/>
                <w:szCs w:val="20"/>
              </w:rPr>
            </w:pPr>
          </w:p>
        </w:tc>
        <w:tc>
          <w:tcPr>
            <w:tcW w:w="198" w:type="pct"/>
            <w:shd w:val="clear" w:color="auto" w:fill="FFFFFF" w:themeFill="background1"/>
            <w:tcMar>
              <w:top w:w="30" w:type="dxa"/>
              <w:left w:w="45" w:type="dxa"/>
              <w:bottom w:w="30" w:type="dxa"/>
              <w:right w:w="45" w:type="dxa"/>
            </w:tcMar>
            <w:vAlign w:val="center"/>
          </w:tcPr>
          <w:p w14:paraId="60797669" w14:textId="77777777" w:rsidR="00257689" w:rsidRPr="008A4B6D" w:rsidRDefault="00257689" w:rsidP="005A5736">
            <w:pPr>
              <w:spacing w:after="0" w:line="240" w:lineRule="auto"/>
              <w:jc w:val="center"/>
              <w:rPr>
                <w:rFonts w:cs="Arial"/>
                <w:sz w:val="20"/>
                <w:szCs w:val="20"/>
              </w:rPr>
            </w:pPr>
          </w:p>
        </w:tc>
        <w:tc>
          <w:tcPr>
            <w:tcW w:w="203" w:type="pct"/>
            <w:shd w:val="clear" w:color="auto" w:fill="FFFFFF" w:themeFill="background1"/>
            <w:tcMar>
              <w:top w:w="30" w:type="dxa"/>
              <w:left w:w="45" w:type="dxa"/>
              <w:bottom w:w="30" w:type="dxa"/>
              <w:right w:w="45" w:type="dxa"/>
            </w:tcMar>
            <w:vAlign w:val="center"/>
          </w:tcPr>
          <w:p w14:paraId="2EC08CA3"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r>
      <w:tr w:rsidR="008A4B6D" w:rsidRPr="008A4B6D" w14:paraId="539D0995" w14:textId="77777777" w:rsidTr="004825F9">
        <w:tc>
          <w:tcPr>
            <w:tcW w:w="128" w:type="pct"/>
            <w:tcBorders>
              <w:bottom w:val="single" w:sz="4" w:space="0" w:color="auto"/>
            </w:tcBorders>
            <w:vAlign w:val="center"/>
          </w:tcPr>
          <w:p w14:paraId="4E12BFC3" w14:textId="77777777" w:rsidR="00257689" w:rsidRPr="008A4B6D" w:rsidRDefault="00257689" w:rsidP="005A5736">
            <w:pPr>
              <w:spacing w:after="0" w:line="240" w:lineRule="auto"/>
              <w:jc w:val="center"/>
              <w:rPr>
                <w:rFonts w:cs="Arial"/>
                <w:sz w:val="20"/>
                <w:szCs w:val="20"/>
              </w:rPr>
            </w:pPr>
            <w:r w:rsidRPr="008A4B6D">
              <w:rPr>
                <w:rFonts w:cs="Arial"/>
                <w:sz w:val="20"/>
                <w:szCs w:val="20"/>
              </w:rPr>
              <w:t>10</w:t>
            </w:r>
          </w:p>
        </w:tc>
        <w:tc>
          <w:tcPr>
            <w:tcW w:w="835" w:type="pct"/>
            <w:tcBorders>
              <w:bottom w:val="single" w:sz="4" w:space="0" w:color="auto"/>
            </w:tcBorders>
            <w:tcMar>
              <w:top w:w="30" w:type="dxa"/>
              <w:left w:w="45" w:type="dxa"/>
              <w:bottom w:w="30" w:type="dxa"/>
              <w:right w:w="45" w:type="dxa"/>
            </w:tcMar>
            <w:vAlign w:val="center"/>
          </w:tcPr>
          <w:p w14:paraId="4053723C" w14:textId="77777777" w:rsidR="00257689" w:rsidRPr="008A4B6D" w:rsidRDefault="00257689" w:rsidP="005A5736">
            <w:pPr>
              <w:spacing w:after="0" w:line="240" w:lineRule="auto"/>
              <w:rPr>
                <w:rFonts w:cs="Arial"/>
                <w:sz w:val="20"/>
                <w:szCs w:val="20"/>
              </w:rPr>
            </w:pPr>
            <w:r w:rsidRPr="008A4B6D">
              <w:rPr>
                <w:rFonts w:cs="Arial"/>
                <w:sz w:val="20"/>
                <w:szCs w:val="20"/>
              </w:rPr>
              <w:t>Wright</w:t>
            </w:r>
          </w:p>
        </w:tc>
        <w:tc>
          <w:tcPr>
            <w:tcW w:w="1996" w:type="pct"/>
            <w:tcBorders>
              <w:bottom w:val="single" w:sz="4" w:space="0" w:color="auto"/>
            </w:tcBorders>
            <w:tcMar>
              <w:top w:w="30" w:type="dxa"/>
              <w:left w:w="45" w:type="dxa"/>
              <w:bottom w:w="30" w:type="dxa"/>
              <w:right w:w="45" w:type="dxa"/>
            </w:tcMar>
            <w:vAlign w:val="center"/>
          </w:tcPr>
          <w:p w14:paraId="5C522BD5" w14:textId="77777777" w:rsidR="00257689" w:rsidRPr="008A4B6D" w:rsidRDefault="00257689" w:rsidP="005A5736">
            <w:pPr>
              <w:spacing w:after="0" w:line="240" w:lineRule="auto"/>
              <w:rPr>
                <w:rFonts w:cs="Arial"/>
                <w:sz w:val="20"/>
                <w:szCs w:val="20"/>
              </w:rPr>
            </w:pPr>
            <w:r w:rsidRPr="008A4B6D">
              <w:rPr>
                <w:rFonts w:cs="Arial"/>
                <w:sz w:val="20"/>
                <w:szCs w:val="20"/>
              </w:rPr>
              <w:t xml:space="preserve">The Role of Technologies, </w:t>
            </w:r>
            <w:proofErr w:type="spellStart"/>
            <w:r w:rsidRPr="008A4B6D">
              <w:rPr>
                <w:rFonts w:cs="Arial"/>
                <w:sz w:val="20"/>
                <w:szCs w:val="20"/>
              </w:rPr>
              <w:t>Behaviors</w:t>
            </w:r>
            <w:proofErr w:type="spellEnd"/>
            <w:r w:rsidRPr="008A4B6D">
              <w:rPr>
                <w:rFonts w:cs="Arial"/>
                <w:sz w:val="20"/>
                <w:szCs w:val="20"/>
              </w:rPr>
              <w:t>, Gender, and Gender Stereotype Traits in Adolescents’ Cyber Aggression</w:t>
            </w:r>
          </w:p>
        </w:tc>
        <w:tc>
          <w:tcPr>
            <w:tcW w:w="254" w:type="pct"/>
            <w:tcBorders>
              <w:bottom w:val="single" w:sz="4" w:space="0" w:color="auto"/>
            </w:tcBorders>
            <w:vAlign w:val="center"/>
          </w:tcPr>
          <w:p w14:paraId="57686185" w14:textId="77777777" w:rsidR="00257689" w:rsidRPr="008A4B6D" w:rsidRDefault="00257689" w:rsidP="005A5736">
            <w:pPr>
              <w:spacing w:after="0" w:line="240" w:lineRule="auto"/>
              <w:jc w:val="center"/>
              <w:rPr>
                <w:rFonts w:cs="Arial"/>
                <w:sz w:val="20"/>
                <w:szCs w:val="20"/>
              </w:rPr>
            </w:pPr>
            <w:r w:rsidRPr="008A4B6D">
              <w:rPr>
                <w:rFonts w:cs="Arial"/>
                <w:sz w:val="20"/>
                <w:szCs w:val="20"/>
              </w:rPr>
              <w:t>2020</w:t>
            </w:r>
          </w:p>
        </w:tc>
        <w:tc>
          <w:tcPr>
            <w:tcW w:w="198" w:type="pct"/>
            <w:tcBorders>
              <w:bottom w:val="single" w:sz="4" w:space="0" w:color="auto"/>
            </w:tcBorders>
            <w:shd w:val="clear" w:color="auto" w:fill="FFFFFF" w:themeFill="background1"/>
            <w:tcMar>
              <w:top w:w="30" w:type="dxa"/>
              <w:left w:w="45" w:type="dxa"/>
              <w:bottom w:w="30" w:type="dxa"/>
              <w:right w:w="45" w:type="dxa"/>
            </w:tcMar>
            <w:vAlign w:val="center"/>
          </w:tcPr>
          <w:p w14:paraId="5A720EAC" w14:textId="77777777" w:rsidR="00257689" w:rsidRPr="008A4B6D" w:rsidRDefault="00257689" w:rsidP="005A5736">
            <w:pPr>
              <w:spacing w:after="0" w:line="240" w:lineRule="auto"/>
              <w:jc w:val="center"/>
              <w:rPr>
                <w:rFonts w:cs="Arial"/>
                <w:sz w:val="20"/>
                <w:szCs w:val="20"/>
              </w:rPr>
            </w:pPr>
          </w:p>
        </w:tc>
        <w:tc>
          <w:tcPr>
            <w:tcW w:w="198" w:type="pct"/>
            <w:tcBorders>
              <w:bottom w:val="single" w:sz="4" w:space="0" w:color="auto"/>
            </w:tcBorders>
            <w:shd w:val="clear" w:color="auto" w:fill="FFFFFF" w:themeFill="background1"/>
            <w:tcMar>
              <w:top w:w="30" w:type="dxa"/>
              <w:left w:w="45" w:type="dxa"/>
              <w:bottom w:w="30" w:type="dxa"/>
              <w:right w:w="45" w:type="dxa"/>
            </w:tcMar>
            <w:vAlign w:val="center"/>
          </w:tcPr>
          <w:p w14:paraId="64A9B0C7" w14:textId="77777777" w:rsidR="00257689" w:rsidRPr="008A4B6D" w:rsidRDefault="00257689" w:rsidP="005A5736">
            <w:pPr>
              <w:spacing w:after="0" w:line="240" w:lineRule="auto"/>
              <w:jc w:val="center"/>
              <w:rPr>
                <w:rFonts w:cs="Arial"/>
                <w:sz w:val="20"/>
                <w:szCs w:val="20"/>
              </w:rPr>
            </w:pPr>
          </w:p>
        </w:tc>
        <w:tc>
          <w:tcPr>
            <w:tcW w:w="198" w:type="pct"/>
            <w:tcBorders>
              <w:bottom w:val="single" w:sz="4" w:space="0" w:color="auto"/>
            </w:tcBorders>
            <w:shd w:val="clear" w:color="auto" w:fill="FFFFFF" w:themeFill="background1"/>
            <w:tcMar>
              <w:top w:w="30" w:type="dxa"/>
              <w:left w:w="45" w:type="dxa"/>
              <w:bottom w:w="30" w:type="dxa"/>
              <w:right w:w="45" w:type="dxa"/>
            </w:tcMar>
            <w:vAlign w:val="center"/>
          </w:tcPr>
          <w:p w14:paraId="5CEFA965" w14:textId="77777777" w:rsidR="00257689" w:rsidRPr="008A4B6D" w:rsidRDefault="00257689" w:rsidP="005A5736">
            <w:pPr>
              <w:spacing w:after="0" w:line="240" w:lineRule="auto"/>
              <w:jc w:val="center"/>
              <w:rPr>
                <w:rFonts w:cs="Arial"/>
                <w:sz w:val="20"/>
                <w:szCs w:val="20"/>
              </w:rPr>
            </w:pPr>
          </w:p>
        </w:tc>
        <w:tc>
          <w:tcPr>
            <w:tcW w:w="198" w:type="pct"/>
            <w:tcBorders>
              <w:bottom w:val="single" w:sz="4" w:space="0" w:color="auto"/>
            </w:tcBorders>
            <w:shd w:val="clear" w:color="auto" w:fill="FFFFFF" w:themeFill="background1"/>
            <w:tcMar>
              <w:top w:w="30" w:type="dxa"/>
              <w:left w:w="45" w:type="dxa"/>
              <w:bottom w:w="30" w:type="dxa"/>
              <w:right w:w="45" w:type="dxa"/>
            </w:tcMar>
            <w:vAlign w:val="center"/>
          </w:tcPr>
          <w:p w14:paraId="71425F21" w14:textId="77777777" w:rsidR="00257689" w:rsidRPr="008A4B6D" w:rsidRDefault="00257689" w:rsidP="005A5736">
            <w:pPr>
              <w:spacing w:after="0" w:line="240" w:lineRule="auto"/>
              <w:jc w:val="center"/>
              <w:rPr>
                <w:rFonts w:cs="Arial"/>
                <w:sz w:val="20"/>
                <w:szCs w:val="20"/>
              </w:rPr>
            </w:pPr>
          </w:p>
        </w:tc>
        <w:tc>
          <w:tcPr>
            <w:tcW w:w="198" w:type="pct"/>
            <w:tcBorders>
              <w:bottom w:val="single" w:sz="4" w:space="0" w:color="auto"/>
            </w:tcBorders>
            <w:shd w:val="clear" w:color="auto" w:fill="FFFFFF" w:themeFill="background1"/>
            <w:tcMar>
              <w:top w:w="30" w:type="dxa"/>
              <w:left w:w="45" w:type="dxa"/>
              <w:bottom w:w="30" w:type="dxa"/>
              <w:right w:w="45" w:type="dxa"/>
            </w:tcMar>
            <w:vAlign w:val="center"/>
          </w:tcPr>
          <w:p w14:paraId="1A487438"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c>
          <w:tcPr>
            <w:tcW w:w="198" w:type="pct"/>
            <w:tcBorders>
              <w:bottom w:val="single" w:sz="4" w:space="0" w:color="auto"/>
            </w:tcBorders>
            <w:shd w:val="clear" w:color="auto" w:fill="FFFFFF" w:themeFill="background1"/>
            <w:tcMar>
              <w:top w:w="30" w:type="dxa"/>
              <w:left w:w="45" w:type="dxa"/>
              <w:bottom w:w="30" w:type="dxa"/>
              <w:right w:w="45" w:type="dxa"/>
            </w:tcMar>
            <w:vAlign w:val="center"/>
          </w:tcPr>
          <w:p w14:paraId="689F4C27" w14:textId="77777777" w:rsidR="00257689" w:rsidRPr="008A4B6D" w:rsidRDefault="00257689" w:rsidP="005A5736">
            <w:pPr>
              <w:spacing w:after="0" w:line="240" w:lineRule="auto"/>
              <w:jc w:val="center"/>
              <w:rPr>
                <w:rFonts w:cs="Arial"/>
                <w:sz w:val="20"/>
                <w:szCs w:val="20"/>
              </w:rPr>
            </w:pPr>
          </w:p>
        </w:tc>
        <w:tc>
          <w:tcPr>
            <w:tcW w:w="198" w:type="pct"/>
            <w:tcBorders>
              <w:bottom w:val="single" w:sz="4" w:space="0" w:color="auto"/>
            </w:tcBorders>
            <w:shd w:val="clear" w:color="auto" w:fill="FFFFFF" w:themeFill="background1"/>
            <w:tcMar>
              <w:top w:w="30" w:type="dxa"/>
              <w:left w:w="45" w:type="dxa"/>
              <w:bottom w:w="30" w:type="dxa"/>
              <w:right w:w="45" w:type="dxa"/>
            </w:tcMar>
            <w:vAlign w:val="center"/>
          </w:tcPr>
          <w:p w14:paraId="42395CC5" w14:textId="77777777" w:rsidR="00257689" w:rsidRPr="008A4B6D" w:rsidRDefault="00257689" w:rsidP="005A5736">
            <w:pPr>
              <w:spacing w:after="0" w:line="240" w:lineRule="auto"/>
              <w:jc w:val="center"/>
              <w:rPr>
                <w:rFonts w:cs="Arial"/>
                <w:sz w:val="20"/>
                <w:szCs w:val="20"/>
              </w:rPr>
            </w:pPr>
            <w:r w:rsidRPr="008A4B6D">
              <w:rPr>
                <w:rFonts w:cs="Arial"/>
                <w:sz w:val="20"/>
                <w:szCs w:val="20"/>
              </w:rPr>
              <w:t>-</w:t>
            </w:r>
          </w:p>
        </w:tc>
        <w:tc>
          <w:tcPr>
            <w:tcW w:w="198" w:type="pct"/>
            <w:tcBorders>
              <w:bottom w:val="single" w:sz="4" w:space="0" w:color="auto"/>
            </w:tcBorders>
            <w:shd w:val="clear" w:color="auto" w:fill="FFFFFF" w:themeFill="background1"/>
            <w:tcMar>
              <w:top w:w="30" w:type="dxa"/>
              <w:left w:w="45" w:type="dxa"/>
              <w:bottom w:w="30" w:type="dxa"/>
              <w:right w:w="45" w:type="dxa"/>
            </w:tcMar>
            <w:vAlign w:val="center"/>
          </w:tcPr>
          <w:p w14:paraId="2DA8BAEC" w14:textId="77777777" w:rsidR="00257689" w:rsidRPr="008A4B6D" w:rsidRDefault="00257689" w:rsidP="005A5736">
            <w:pPr>
              <w:spacing w:after="0" w:line="240" w:lineRule="auto"/>
              <w:jc w:val="center"/>
              <w:rPr>
                <w:rFonts w:cs="Arial"/>
                <w:sz w:val="20"/>
                <w:szCs w:val="20"/>
              </w:rPr>
            </w:pPr>
          </w:p>
        </w:tc>
        <w:tc>
          <w:tcPr>
            <w:tcW w:w="203" w:type="pct"/>
            <w:tcBorders>
              <w:bottom w:val="single" w:sz="4" w:space="0" w:color="auto"/>
            </w:tcBorders>
            <w:shd w:val="clear" w:color="auto" w:fill="FFFFFF" w:themeFill="background1"/>
            <w:tcMar>
              <w:top w:w="30" w:type="dxa"/>
              <w:left w:w="45" w:type="dxa"/>
              <w:bottom w:w="30" w:type="dxa"/>
              <w:right w:w="45" w:type="dxa"/>
            </w:tcMar>
            <w:vAlign w:val="center"/>
          </w:tcPr>
          <w:p w14:paraId="3D17C2E8" w14:textId="77777777" w:rsidR="00257689" w:rsidRPr="008A4B6D" w:rsidRDefault="00257689" w:rsidP="005A5736">
            <w:pPr>
              <w:spacing w:after="0" w:line="240" w:lineRule="auto"/>
              <w:jc w:val="center"/>
              <w:rPr>
                <w:rFonts w:cs="Arial"/>
                <w:sz w:val="20"/>
                <w:szCs w:val="20"/>
              </w:rPr>
            </w:pPr>
          </w:p>
        </w:tc>
      </w:tr>
      <w:tr w:rsidR="00257689" w:rsidRPr="008A4B6D" w14:paraId="5EA91123" w14:textId="77777777" w:rsidTr="005A5736">
        <w:tc>
          <w:tcPr>
            <w:tcW w:w="5000" w:type="pct"/>
            <w:gridSpan w:val="13"/>
            <w:tcBorders>
              <w:left w:val="nil"/>
              <w:bottom w:val="nil"/>
              <w:right w:val="nil"/>
            </w:tcBorders>
            <w:vAlign w:val="center"/>
          </w:tcPr>
          <w:p w14:paraId="752D6156" w14:textId="77777777" w:rsidR="00DB1B2D" w:rsidRDefault="00DB1B2D" w:rsidP="005A5736">
            <w:pPr>
              <w:spacing w:after="0" w:line="240" w:lineRule="auto"/>
              <w:jc w:val="both"/>
              <w:rPr>
                <w:rFonts w:cs="Arial"/>
                <w:b/>
                <w:bCs/>
                <w:sz w:val="20"/>
                <w:szCs w:val="20"/>
              </w:rPr>
            </w:pPr>
          </w:p>
          <w:p w14:paraId="7FC0216C" w14:textId="7039D1AA" w:rsidR="00257689" w:rsidRPr="008A4B6D" w:rsidRDefault="00257689" w:rsidP="005A5736">
            <w:pPr>
              <w:spacing w:after="0" w:line="240" w:lineRule="auto"/>
              <w:jc w:val="both"/>
              <w:rPr>
                <w:rFonts w:cs="Arial"/>
                <w:sz w:val="20"/>
                <w:szCs w:val="20"/>
              </w:rPr>
            </w:pPr>
            <w:r w:rsidRPr="008A4B6D">
              <w:rPr>
                <w:rFonts w:cs="Arial"/>
                <w:b/>
                <w:bCs/>
                <w:sz w:val="20"/>
                <w:szCs w:val="20"/>
              </w:rPr>
              <w:t>Legend: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1"/>
              <w:gridCol w:w="2835"/>
              <w:gridCol w:w="2880"/>
            </w:tblGrid>
            <w:tr w:rsidR="00257689" w:rsidRPr="008A4B6D" w14:paraId="343BE01F" w14:textId="77777777" w:rsidTr="00BB7F9D">
              <w:tc>
                <w:tcPr>
                  <w:tcW w:w="5245" w:type="dxa"/>
                </w:tcPr>
                <w:p w14:paraId="08CF24DF" w14:textId="77777777" w:rsidR="00257689" w:rsidRPr="008A4B6D" w:rsidRDefault="00257689" w:rsidP="005A5736">
                  <w:pPr>
                    <w:jc w:val="both"/>
                    <w:rPr>
                      <w:rFonts w:cs="Arial"/>
                      <w:sz w:val="20"/>
                      <w:szCs w:val="20"/>
                    </w:rPr>
                  </w:pPr>
                  <w:r w:rsidRPr="008A4B6D">
                    <w:rPr>
                      <w:rFonts w:cs="Arial"/>
                      <w:sz w:val="20"/>
                      <w:szCs w:val="20"/>
                    </w:rPr>
                    <w:t>(1) Positive attitude to violence</w:t>
                  </w:r>
                </w:p>
                <w:p w14:paraId="0DC6436D" w14:textId="77777777" w:rsidR="00257689" w:rsidRPr="008A4B6D" w:rsidRDefault="00257689" w:rsidP="005A5736">
                  <w:pPr>
                    <w:rPr>
                      <w:rFonts w:cs="Arial"/>
                      <w:sz w:val="20"/>
                      <w:szCs w:val="20"/>
                    </w:rPr>
                  </w:pPr>
                  <w:r w:rsidRPr="008A4B6D">
                    <w:rPr>
                      <w:rFonts w:cs="Arial"/>
                      <w:sz w:val="20"/>
                      <w:szCs w:val="20"/>
                    </w:rPr>
                    <w:t>(2) Self-control</w:t>
                  </w:r>
                </w:p>
                <w:p w14:paraId="0A1559DC" w14:textId="77777777" w:rsidR="00257689" w:rsidRPr="008A4B6D" w:rsidRDefault="00257689" w:rsidP="005A5736">
                  <w:pPr>
                    <w:rPr>
                      <w:rFonts w:cs="Arial"/>
                      <w:sz w:val="20"/>
                      <w:szCs w:val="20"/>
                    </w:rPr>
                  </w:pPr>
                  <w:r w:rsidRPr="008A4B6D">
                    <w:rPr>
                      <w:rFonts w:cs="Arial"/>
                      <w:sz w:val="20"/>
                      <w:szCs w:val="20"/>
                    </w:rPr>
                    <w:t>(3) Social bonds/control (parents, school)</w:t>
                  </w:r>
                </w:p>
                <w:p w14:paraId="7024F54E" w14:textId="77777777" w:rsidR="00257689" w:rsidRPr="008A4B6D" w:rsidRDefault="00257689" w:rsidP="005A5736">
                  <w:pPr>
                    <w:rPr>
                      <w:rFonts w:cs="Arial"/>
                      <w:sz w:val="20"/>
                      <w:szCs w:val="20"/>
                    </w:rPr>
                  </w:pPr>
                  <w:r w:rsidRPr="008A4B6D">
                    <w:rPr>
                      <w:rFonts w:cs="Arial"/>
                      <w:sz w:val="20"/>
                      <w:szCs w:val="20"/>
                    </w:rPr>
                    <w:t>(4) Social learning (peers, subculture)</w:t>
                  </w:r>
                </w:p>
                <w:p w14:paraId="54E3ADDE" w14:textId="77777777" w:rsidR="00257689" w:rsidRPr="008A4B6D" w:rsidRDefault="00257689" w:rsidP="005A5736">
                  <w:pPr>
                    <w:rPr>
                      <w:rFonts w:cs="Arial"/>
                      <w:sz w:val="20"/>
                      <w:szCs w:val="20"/>
                    </w:rPr>
                  </w:pPr>
                  <w:r w:rsidRPr="008A4B6D">
                    <w:rPr>
                      <w:rFonts w:cs="Arial"/>
                      <w:sz w:val="20"/>
                      <w:szCs w:val="20"/>
                    </w:rPr>
                    <w:t>(5) Opportunity and routine activity (computer, gaming, time online, piracy)</w:t>
                  </w:r>
                </w:p>
              </w:tc>
              <w:tc>
                <w:tcPr>
                  <w:tcW w:w="4053" w:type="dxa"/>
                </w:tcPr>
                <w:p w14:paraId="3D91F324" w14:textId="77777777" w:rsidR="00257689" w:rsidRPr="008A4B6D" w:rsidRDefault="00257689" w:rsidP="005A5736">
                  <w:pPr>
                    <w:rPr>
                      <w:rFonts w:cs="Arial"/>
                      <w:sz w:val="20"/>
                      <w:szCs w:val="20"/>
                    </w:rPr>
                  </w:pPr>
                  <w:r w:rsidRPr="008A4B6D">
                    <w:rPr>
                      <w:rFonts w:cs="Arial"/>
                      <w:sz w:val="20"/>
                      <w:szCs w:val="20"/>
                    </w:rPr>
                    <w:t>(6) Environment (neighbourhood)</w:t>
                  </w:r>
                </w:p>
                <w:p w14:paraId="23298F96" w14:textId="77777777" w:rsidR="00257689" w:rsidRPr="008A4B6D" w:rsidRDefault="00257689" w:rsidP="005A5736">
                  <w:pPr>
                    <w:rPr>
                      <w:rFonts w:cs="Arial"/>
                      <w:sz w:val="20"/>
                      <w:szCs w:val="20"/>
                    </w:rPr>
                  </w:pPr>
                  <w:r w:rsidRPr="008A4B6D">
                    <w:rPr>
                      <w:rFonts w:cs="Arial"/>
                      <w:sz w:val="20"/>
                      <w:szCs w:val="20"/>
                    </w:rPr>
                    <w:t>(7) Gender</w:t>
                  </w:r>
                </w:p>
                <w:p w14:paraId="0C76295D" w14:textId="77777777" w:rsidR="00257689" w:rsidRPr="008A4B6D" w:rsidRDefault="00257689" w:rsidP="005A5736">
                  <w:pPr>
                    <w:rPr>
                      <w:rFonts w:cs="Arial"/>
                      <w:sz w:val="20"/>
                      <w:szCs w:val="20"/>
                    </w:rPr>
                  </w:pPr>
                  <w:r w:rsidRPr="008A4B6D">
                    <w:rPr>
                      <w:rFonts w:cs="Arial"/>
                      <w:sz w:val="20"/>
                      <w:szCs w:val="20"/>
                    </w:rPr>
                    <w:t>(8) Grade/tech knowledge</w:t>
                  </w:r>
                </w:p>
                <w:p w14:paraId="2C1D8D48" w14:textId="77777777" w:rsidR="00257689" w:rsidRPr="008A4B6D" w:rsidRDefault="00257689" w:rsidP="005A5736">
                  <w:pPr>
                    <w:rPr>
                      <w:rFonts w:cs="Arial"/>
                      <w:sz w:val="20"/>
                      <w:szCs w:val="20"/>
                    </w:rPr>
                  </w:pPr>
                  <w:r w:rsidRPr="008A4B6D">
                    <w:rPr>
                      <w:rFonts w:cs="Arial"/>
                      <w:sz w:val="20"/>
                      <w:szCs w:val="20"/>
                    </w:rPr>
                    <w:t>(9) Online/offline crime correlation</w:t>
                  </w:r>
                </w:p>
              </w:tc>
              <w:tc>
                <w:tcPr>
                  <w:tcW w:w="4650" w:type="dxa"/>
                </w:tcPr>
                <w:p w14:paraId="04C1DB5A" w14:textId="77777777" w:rsidR="00257689" w:rsidRPr="008A4B6D" w:rsidRDefault="00257689" w:rsidP="005A5736">
                  <w:pPr>
                    <w:jc w:val="both"/>
                    <w:rPr>
                      <w:rFonts w:cs="Arial"/>
                      <w:sz w:val="20"/>
                      <w:szCs w:val="20"/>
                    </w:rPr>
                  </w:pPr>
                  <w:r w:rsidRPr="00910B85">
                    <w:rPr>
                      <w:rFonts w:cs="Arial"/>
                      <w:sz w:val="20"/>
                      <w:szCs w:val="20"/>
                    </w:rPr>
                    <w:t xml:space="preserve">“+” </w:t>
                  </w:r>
                  <w:r w:rsidRPr="008A4B6D">
                    <w:rPr>
                      <w:rFonts w:cs="Arial"/>
                      <w:sz w:val="20"/>
                      <w:szCs w:val="20"/>
                    </w:rPr>
                    <w:t>– the paper supports motivation as significant.</w:t>
                  </w:r>
                </w:p>
                <w:p w14:paraId="1C08B728" w14:textId="77777777" w:rsidR="00257689" w:rsidRPr="008A4B6D" w:rsidRDefault="00257689" w:rsidP="005A5736">
                  <w:pPr>
                    <w:jc w:val="both"/>
                    <w:rPr>
                      <w:rFonts w:cs="Arial"/>
                      <w:sz w:val="20"/>
                      <w:szCs w:val="20"/>
                    </w:rPr>
                  </w:pPr>
                </w:p>
                <w:p w14:paraId="15673A7F" w14:textId="77777777" w:rsidR="00257689" w:rsidRPr="008A4B6D" w:rsidRDefault="00257689" w:rsidP="005A5736">
                  <w:pPr>
                    <w:rPr>
                      <w:rFonts w:cs="Arial"/>
                      <w:sz w:val="20"/>
                      <w:szCs w:val="20"/>
                    </w:rPr>
                  </w:pPr>
                  <w:r w:rsidRPr="00910B85">
                    <w:rPr>
                      <w:rFonts w:cs="Arial"/>
                      <w:sz w:val="20"/>
                      <w:szCs w:val="20"/>
                    </w:rPr>
                    <w:t>“-”</w:t>
                  </w:r>
                  <w:r w:rsidRPr="008A4B6D">
                    <w:rPr>
                      <w:rFonts w:cs="Arial"/>
                      <w:sz w:val="20"/>
                      <w:szCs w:val="20"/>
                    </w:rPr>
                    <w:t xml:space="preserve"> – the paper degrades or does not support motivation as significant.</w:t>
                  </w:r>
                </w:p>
              </w:tc>
            </w:tr>
          </w:tbl>
          <w:p w14:paraId="7811D1C3" w14:textId="77777777" w:rsidR="00257689" w:rsidRPr="008A4B6D" w:rsidRDefault="00257689" w:rsidP="005A5736">
            <w:pPr>
              <w:spacing w:after="0" w:line="240" w:lineRule="auto"/>
              <w:jc w:val="center"/>
              <w:rPr>
                <w:rFonts w:cs="Arial"/>
                <w:sz w:val="20"/>
                <w:szCs w:val="20"/>
              </w:rPr>
            </w:pPr>
          </w:p>
        </w:tc>
      </w:tr>
    </w:tbl>
    <w:p w14:paraId="170349C1" w14:textId="77777777" w:rsidR="00257689" w:rsidRPr="00CC5E84" w:rsidRDefault="00257689" w:rsidP="00CC5E84">
      <w:pPr>
        <w:pStyle w:val="APAReference"/>
        <w:spacing w:line="276" w:lineRule="auto"/>
        <w:rPr>
          <w:rFonts w:ascii="Sylfaen" w:hAnsi="Sylfaen" w:cs="Arial"/>
          <w:sz w:val="22"/>
          <w:szCs w:val="22"/>
        </w:rPr>
      </w:pPr>
    </w:p>
    <w:p w14:paraId="1C19293F" w14:textId="05E9CF12" w:rsidR="00257689" w:rsidRPr="00DB1B2D" w:rsidRDefault="00257689" w:rsidP="00DB1B2D">
      <w:pPr>
        <w:pStyle w:val="Heading3"/>
        <w:rPr>
          <w:rFonts w:cs="Arial"/>
        </w:rPr>
      </w:pPr>
      <w:r w:rsidRPr="00CC5E84">
        <w:rPr>
          <w:rFonts w:cs="Arial"/>
          <w:sz w:val="22"/>
          <w:szCs w:val="22"/>
        </w:rPr>
        <w:br w:type="page"/>
      </w:r>
      <w:r w:rsidRPr="00CC5E84">
        <w:lastRenderedPageBreak/>
        <w:t>Appendix C</w:t>
      </w:r>
    </w:p>
    <w:p w14:paraId="2DFEDAA6" w14:textId="1D499309" w:rsidR="009C2621" w:rsidRDefault="009C2621" w:rsidP="009C2621">
      <w:pPr>
        <w:pStyle w:val="Caption"/>
        <w:keepNext/>
      </w:pPr>
      <w:r>
        <w:t xml:space="preserve">Table </w:t>
      </w:r>
      <w:r>
        <w:fldChar w:fldCharType="begin"/>
      </w:r>
      <w:r>
        <w:instrText xml:space="preserve"> SEQ Table \* ARABIC </w:instrText>
      </w:r>
      <w:r>
        <w:fldChar w:fldCharType="separate"/>
      </w:r>
      <w:r>
        <w:rPr>
          <w:noProof/>
        </w:rPr>
        <w:t>3</w:t>
      </w:r>
      <w:r>
        <w:fldChar w:fldCharType="end"/>
      </w:r>
      <w:r>
        <w:t xml:space="preserve"> - Identified themes of motivations for hacking</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4"/>
        <w:gridCol w:w="1307"/>
        <w:gridCol w:w="9"/>
        <w:gridCol w:w="3587"/>
        <w:gridCol w:w="490"/>
        <w:gridCol w:w="2620"/>
      </w:tblGrid>
      <w:tr w:rsidR="00305011" w:rsidRPr="008A4B6D" w14:paraId="1B3C98B8" w14:textId="77777777" w:rsidTr="00F204C1">
        <w:tc>
          <w:tcPr>
            <w:tcW w:w="561" w:type="pct"/>
            <w:shd w:val="clear" w:color="auto" w:fill="B7B7B7"/>
            <w:tcMar>
              <w:top w:w="30" w:type="dxa"/>
              <w:left w:w="45" w:type="dxa"/>
              <w:bottom w:w="30" w:type="dxa"/>
              <w:right w:w="45" w:type="dxa"/>
            </w:tcMar>
            <w:vAlign w:val="center"/>
            <w:hideMark/>
          </w:tcPr>
          <w:p w14:paraId="2BA0AE1E" w14:textId="77777777" w:rsidR="00257689" w:rsidRPr="008A4B6D" w:rsidRDefault="00257689" w:rsidP="00DB1B2D">
            <w:pPr>
              <w:spacing w:after="0" w:line="240" w:lineRule="auto"/>
              <w:jc w:val="center"/>
              <w:rPr>
                <w:rFonts w:cs="Arial"/>
                <w:b/>
                <w:bCs/>
                <w:sz w:val="20"/>
                <w:szCs w:val="20"/>
              </w:rPr>
            </w:pPr>
            <w:r w:rsidRPr="008A4B6D">
              <w:rPr>
                <w:rFonts w:cs="Arial"/>
                <w:b/>
                <w:bCs/>
                <w:sz w:val="20"/>
                <w:szCs w:val="20"/>
              </w:rPr>
              <w:t>Theme</w:t>
            </w:r>
          </w:p>
        </w:tc>
        <w:tc>
          <w:tcPr>
            <w:tcW w:w="729" w:type="pct"/>
            <w:gridSpan w:val="2"/>
            <w:shd w:val="clear" w:color="auto" w:fill="B7B7B7"/>
            <w:tcMar>
              <w:top w:w="30" w:type="dxa"/>
              <w:left w:w="45" w:type="dxa"/>
              <w:bottom w:w="30" w:type="dxa"/>
              <w:right w:w="45" w:type="dxa"/>
            </w:tcMar>
            <w:vAlign w:val="center"/>
            <w:hideMark/>
          </w:tcPr>
          <w:p w14:paraId="4E448C0A" w14:textId="77777777" w:rsidR="00257689" w:rsidRPr="008A4B6D" w:rsidRDefault="00257689" w:rsidP="00DB1B2D">
            <w:pPr>
              <w:spacing w:after="0" w:line="240" w:lineRule="auto"/>
              <w:jc w:val="center"/>
              <w:rPr>
                <w:rFonts w:cs="Arial"/>
                <w:b/>
                <w:bCs/>
                <w:sz w:val="20"/>
                <w:szCs w:val="20"/>
              </w:rPr>
            </w:pPr>
            <w:r w:rsidRPr="008A4B6D">
              <w:rPr>
                <w:rFonts w:cs="Arial"/>
                <w:b/>
                <w:bCs/>
                <w:sz w:val="20"/>
                <w:szCs w:val="20"/>
              </w:rPr>
              <w:t>Author(s)</w:t>
            </w:r>
          </w:p>
        </w:tc>
        <w:tc>
          <w:tcPr>
            <w:tcW w:w="1987" w:type="pct"/>
            <w:shd w:val="clear" w:color="auto" w:fill="B7B7B7"/>
            <w:tcMar>
              <w:top w:w="30" w:type="dxa"/>
              <w:left w:w="45" w:type="dxa"/>
              <w:bottom w:w="30" w:type="dxa"/>
              <w:right w:w="45" w:type="dxa"/>
            </w:tcMar>
            <w:vAlign w:val="center"/>
            <w:hideMark/>
          </w:tcPr>
          <w:p w14:paraId="36BD3EFD" w14:textId="77777777" w:rsidR="00257689" w:rsidRPr="008A4B6D" w:rsidRDefault="00257689" w:rsidP="00DB1B2D">
            <w:pPr>
              <w:spacing w:after="0" w:line="240" w:lineRule="auto"/>
              <w:jc w:val="center"/>
              <w:rPr>
                <w:rFonts w:cs="Arial"/>
                <w:b/>
                <w:bCs/>
                <w:sz w:val="20"/>
                <w:szCs w:val="20"/>
              </w:rPr>
            </w:pPr>
            <w:r w:rsidRPr="008A4B6D">
              <w:rPr>
                <w:rFonts w:cs="Arial"/>
                <w:b/>
                <w:bCs/>
                <w:sz w:val="20"/>
                <w:szCs w:val="20"/>
              </w:rPr>
              <w:t>Articles</w:t>
            </w:r>
          </w:p>
        </w:tc>
        <w:tc>
          <w:tcPr>
            <w:tcW w:w="271" w:type="pct"/>
            <w:shd w:val="clear" w:color="auto" w:fill="B7B7B7"/>
            <w:tcMar>
              <w:top w:w="30" w:type="dxa"/>
              <w:left w:w="45" w:type="dxa"/>
              <w:bottom w:w="30" w:type="dxa"/>
              <w:right w:w="45" w:type="dxa"/>
            </w:tcMar>
            <w:vAlign w:val="center"/>
            <w:hideMark/>
          </w:tcPr>
          <w:p w14:paraId="15264435" w14:textId="77777777" w:rsidR="00257689" w:rsidRPr="008A4B6D" w:rsidRDefault="00257689" w:rsidP="00DB1B2D">
            <w:pPr>
              <w:spacing w:after="0" w:line="240" w:lineRule="auto"/>
              <w:jc w:val="center"/>
              <w:rPr>
                <w:rFonts w:cs="Arial"/>
                <w:b/>
                <w:bCs/>
                <w:sz w:val="20"/>
                <w:szCs w:val="20"/>
              </w:rPr>
            </w:pPr>
            <w:r w:rsidRPr="008A4B6D">
              <w:rPr>
                <w:rFonts w:cs="Arial"/>
                <w:b/>
                <w:bCs/>
                <w:sz w:val="20"/>
                <w:szCs w:val="20"/>
              </w:rPr>
              <w:t>Year</w:t>
            </w:r>
          </w:p>
        </w:tc>
        <w:tc>
          <w:tcPr>
            <w:tcW w:w="1451" w:type="pct"/>
            <w:shd w:val="clear" w:color="auto" w:fill="B7B7B7"/>
            <w:tcMar>
              <w:top w:w="30" w:type="dxa"/>
              <w:left w:w="45" w:type="dxa"/>
              <w:bottom w:w="30" w:type="dxa"/>
              <w:right w:w="45" w:type="dxa"/>
            </w:tcMar>
            <w:vAlign w:val="center"/>
            <w:hideMark/>
          </w:tcPr>
          <w:p w14:paraId="781365FD" w14:textId="77777777" w:rsidR="00257689" w:rsidRPr="008A4B6D" w:rsidRDefault="00257689" w:rsidP="00DB1B2D">
            <w:pPr>
              <w:spacing w:after="0" w:line="240" w:lineRule="auto"/>
              <w:jc w:val="center"/>
              <w:rPr>
                <w:rFonts w:cs="Arial"/>
                <w:b/>
                <w:bCs/>
                <w:sz w:val="20"/>
                <w:szCs w:val="20"/>
              </w:rPr>
            </w:pPr>
            <w:r w:rsidRPr="008A4B6D">
              <w:rPr>
                <w:rFonts w:cs="Arial"/>
                <w:b/>
                <w:bCs/>
                <w:sz w:val="20"/>
                <w:szCs w:val="20"/>
              </w:rPr>
              <w:t>DOI</w:t>
            </w:r>
          </w:p>
        </w:tc>
      </w:tr>
      <w:tr w:rsidR="00305011" w:rsidRPr="008A4B6D" w14:paraId="18EE45CE" w14:textId="77777777" w:rsidTr="00F204C1">
        <w:tc>
          <w:tcPr>
            <w:tcW w:w="561" w:type="pct"/>
            <w:vMerge w:val="restart"/>
            <w:shd w:val="clear" w:color="auto" w:fill="FFFFFF" w:themeFill="background1"/>
            <w:tcMar>
              <w:top w:w="30" w:type="dxa"/>
              <w:left w:w="45" w:type="dxa"/>
              <w:bottom w:w="30" w:type="dxa"/>
              <w:right w:w="45" w:type="dxa"/>
            </w:tcMar>
            <w:vAlign w:val="center"/>
            <w:hideMark/>
          </w:tcPr>
          <w:p w14:paraId="7EBB7D6B" w14:textId="77777777" w:rsidR="00257689" w:rsidRPr="008A4B6D" w:rsidRDefault="00257689" w:rsidP="00DB1B2D">
            <w:pPr>
              <w:spacing w:after="0" w:line="240" w:lineRule="auto"/>
              <w:rPr>
                <w:rFonts w:cs="Arial"/>
                <w:sz w:val="20"/>
                <w:szCs w:val="20"/>
              </w:rPr>
            </w:pPr>
            <w:r w:rsidRPr="008A4B6D">
              <w:rPr>
                <w:rFonts w:cs="Arial"/>
                <w:sz w:val="20"/>
                <w:szCs w:val="20"/>
              </w:rPr>
              <w:t>Internal motivators</w:t>
            </w:r>
          </w:p>
        </w:tc>
        <w:tc>
          <w:tcPr>
            <w:tcW w:w="729" w:type="pct"/>
            <w:gridSpan w:val="2"/>
            <w:shd w:val="clear" w:color="auto" w:fill="FFFFFF" w:themeFill="background1"/>
            <w:tcMar>
              <w:top w:w="30" w:type="dxa"/>
              <w:left w:w="45" w:type="dxa"/>
              <w:bottom w:w="30" w:type="dxa"/>
              <w:right w:w="45" w:type="dxa"/>
            </w:tcMar>
            <w:vAlign w:val="center"/>
            <w:hideMark/>
          </w:tcPr>
          <w:p w14:paraId="79C76302" w14:textId="77777777" w:rsidR="00257689" w:rsidRPr="008A4B6D" w:rsidRDefault="00257689" w:rsidP="00DB1B2D">
            <w:pPr>
              <w:spacing w:after="0" w:line="240" w:lineRule="auto"/>
              <w:rPr>
                <w:rFonts w:cs="Arial"/>
                <w:sz w:val="20"/>
                <w:szCs w:val="20"/>
              </w:rPr>
            </w:pPr>
            <w:r w:rsidRPr="008A4B6D">
              <w:rPr>
                <w:rFonts w:cs="Arial"/>
                <w:sz w:val="20"/>
                <w:szCs w:val="20"/>
              </w:rPr>
              <w:t>Aiken et al.</w:t>
            </w:r>
          </w:p>
        </w:tc>
        <w:tc>
          <w:tcPr>
            <w:tcW w:w="1987" w:type="pct"/>
            <w:shd w:val="clear" w:color="auto" w:fill="FFFFFF" w:themeFill="background1"/>
            <w:tcMar>
              <w:top w:w="30" w:type="dxa"/>
              <w:left w:w="45" w:type="dxa"/>
              <w:bottom w:w="30" w:type="dxa"/>
              <w:right w:w="45" w:type="dxa"/>
            </w:tcMar>
            <w:vAlign w:val="center"/>
            <w:hideMark/>
          </w:tcPr>
          <w:p w14:paraId="712E4E91" w14:textId="77777777" w:rsidR="00257689" w:rsidRPr="008A4B6D" w:rsidRDefault="00257689" w:rsidP="00DB1B2D">
            <w:pPr>
              <w:spacing w:after="0" w:line="240" w:lineRule="auto"/>
              <w:rPr>
                <w:rFonts w:cs="Arial"/>
                <w:sz w:val="20"/>
                <w:szCs w:val="20"/>
              </w:rPr>
            </w:pPr>
            <w:r w:rsidRPr="008A4B6D">
              <w:rPr>
                <w:rFonts w:cs="Arial"/>
                <w:sz w:val="20"/>
                <w:szCs w:val="20"/>
              </w:rPr>
              <w:t>Intention to Hack? Applying the Theory of Planned Behaviour to Youth Criminal Hacking</w:t>
            </w:r>
          </w:p>
        </w:tc>
        <w:tc>
          <w:tcPr>
            <w:tcW w:w="271" w:type="pct"/>
            <w:shd w:val="clear" w:color="auto" w:fill="FFFFFF" w:themeFill="background1"/>
            <w:tcMar>
              <w:top w:w="30" w:type="dxa"/>
              <w:left w:w="45" w:type="dxa"/>
              <w:bottom w:w="30" w:type="dxa"/>
              <w:right w:w="45" w:type="dxa"/>
            </w:tcMar>
            <w:vAlign w:val="center"/>
            <w:hideMark/>
          </w:tcPr>
          <w:p w14:paraId="188900D9" w14:textId="77777777" w:rsidR="00257689" w:rsidRPr="008A4B6D" w:rsidRDefault="00257689" w:rsidP="00DB1B2D">
            <w:pPr>
              <w:spacing w:after="0" w:line="240" w:lineRule="auto"/>
              <w:jc w:val="center"/>
              <w:rPr>
                <w:rFonts w:cs="Arial"/>
                <w:sz w:val="20"/>
                <w:szCs w:val="20"/>
              </w:rPr>
            </w:pPr>
            <w:r w:rsidRPr="008A4B6D">
              <w:rPr>
                <w:rFonts w:cs="Arial"/>
                <w:sz w:val="20"/>
                <w:szCs w:val="20"/>
              </w:rPr>
              <w:t>2024</w:t>
            </w:r>
          </w:p>
        </w:tc>
        <w:tc>
          <w:tcPr>
            <w:tcW w:w="1451" w:type="pct"/>
            <w:shd w:val="clear" w:color="auto" w:fill="FFFFFF" w:themeFill="background1"/>
            <w:tcMar>
              <w:top w:w="30" w:type="dxa"/>
              <w:left w:w="45" w:type="dxa"/>
              <w:bottom w:w="30" w:type="dxa"/>
              <w:right w:w="45" w:type="dxa"/>
            </w:tcMar>
            <w:vAlign w:val="center"/>
            <w:hideMark/>
          </w:tcPr>
          <w:p w14:paraId="5AF23529" w14:textId="77777777" w:rsidR="00257689" w:rsidRPr="008A4B6D" w:rsidRDefault="00257689" w:rsidP="00DB1B2D">
            <w:pPr>
              <w:spacing w:after="0" w:line="240" w:lineRule="auto"/>
              <w:jc w:val="both"/>
              <w:rPr>
                <w:rFonts w:cs="Arial"/>
                <w:sz w:val="20"/>
                <w:szCs w:val="20"/>
              </w:rPr>
            </w:pPr>
            <w:r w:rsidRPr="008A4B6D">
              <w:rPr>
                <w:rFonts w:cs="Arial"/>
                <w:sz w:val="20"/>
                <w:szCs w:val="20"/>
              </w:rPr>
              <w:t>10.3390/forensicsci4010003</w:t>
            </w:r>
          </w:p>
        </w:tc>
      </w:tr>
      <w:tr w:rsidR="00305011" w:rsidRPr="008A4B6D" w14:paraId="7B633801" w14:textId="77777777" w:rsidTr="00F204C1">
        <w:tc>
          <w:tcPr>
            <w:tcW w:w="561" w:type="pct"/>
            <w:vMerge/>
            <w:shd w:val="clear" w:color="auto" w:fill="FFFFFF" w:themeFill="background1"/>
            <w:vAlign w:val="center"/>
            <w:hideMark/>
          </w:tcPr>
          <w:p w14:paraId="07F8B67F" w14:textId="77777777" w:rsidR="00257689" w:rsidRPr="008A4B6D" w:rsidRDefault="00257689" w:rsidP="00DB1B2D">
            <w:pPr>
              <w:spacing w:after="0" w:line="240" w:lineRule="auto"/>
              <w:jc w:val="both"/>
              <w:rPr>
                <w:rFonts w:cs="Arial"/>
                <w:sz w:val="20"/>
                <w:szCs w:val="20"/>
              </w:rPr>
            </w:pPr>
          </w:p>
        </w:tc>
        <w:tc>
          <w:tcPr>
            <w:tcW w:w="729" w:type="pct"/>
            <w:gridSpan w:val="2"/>
            <w:shd w:val="clear" w:color="auto" w:fill="FFFFFF" w:themeFill="background1"/>
            <w:tcMar>
              <w:top w:w="30" w:type="dxa"/>
              <w:left w:w="45" w:type="dxa"/>
              <w:bottom w:w="30" w:type="dxa"/>
              <w:right w:w="45" w:type="dxa"/>
            </w:tcMar>
            <w:vAlign w:val="center"/>
            <w:hideMark/>
          </w:tcPr>
          <w:p w14:paraId="6B7DE4A0" w14:textId="77777777" w:rsidR="00257689" w:rsidRPr="008A4B6D" w:rsidRDefault="00257689" w:rsidP="00DB1B2D">
            <w:pPr>
              <w:spacing w:after="0" w:line="240" w:lineRule="auto"/>
              <w:rPr>
                <w:rFonts w:cs="Arial"/>
                <w:sz w:val="20"/>
                <w:szCs w:val="20"/>
              </w:rPr>
            </w:pPr>
            <w:r w:rsidRPr="008A4B6D">
              <w:rPr>
                <w:rFonts w:cs="Arial"/>
                <w:sz w:val="20"/>
                <w:szCs w:val="20"/>
              </w:rPr>
              <w:t>Fox and Holt</w:t>
            </w:r>
          </w:p>
        </w:tc>
        <w:tc>
          <w:tcPr>
            <w:tcW w:w="1987" w:type="pct"/>
            <w:shd w:val="clear" w:color="auto" w:fill="FFFFFF" w:themeFill="background1"/>
            <w:tcMar>
              <w:top w:w="30" w:type="dxa"/>
              <w:left w:w="45" w:type="dxa"/>
              <w:bottom w:w="30" w:type="dxa"/>
              <w:right w:w="45" w:type="dxa"/>
            </w:tcMar>
            <w:vAlign w:val="center"/>
            <w:hideMark/>
          </w:tcPr>
          <w:p w14:paraId="57B8BAB2" w14:textId="77777777" w:rsidR="00257689" w:rsidRPr="008A4B6D" w:rsidRDefault="00257689" w:rsidP="00DB1B2D">
            <w:pPr>
              <w:spacing w:after="0" w:line="240" w:lineRule="auto"/>
              <w:rPr>
                <w:rFonts w:cs="Arial"/>
                <w:sz w:val="20"/>
                <w:szCs w:val="20"/>
              </w:rPr>
            </w:pPr>
            <w:r w:rsidRPr="008A4B6D">
              <w:rPr>
                <w:rFonts w:cs="Arial"/>
                <w:sz w:val="20"/>
                <w:szCs w:val="20"/>
              </w:rPr>
              <w:t xml:space="preserve">Use of a </w:t>
            </w:r>
            <w:proofErr w:type="spellStart"/>
            <w:r w:rsidRPr="008A4B6D">
              <w:rPr>
                <w:rFonts w:cs="Arial"/>
                <w:sz w:val="20"/>
                <w:szCs w:val="20"/>
              </w:rPr>
              <w:t>Multitheoretic</w:t>
            </w:r>
            <w:proofErr w:type="spellEnd"/>
            <w:r w:rsidRPr="008A4B6D">
              <w:rPr>
                <w:rFonts w:cs="Arial"/>
                <w:sz w:val="20"/>
                <w:szCs w:val="20"/>
              </w:rPr>
              <w:t xml:space="preserve"> Model to Understand and Classify Juvenile Computer Hacking </w:t>
            </w:r>
            <w:proofErr w:type="spellStart"/>
            <w:r w:rsidRPr="008A4B6D">
              <w:rPr>
                <w:rFonts w:cs="Arial"/>
                <w:sz w:val="20"/>
                <w:szCs w:val="20"/>
              </w:rPr>
              <w:t>Behavior</w:t>
            </w:r>
            <w:proofErr w:type="spellEnd"/>
          </w:p>
        </w:tc>
        <w:tc>
          <w:tcPr>
            <w:tcW w:w="271" w:type="pct"/>
            <w:shd w:val="clear" w:color="auto" w:fill="FFFFFF" w:themeFill="background1"/>
            <w:tcMar>
              <w:top w:w="30" w:type="dxa"/>
              <w:left w:w="45" w:type="dxa"/>
              <w:bottom w:w="30" w:type="dxa"/>
              <w:right w:w="45" w:type="dxa"/>
            </w:tcMar>
            <w:vAlign w:val="center"/>
            <w:hideMark/>
          </w:tcPr>
          <w:p w14:paraId="64DF2025" w14:textId="77777777" w:rsidR="00257689" w:rsidRPr="008A4B6D" w:rsidRDefault="00257689" w:rsidP="00DB1B2D">
            <w:pPr>
              <w:spacing w:after="0" w:line="240" w:lineRule="auto"/>
              <w:jc w:val="center"/>
              <w:rPr>
                <w:rFonts w:cs="Arial"/>
                <w:sz w:val="20"/>
                <w:szCs w:val="20"/>
              </w:rPr>
            </w:pPr>
            <w:r w:rsidRPr="008A4B6D">
              <w:rPr>
                <w:rFonts w:cs="Arial"/>
                <w:sz w:val="20"/>
                <w:szCs w:val="20"/>
              </w:rPr>
              <w:t>2021</w:t>
            </w:r>
          </w:p>
        </w:tc>
        <w:tc>
          <w:tcPr>
            <w:tcW w:w="1451" w:type="pct"/>
            <w:shd w:val="clear" w:color="auto" w:fill="FFFFFF" w:themeFill="background1"/>
            <w:tcMar>
              <w:top w:w="30" w:type="dxa"/>
              <w:left w:w="45" w:type="dxa"/>
              <w:bottom w:w="30" w:type="dxa"/>
              <w:right w:w="45" w:type="dxa"/>
            </w:tcMar>
            <w:vAlign w:val="center"/>
            <w:hideMark/>
          </w:tcPr>
          <w:p w14:paraId="5EE11158" w14:textId="77777777" w:rsidR="00257689" w:rsidRPr="008A4B6D" w:rsidRDefault="00257689" w:rsidP="00DB1B2D">
            <w:pPr>
              <w:spacing w:after="0" w:line="240" w:lineRule="auto"/>
              <w:jc w:val="both"/>
              <w:rPr>
                <w:rFonts w:cs="Arial"/>
                <w:sz w:val="20"/>
                <w:szCs w:val="20"/>
              </w:rPr>
            </w:pPr>
            <w:r w:rsidRPr="008A4B6D">
              <w:rPr>
                <w:rFonts w:cs="Arial"/>
                <w:sz w:val="20"/>
                <w:szCs w:val="20"/>
              </w:rPr>
              <w:t>10.1177/0093854820969754</w:t>
            </w:r>
          </w:p>
        </w:tc>
      </w:tr>
      <w:tr w:rsidR="00305011" w:rsidRPr="008A4B6D" w14:paraId="73E294EE" w14:textId="77777777" w:rsidTr="00F204C1">
        <w:tc>
          <w:tcPr>
            <w:tcW w:w="561" w:type="pct"/>
            <w:vMerge/>
            <w:shd w:val="clear" w:color="auto" w:fill="FFFFFF" w:themeFill="background1"/>
            <w:vAlign w:val="center"/>
            <w:hideMark/>
          </w:tcPr>
          <w:p w14:paraId="286872CE" w14:textId="77777777" w:rsidR="00257689" w:rsidRPr="008A4B6D" w:rsidRDefault="00257689" w:rsidP="00DB1B2D">
            <w:pPr>
              <w:spacing w:after="0" w:line="240" w:lineRule="auto"/>
              <w:jc w:val="both"/>
              <w:rPr>
                <w:rFonts w:cs="Arial"/>
                <w:sz w:val="20"/>
                <w:szCs w:val="20"/>
              </w:rPr>
            </w:pPr>
          </w:p>
        </w:tc>
        <w:tc>
          <w:tcPr>
            <w:tcW w:w="729" w:type="pct"/>
            <w:gridSpan w:val="2"/>
            <w:shd w:val="clear" w:color="auto" w:fill="FFFFFF" w:themeFill="background1"/>
            <w:tcMar>
              <w:top w:w="30" w:type="dxa"/>
              <w:left w:w="45" w:type="dxa"/>
              <w:bottom w:w="30" w:type="dxa"/>
              <w:right w:w="45" w:type="dxa"/>
            </w:tcMar>
            <w:vAlign w:val="center"/>
            <w:hideMark/>
          </w:tcPr>
          <w:p w14:paraId="4A0906A7" w14:textId="77777777" w:rsidR="00257689" w:rsidRPr="008A4B6D" w:rsidRDefault="00257689" w:rsidP="00DB1B2D">
            <w:pPr>
              <w:spacing w:after="0" w:line="240" w:lineRule="auto"/>
              <w:rPr>
                <w:rFonts w:cs="Arial"/>
                <w:sz w:val="20"/>
                <w:szCs w:val="20"/>
              </w:rPr>
            </w:pPr>
            <w:r w:rsidRPr="008A4B6D">
              <w:rPr>
                <w:rFonts w:cs="Arial"/>
                <w:sz w:val="20"/>
                <w:szCs w:val="20"/>
              </w:rPr>
              <w:t>Guo and Wang</w:t>
            </w:r>
          </w:p>
        </w:tc>
        <w:tc>
          <w:tcPr>
            <w:tcW w:w="1987" w:type="pct"/>
            <w:shd w:val="clear" w:color="auto" w:fill="FFFFFF" w:themeFill="background1"/>
            <w:tcMar>
              <w:top w:w="30" w:type="dxa"/>
              <w:left w:w="45" w:type="dxa"/>
              <w:bottom w:w="30" w:type="dxa"/>
              <w:right w:w="45" w:type="dxa"/>
            </w:tcMar>
            <w:vAlign w:val="center"/>
            <w:hideMark/>
          </w:tcPr>
          <w:p w14:paraId="575108E3" w14:textId="77777777" w:rsidR="00257689" w:rsidRPr="008A4B6D" w:rsidRDefault="00257689" w:rsidP="00DB1B2D">
            <w:pPr>
              <w:spacing w:after="0" w:line="240" w:lineRule="auto"/>
              <w:rPr>
                <w:rFonts w:cs="Arial"/>
                <w:sz w:val="20"/>
                <w:szCs w:val="20"/>
              </w:rPr>
            </w:pPr>
            <w:r w:rsidRPr="008A4B6D">
              <w:rPr>
                <w:rFonts w:cs="Arial"/>
                <w:sz w:val="20"/>
                <w:szCs w:val="20"/>
              </w:rPr>
              <w:t>Investigating predictors of juvenile traditional and/or cyber offense using machine learning by constructing a decision support system</w:t>
            </w:r>
          </w:p>
        </w:tc>
        <w:tc>
          <w:tcPr>
            <w:tcW w:w="271" w:type="pct"/>
            <w:shd w:val="clear" w:color="auto" w:fill="FFFFFF" w:themeFill="background1"/>
            <w:tcMar>
              <w:top w:w="30" w:type="dxa"/>
              <w:left w:w="45" w:type="dxa"/>
              <w:bottom w:w="30" w:type="dxa"/>
              <w:right w:w="45" w:type="dxa"/>
            </w:tcMar>
            <w:vAlign w:val="center"/>
            <w:hideMark/>
          </w:tcPr>
          <w:p w14:paraId="5ACECC99" w14:textId="77777777" w:rsidR="00257689" w:rsidRPr="008A4B6D" w:rsidRDefault="00257689" w:rsidP="00DB1B2D">
            <w:pPr>
              <w:spacing w:after="0" w:line="240" w:lineRule="auto"/>
              <w:jc w:val="center"/>
              <w:rPr>
                <w:rFonts w:cs="Arial"/>
                <w:sz w:val="20"/>
                <w:szCs w:val="20"/>
              </w:rPr>
            </w:pPr>
            <w:r w:rsidRPr="008A4B6D">
              <w:rPr>
                <w:rFonts w:cs="Arial"/>
                <w:sz w:val="20"/>
                <w:szCs w:val="20"/>
              </w:rPr>
              <w:t>2024</w:t>
            </w:r>
          </w:p>
        </w:tc>
        <w:tc>
          <w:tcPr>
            <w:tcW w:w="1451" w:type="pct"/>
            <w:shd w:val="clear" w:color="auto" w:fill="FFFFFF" w:themeFill="background1"/>
            <w:tcMar>
              <w:top w:w="30" w:type="dxa"/>
              <w:left w:w="45" w:type="dxa"/>
              <w:bottom w:w="30" w:type="dxa"/>
              <w:right w:w="45" w:type="dxa"/>
            </w:tcMar>
            <w:vAlign w:val="center"/>
            <w:hideMark/>
          </w:tcPr>
          <w:p w14:paraId="4A8BE525" w14:textId="77777777" w:rsidR="00257689" w:rsidRPr="008A4B6D" w:rsidRDefault="00257689" w:rsidP="00DB1B2D">
            <w:pPr>
              <w:spacing w:after="0" w:line="240" w:lineRule="auto"/>
              <w:jc w:val="both"/>
              <w:rPr>
                <w:rFonts w:cs="Arial"/>
                <w:sz w:val="20"/>
                <w:szCs w:val="20"/>
              </w:rPr>
            </w:pPr>
            <w:r w:rsidRPr="008A4B6D">
              <w:rPr>
                <w:rFonts w:cs="Arial"/>
                <w:sz w:val="20"/>
                <w:szCs w:val="20"/>
              </w:rPr>
              <w:t>10.1016/j.chb.2023.108079</w:t>
            </w:r>
          </w:p>
        </w:tc>
      </w:tr>
      <w:tr w:rsidR="00305011" w:rsidRPr="008A4B6D" w14:paraId="6300B27F" w14:textId="77777777" w:rsidTr="00F204C1">
        <w:tc>
          <w:tcPr>
            <w:tcW w:w="561" w:type="pct"/>
            <w:vMerge/>
            <w:shd w:val="clear" w:color="auto" w:fill="FFFFFF" w:themeFill="background1"/>
            <w:vAlign w:val="center"/>
            <w:hideMark/>
          </w:tcPr>
          <w:p w14:paraId="56785C28" w14:textId="77777777" w:rsidR="00257689" w:rsidRPr="008A4B6D" w:rsidRDefault="00257689" w:rsidP="00DB1B2D">
            <w:pPr>
              <w:spacing w:after="0" w:line="240" w:lineRule="auto"/>
              <w:jc w:val="both"/>
              <w:rPr>
                <w:rFonts w:cs="Arial"/>
                <w:sz w:val="20"/>
                <w:szCs w:val="20"/>
              </w:rPr>
            </w:pPr>
          </w:p>
        </w:tc>
        <w:tc>
          <w:tcPr>
            <w:tcW w:w="729" w:type="pct"/>
            <w:gridSpan w:val="2"/>
            <w:shd w:val="clear" w:color="auto" w:fill="FFFFFF" w:themeFill="background1"/>
            <w:tcMar>
              <w:top w:w="30" w:type="dxa"/>
              <w:left w:w="45" w:type="dxa"/>
              <w:bottom w:w="30" w:type="dxa"/>
              <w:right w:w="45" w:type="dxa"/>
            </w:tcMar>
            <w:vAlign w:val="center"/>
            <w:hideMark/>
          </w:tcPr>
          <w:p w14:paraId="6274415F" w14:textId="77777777" w:rsidR="00257689" w:rsidRPr="008A4B6D" w:rsidRDefault="00257689" w:rsidP="00DB1B2D">
            <w:pPr>
              <w:spacing w:after="0" w:line="240" w:lineRule="auto"/>
              <w:rPr>
                <w:rFonts w:cs="Arial"/>
                <w:sz w:val="20"/>
                <w:szCs w:val="20"/>
              </w:rPr>
            </w:pPr>
            <w:r w:rsidRPr="008A4B6D">
              <w:rPr>
                <w:rFonts w:cs="Arial"/>
                <w:sz w:val="20"/>
                <w:szCs w:val="20"/>
              </w:rPr>
              <w:t>Holt et al.</w:t>
            </w:r>
          </w:p>
        </w:tc>
        <w:tc>
          <w:tcPr>
            <w:tcW w:w="1987" w:type="pct"/>
            <w:shd w:val="clear" w:color="auto" w:fill="FFFFFF" w:themeFill="background1"/>
            <w:tcMar>
              <w:top w:w="30" w:type="dxa"/>
              <w:left w:w="45" w:type="dxa"/>
              <w:bottom w:w="30" w:type="dxa"/>
              <w:right w:w="45" w:type="dxa"/>
            </w:tcMar>
            <w:vAlign w:val="center"/>
            <w:hideMark/>
          </w:tcPr>
          <w:p w14:paraId="20FCC75C" w14:textId="77777777" w:rsidR="00257689" w:rsidRPr="008A4B6D" w:rsidRDefault="00257689" w:rsidP="00DB1B2D">
            <w:pPr>
              <w:spacing w:after="0" w:line="240" w:lineRule="auto"/>
              <w:rPr>
                <w:rFonts w:cs="Arial"/>
                <w:sz w:val="20"/>
                <w:szCs w:val="20"/>
              </w:rPr>
            </w:pPr>
            <w:r w:rsidRPr="008A4B6D">
              <w:rPr>
                <w:rFonts w:cs="Arial"/>
                <w:sz w:val="20"/>
                <w:szCs w:val="20"/>
              </w:rPr>
              <w:t>Assessing the Role of Opportunity and Low Self-Control in Juvenile Hacking</w:t>
            </w:r>
          </w:p>
        </w:tc>
        <w:tc>
          <w:tcPr>
            <w:tcW w:w="271" w:type="pct"/>
            <w:shd w:val="clear" w:color="auto" w:fill="FFFFFF" w:themeFill="background1"/>
            <w:tcMar>
              <w:top w:w="30" w:type="dxa"/>
              <w:left w:w="45" w:type="dxa"/>
              <w:bottom w:w="30" w:type="dxa"/>
              <w:right w:w="45" w:type="dxa"/>
            </w:tcMar>
            <w:vAlign w:val="center"/>
            <w:hideMark/>
          </w:tcPr>
          <w:p w14:paraId="1C78D2D7" w14:textId="77777777" w:rsidR="00257689" w:rsidRPr="008A4B6D" w:rsidRDefault="00257689" w:rsidP="00DB1B2D">
            <w:pPr>
              <w:spacing w:after="0" w:line="240" w:lineRule="auto"/>
              <w:jc w:val="center"/>
              <w:rPr>
                <w:rFonts w:cs="Arial"/>
                <w:sz w:val="20"/>
                <w:szCs w:val="20"/>
              </w:rPr>
            </w:pPr>
            <w:r w:rsidRPr="008A4B6D">
              <w:rPr>
                <w:rFonts w:cs="Arial"/>
                <w:sz w:val="20"/>
                <w:szCs w:val="20"/>
              </w:rPr>
              <w:t>2021</w:t>
            </w:r>
          </w:p>
        </w:tc>
        <w:tc>
          <w:tcPr>
            <w:tcW w:w="1451" w:type="pct"/>
            <w:shd w:val="clear" w:color="auto" w:fill="FFFFFF" w:themeFill="background1"/>
            <w:tcMar>
              <w:top w:w="30" w:type="dxa"/>
              <w:left w:w="45" w:type="dxa"/>
              <w:bottom w:w="30" w:type="dxa"/>
              <w:right w:w="45" w:type="dxa"/>
            </w:tcMar>
            <w:vAlign w:val="center"/>
            <w:hideMark/>
          </w:tcPr>
          <w:p w14:paraId="623D4158" w14:textId="77777777" w:rsidR="00257689" w:rsidRPr="008A4B6D" w:rsidRDefault="00257689" w:rsidP="00DB1B2D">
            <w:pPr>
              <w:spacing w:after="0" w:line="240" w:lineRule="auto"/>
              <w:jc w:val="both"/>
              <w:rPr>
                <w:rFonts w:cs="Arial"/>
                <w:sz w:val="20"/>
                <w:szCs w:val="20"/>
              </w:rPr>
            </w:pPr>
            <w:r w:rsidRPr="008A4B6D">
              <w:rPr>
                <w:rFonts w:cs="Arial"/>
                <w:sz w:val="20"/>
                <w:szCs w:val="20"/>
              </w:rPr>
              <w:t>10.1177/0011128720978730</w:t>
            </w:r>
          </w:p>
        </w:tc>
      </w:tr>
      <w:tr w:rsidR="00305011" w:rsidRPr="008A4B6D" w14:paraId="7C9E7A6C" w14:textId="77777777" w:rsidTr="00F204C1">
        <w:tc>
          <w:tcPr>
            <w:tcW w:w="561" w:type="pct"/>
            <w:vMerge/>
            <w:shd w:val="clear" w:color="auto" w:fill="FFFFFF" w:themeFill="background1"/>
            <w:vAlign w:val="center"/>
            <w:hideMark/>
          </w:tcPr>
          <w:p w14:paraId="2CCC90B3" w14:textId="77777777" w:rsidR="00257689" w:rsidRPr="008A4B6D" w:rsidRDefault="00257689" w:rsidP="00DB1B2D">
            <w:pPr>
              <w:spacing w:after="0" w:line="240" w:lineRule="auto"/>
              <w:jc w:val="both"/>
              <w:rPr>
                <w:rFonts w:cs="Arial"/>
                <w:sz w:val="20"/>
                <w:szCs w:val="20"/>
              </w:rPr>
            </w:pPr>
          </w:p>
        </w:tc>
        <w:tc>
          <w:tcPr>
            <w:tcW w:w="729" w:type="pct"/>
            <w:gridSpan w:val="2"/>
            <w:shd w:val="clear" w:color="auto" w:fill="FFFFFF" w:themeFill="background1"/>
            <w:tcMar>
              <w:top w:w="30" w:type="dxa"/>
              <w:left w:w="45" w:type="dxa"/>
              <w:bottom w:w="30" w:type="dxa"/>
              <w:right w:w="45" w:type="dxa"/>
            </w:tcMar>
            <w:vAlign w:val="center"/>
            <w:hideMark/>
          </w:tcPr>
          <w:p w14:paraId="3ED7DF58" w14:textId="77777777" w:rsidR="00257689" w:rsidRPr="008A4B6D" w:rsidRDefault="00257689" w:rsidP="00DB1B2D">
            <w:pPr>
              <w:spacing w:after="0" w:line="240" w:lineRule="auto"/>
              <w:rPr>
                <w:rFonts w:cs="Arial"/>
                <w:sz w:val="20"/>
                <w:szCs w:val="20"/>
              </w:rPr>
            </w:pPr>
            <w:r w:rsidRPr="008A4B6D">
              <w:rPr>
                <w:rFonts w:cs="Arial"/>
                <w:sz w:val="20"/>
                <w:szCs w:val="20"/>
              </w:rPr>
              <w:t>Holt, Navarro and Clevenger</w:t>
            </w:r>
          </w:p>
        </w:tc>
        <w:tc>
          <w:tcPr>
            <w:tcW w:w="1987" w:type="pct"/>
            <w:shd w:val="clear" w:color="auto" w:fill="FFFFFF" w:themeFill="background1"/>
            <w:tcMar>
              <w:top w:w="30" w:type="dxa"/>
              <w:left w:w="45" w:type="dxa"/>
              <w:bottom w:w="30" w:type="dxa"/>
              <w:right w:w="45" w:type="dxa"/>
            </w:tcMar>
            <w:vAlign w:val="center"/>
            <w:hideMark/>
          </w:tcPr>
          <w:p w14:paraId="7AA01545" w14:textId="77777777" w:rsidR="00257689" w:rsidRPr="008A4B6D" w:rsidRDefault="00257689" w:rsidP="00DB1B2D">
            <w:pPr>
              <w:spacing w:after="0" w:line="240" w:lineRule="auto"/>
              <w:rPr>
                <w:rFonts w:cs="Arial"/>
                <w:sz w:val="20"/>
                <w:szCs w:val="20"/>
              </w:rPr>
            </w:pPr>
            <w:r w:rsidRPr="008A4B6D">
              <w:rPr>
                <w:rFonts w:cs="Arial"/>
                <w:sz w:val="20"/>
                <w:szCs w:val="20"/>
              </w:rPr>
              <w:t xml:space="preserve">Exploring the Moderating Role of Gender in Juvenile Hacking </w:t>
            </w:r>
            <w:proofErr w:type="spellStart"/>
            <w:r w:rsidRPr="008A4B6D">
              <w:rPr>
                <w:rFonts w:cs="Arial"/>
                <w:sz w:val="20"/>
                <w:szCs w:val="20"/>
              </w:rPr>
              <w:t>Behaviors</w:t>
            </w:r>
            <w:proofErr w:type="spellEnd"/>
          </w:p>
        </w:tc>
        <w:tc>
          <w:tcPr>
            <w:tcW w:w="271" w:type="pct"/>
            <w:shd w:val="clear" w:color="auto" w:fill="FFFFFF" w:themeFill="background1"/>
            <w:tcMar>
              <w:top w:w="30" w:type="dxa"/>
              <w:left w:w="45" w:type="dxa"/>
              <w:bottom w:w="30" w:type="dxa"/>
              <w:right w:w="45" w:type="dxa"/>
            </w:tcMar>
            <w:vAlign w:val="center"/>
            <w:hideMark/>
          </w:tcPr>
          <w:p w14:paraId="6A5D0441" w14:textId="77777777" w:rsidR="00257689" w:rsidRPr="008A4B6D" w:rsidRDefault="00257689" w:rsidP="00DB1B2D">
            <w:pPr>
              <w:spacing w:after="0" w:line="240" w:lineRule="auto"/>
              <w:jc w:val="center"/>
              <w:rPr>
                <w:rFonts w:cs="Arial"/>
                <w:sz w:val="20"/>
                <w:szCs w:val="20"/>
              </w:rPr>
            </w:pPr>
            <w:r w:rsidRPr="008A4B6D">
              <w:rPr>
                <w:rFonts w:cs="Arial"/>
                <w:sz w:val="20"/>
                <w:szCs w:val="20"/>
              </w:rPr>
              <w:t>2020</w:t>
            </w:r>
          </w:p>
        </w:tc>
        <w:tc>
          <w:tcPr>
            <w:tcW w:w="1451" w:type="pct"/>
            <w:shd w:val="clear" w:color="auto" w:fill="FFFFFF" w:themeFill="background1"/>
            <w:tcMar>
              <w:top w:w="30" w:type="dxa"/>
              <w:left w:w="45" w:type="dxa"/>
              <w:bottom w:w="30" w:type="dxa"/>
              <w:right w:w="45" w:type="dxa"/>
            </w:tcMar>
            <w:vAlign w:val="center"/>
            <w:hideMark/>
          </w:tcPr>
          <w:p w14:paraId="0D792C20" w14:textId="77777777" w:rsidR="00257689" w:rsidRPr="008A4B6D" w:rsidRDefault="00257689" w:rsidP="00DB1B2D">
            <w:pPr>
              <w:spacing w:after="0" w:line="240" w:lineRule="auto"/>
              <w:jc w:val="both"/>
              <w:rPr>
                <w:rFonts w:cs="Arial"/>
                <w:sz w:val="20"/>
                <w:szCs w:val="20"/>
              </w:rPr>
            </w:pPr>
            <w:r w:rsidRPr="008A4B6D">
              <w:rPr>
                <w:rFonts w:cs="Arial"/>
                <w:sz w:val="20"/>
                <w:szCs w:val="20"/>
              </w:rPr>
              <w:t>10.1177/0011128719875697</w:t>
            </w:r>
          </w:p>
        </w:tc>
      </w:tr>
      <w:tr w:rsidR="00305011" w:rsidRPr="008A4B6D" w14:paraId="7ABA43C3" w14:textId="77777777" w:rsidTr="00F204C1">
        <w:tc>
          <w:tcPr>
            <w:tcW w:w="561" w:type="pct"/>
            <w:vMerge/>
            <w:shd w:val="clear" w:color="auto" w:fill="FFFFFF" w:themeFill="background1"/>
            <w:vAlign w:val="center"/>
            <w:hideMark/>
          </w:tcPr>
          <w:p w14:paraId="66CB8747" w14:textId="77777777" w:rsidR="00257689" w:rsidRPr="008A4B6D" w:rsidRDefault="00257689" w:rsidP="00DB1B2D">
            <w:pPr>
              <w:spacing w:after="0" w:line="240" w:lineRule="auto"/>
              <w:jc w:val="both"/>
              <w:rPr>
                <w:rFonts w:cs="Arial"/>
                <w:sz w:val="20"/>
                <w:szCs w:val="20"/>
              </w:rPr>
            </w:pPr>
          </w:p>
        </w:tc>
        <w:tc>
          <w:tcPr>
            <w:tcW w:w="729" w:type="pct"/>
            <w:gridSpan w:val="2"/>
            <w:shd w:val="clear" w:color="auto" w:fill="FFFFFF" w:themeFill="background1"/>
            <w:tcMar>
              <w:top w:w="30" w:type="dxa"/>
              <w:left w:w="45" w:type="dxa"/>
              <w:bottom w:w="30" w:type="dxa"/>
              <w:right w:w="45" w:type="dxa"/>
            </w:tcMar>
            <w:vAlign w:val="center"/>
            <w:hideMark/>
          </w:tcPr>
          <w:p w14:paraId="2911AD59" w14:textId="77777777" w:rsidR="00257689" w:rsidRPr="008A4B6D" w:rsidRDefault="00257689" w:rsidP="00DB1B2D">
            <w:pPr>
              <w:spacing w:after="0" w:line="240" w:lineRule="auto"/>
              <w:rPr>
                <w:rFonts w:cs="Arial"/>
                <w:sz w:val="20"/>
                <w:szCs w:val="20"/>
              </w:rPr>
            </w:pPr>
            <w:r w:rsidRPr="008A4B6D">
              <w:rPr>
                <w:rFonts w:cs="Arial"/>
                <w:sz w:val="20"/>
                <w:szCs w:val="20"/>
              </w:rPr>
              <w:t>Kim, Leban and Lee</w:t>
            </w:r>
          </w:p>
        </w:tc>
        <w:tc>
          <w:tcPr>
            <w:tcW w:w="1987" w:type="pct"/>
            <w:shd w:val="clear" w:color="auto" w:fill="FFFFFF" w:themeFill="background1"/>
            <w:tcMar>
              <w:top w:w="30" w:type="dxa"/>
              <w:left w:w="45" w:type="dxa"/>
              <w:bottom w:w="30" w:type="dxa"/>
              <w:right w:w="45" w:type="dxa"/>
            </w:tcMar>
            <w:vAlign w:val="center"/>
            <w:hideMark/>
          </w:tcPr>
          <w:p w14:paraId="26340128" w14:textId="77777777" w:rsidR="00257689" w:rsidRPr="008A4B6D" w:rsidRDefault="00257689" w:rsidP="00DB1B2D">
            <w:pPr>
              <w:spacing w:after="0" w:line="240" w:lineRule="auto"/>
              <w:rPr>
                <w:rFonts w:cs="Arial"/>
                <w:sz w:val="20"/>
                <w:szCs w:val="20"/>
              </w:rPr>
            </w:pPr>
            <w:r w:rsidRPr="008A4B6D">
              <w:rPr>
                <w:rFonts w:cs="Arial"/>
                <w:sz w:val="20"/>
                <w:szCs w:val="20"/>
              </w:rPr>
              <w:t>Theoretical Explanations of the Development of Youth Hacking</w:t>
            </w:r>
          </w:p>
        </w:tc>
        <w:tc>
          <w:tcPr>
            <w:tcW w:w="271" w:type="pct"/>
            <w:shd w:val="clear" w:color="auto" w:fill="FFFFFF" w:themeFill="background1"/>
            <w:tcMar>
              <w:top w:w="30" w:type="dxa"/>
              <w:left w:w="45" w:type="dxa"/>
              <w:bottom w:w="30" w:type="dxa"/>
              <w:right w:w="45" w:type="dxa"/>
            </w:tcMar>
            <w:vAlign w:val="center"/>
            <w:hideMark/>
          </w:tcPr>
          <w:p w14:paraId="341D1C7F" w14:textId="77777777" w:rsidR="00257689" w:rsidRPr="008A4B6D" w:rsidRDefault="00257689" w:rsidP="00DB1B2D">
            <w:pPr>
              <w:spacing w:after="0" w:line="240" w:lineRule="auto"/>
              <w:jc w:val="center"/>
              <w:rPr>
                <w:rFonts w:cs="Arial"/>
                <w:sz w:val="20"/>
                <w:szCs w:val="20"/>
              </w:rPr>
            </w:pPr>
            <w:r w:rsidRPr="008A4B6D">
              <w:rPr>
                <w:rFonts w:cs="Arial"/>
                <w:sz w:val="20"/>
                <w:szCs w:val="20"/>
              </w:rPr>
              <w:t>2024</w:t>
            </w:r>
          </w:p>
        </w:tc>
        <w:tc>
          <w:tcPr>
            <w:tcW w:w="1451" w:type="pct"/>
            <w:shd w:val="clear" w:color="auto" w:fill="FFFFFF" w:themeFill="background1"/>
            <w:tcMar>
              <w:top w:w="30" w:type="dxa"/>
              <w:left w:w="45" w:type="dxa"/>
              <w:bottom w:w="30" w:type="dxa"/>
              <w:right w:w="45" w:type="dxa"/>
            </w:tcMar>
            <w:vAlign w:val="center"/>
            <w:hideMark/>
          </w:tcPr>
          <w:p w14:paraId="5BDAFA1E" w14:textId="77777777" w:rsidR="00257689" w:rsidRPr="008A4B6D" w:rsidRDefault="00257689" w:rsidP="00DB1B2D">
            <w:pPr>
              <w:spacing w:after="0" w:line="240" w:lineRule="auto"/>
              <w:jc w:val="both"/>
              <w:rPr>
                <w:rFonts w:cs="Arial"/>
                <w:sz w:val="20"/>
                <w:szCs w:val="20"/>
              </w:rPr>
            </w:pPr>
            <w:r w:rsidRPr="008A4B6D">
              <w:rPr>
                <w:rFonts w:cs="Arial"/>
                <w:sz w:val="20"/>
                <w:szCs w:val="20"/>
              </w:rPr>
              <w:t>10.1177/00111287221115639</w:t>
            </w:r>
          </w:p>
        </w:tc>
      </w:tr>
      <w:tr w:rsidR="00305011" w:rsidRPr="008A4B6D" w14:paraId="4FFE784A" w14:textId="77777777" w:rsidTr="00F204C1">
        <w:tc>
          <w:tcPr>
            <w:tcW w:w="561" w:type="pct"/>
            <w:vMerge/>
            <w:shd w:val="clear" w:color="auto" w:fill="FFFFFF" w:themeFill="background1"/>
            <w:vAlign w:val="center"/>
            <w:hideMark/>
          </w:tcPr>
          <w:p w14:paraId="56C67B23" w14:textId="77777777" w:rsidR="00257689" w:rsidRPr="008A4B6D" w:rsidRDefault="00257689" w:rsidP="00DB1B2D">
            <w:pPr>
              <w:spacing w:after="0" w:line="240" w:lineRule="auto"/>
              <w:jc w:val="both"/>
              <w:rPr>
                <w:rFonts w:cs="Arial"/>
                <w:sz w:val="20"/>
                <w:szCs w:val="20"/>
              </w:rPr>
            </w:pPr>
          </w:p>
        </w:tc>
        <w:tc>
          <w:tcPr>
            <w:tcW w:w="729" w:type="pct"/>
            <w:gridSpan w:val="2"/>
            <w:shd w:val="clear" w:color="auto" w:fill="FFFFFF" w:themeFill="background1"/>
            <w:tcMar>
              <w:top w:w="30" w:type="dxa"/>
              <w:left w:w="45" w:type="dxa"/>
              <w:bottom w:w="30" w:type="dxa"/>
              <w:right w:w="45" w:type="dxa"/>
            </w:tcMar>
            <w:vAlign w:val="center"/>
            <w:hideMark/>
          </w:tcPr>
          <w:p w14:paraId="176ECBC1" w14:textId="77777777" w:rsidR="00257689" w:rsidRPr="008A4B6D" w:rsidRDefault="00257689" w:rsidP="00DB1B2D">
            <w:pPr>
              <w:spacing w:after="0" w:line="240" w:lineRule="auto"/>
              <w:rPr>
                <w:rFonts w:cs="Arial"/>
                <w:sz w:val="20"/>
                <w:szCs w:val="20"/>
              </w:rPr>
            </w:pPr>
            <w:r w:rsidRPr="008A4B6D">
              <w:rPr>
                <w:rFonts w:cs="Arial"/>
                <w:sz w:val="20"/>
                <w:szCs w:val="20"/>
              </w:rPr>
              <w:t>Lee and Holt</w:t>
            </w:r>
          </w:p>
        </w:tc>
        <w:tc>
          <w:tcPr>
            <w:tcW w:w="1987" w:type="pct"/>
            <w:shd w:val="clear" w:color="auto" w:fill="FFFFFF" w:themeFill="background1"/>
            <w:tcMar>
              <w:top w:w="30" w:type="dxa"/>
              <w:left w:w="45" w:type="dxa"/>
              <w:bottom w:w="30" w:type="dxa"/>
              <w:right w:w="45" w:type="dxa"/>
            </w:tcMar>
            <w:vAlign w:val="center"/>
            <w:hideMark/>
          </w:tcPr>
          <w:p w14:paraId="108B5D05" w14:textId="77777777" w:rsidR="00257689" w:rsidRPr="008A4B6D" w:rsidRDefault="00257689" w:rsidP="00DB1B2D">
            <w:pPr>
              <w:spacing w:after="0" w:line="240" w:lineRule="auto"/>
              <w:rPr>
                <w:rFonts w:cs="Arial"/>
                <w:sz w:val="20"/>
                <w:szCs w:val="20"/>
              </w:rPr>
            </w:pPr>
            <w:r w:rsidRPr="008A4B6D">
              <w:rPr>
                <w:rFonts w:cs="Arial"/>
                <w:sz w:val="20"/>
                <w:szCs w:val="20"/>
              </w:rPr>
              <w:t xml:space="preserve">Assessing the Factors Associated </w:t>
            </w:r>
            <w:proofErr w:type="gramStart"/>
            <w:r w:rsidRPr="008A4B6D">
              <w:rPr>
                <w:rFonts w:cs="Arial"/>
                <w:sz w:val="20"/>
                <w:szCs w:val="20"/>
              </w:rPr>
              <w:t>With</w:t>
            </w:r>
            <w:proofErr w:type="gramEnd"/>
            <w:r w:rsidRPr="008A4B6D">
              <w:rPr>
                <w:rFonts w:cs="Arial"/>
                <w:sz w:val="20"/>
                <w:szCs w:val="20"/>
              </w:rPr>
              <w:t xml:space="preserve"> the Detection of Juvenile Hacking </w:t>
            </w:r>
            <w:proofErr w:type="spellStart"/>
            <w:r w:rsidRPr="008A4B6D">
              <w:rPr>
                <w:rFonts w:cs="Arial"/>
                <w:sz w:val="20"/>
                <w:szCs w:val="20"/>
              </w:rPr>
              <w:t>Behaviors</w:t>
            </w:r>
            <w:proofErr w:type="spellEnd"/>
          </w:p>
        </w:tc>
        <w:tc>
          <w:tcPr>
            <w:tcW w:w="271" w:type="pct"/>
            <w:shd w:val="clear" w:color="auto" w:fill="FFFFFF" w:themeFill="background1"/>
            <w:tcMar>
              <w:top w:w="30" w:type="dxa"/>
              <w:left w:w="45" w:type="dxa"/>
              <w:bottom w:w="30" w:type="dxa"/>
              <w:right w:w="45" w:type="dxa"/>
            </w:tcMar>
            <w:vAlign w:val="center"/>
            <w:hideMark/>
          </w:tcPr>
          <w:p w14:paraId="4D7C3B3E" w14:textId="77777777" w:rsidR="00257689" w:rsidRPr="008A4B6D" w:rsidRDefault="00257689" w:rsidP="00DB1B2D">
            <w:pPr>
              <w:spacing w:after="0" w:line="240" w:lineRule="auto"/>
              <w:jc w:val="center"/>
              <w:rPr>
                <w:rFonts w:cs="Arial"/>
                <w:sz w:val="20"/>
                <w:szCs w:val="20"/>
              </w:rPr>
            </w:pPr>
            <w:r w:rsidRPr="008A4B6D">
              <w:rPr>
                <w:rFonts w:cs="Arial"/>
                <w:sz w:val="20"/>
                <w:szCs w:val="20"/>
              </w:rPr>
              <w:t>2020</w:t>
            </w:r>
          </w:p>
        </w:tc>
        <w:tc>
          <w:tcPr>
            <w:tcW w:w="1451" w:type="pct"/>
            <w:shd w:val="clear" w:color="auto" w:fill="FFFFFF" w:themeFill="background1"/>
            <w:tcMar>
              <w:top w:w="30" w:type="dxa"/>
              <w:left w:w="45" w:type="dxa"/>
              <w:bottom w:w="30" w:type="dxa"/>
              <w:right w:w="45" w:type="dxa"/>
            </w:tcMar>
            <w:vAlign w:val="center"/>
            <w:hideMark/>
          </w:tcPr>
          <w:p w14:paraId="31F99CBB" w14:textId="77777777" w:rsidR="00257689" w:rsidRPr="008A4B6D" w:rsidRDefault="00257689" w:rsidP="00DB1B2D">
            <w:pPr>
              <w:spacing w:after="0" w:line="240" w:lineRule="auto"/>
              <w:jc w:val="both"/>
              <w:rPr>
                <w:rFonts w:cs="Arial"/>
                <w:sz w:val="20"/>
                <w:szCs w:val="20"/>
              </w:rPr>
            </w:pPr>
            <w:r w:rsidRPr="008A4B6D">
              <w:rPr>
                <w:rFonts w:cs="Arial"/>
                <w:sz w:val="20"/>
                <w:szCs w:val="20"/>
              </w:rPr>
              <w:t>10.3389/fpsyg.2020.00840</w:t>
            </w:r>
          </w:p>
        </w:tc>
      </w:tr>
      <w:tr w:rsidR="00305011" w:rsidRPr="008A4B6D" w14:paraId="3556B6A0" w14:textId="77777777" w:rsidTr="00F204C1">
        <w:tc>
          <w:tcPr>
            <w:tcW w:w="561" w:type="pct"/>
            <w:vMerge/>
            <w:shd w:val="clear" w:color="auto" w:fill="FFFFFF" w:themeFill="background1"/>
            <w:vAlign w:val="center"/>
            <w:hideMark/>
          </w:tcPr>
          <w:p w14:paraId="70599E39" w14:textId="77777777" w:rsidR="00257689" w:rsidRPr="008A4B6D" w:rsidRDefault="00257689" w:rsidP="00DB1B2D">
            <w:pPr>
              <w:spacing w:after="0" w:line="240" w:lineRule="auto"/>
              <w:jc w:val="both"/>
              <w:rPr>
                <w:rFonts w:cs="Arial"/>
                <w:sz w:val="20"/>
                <w:szCs w:val="20"/>
              </w:rPr>
            </w:pPr>
          </w:p>
        </w:tc>
        <w:tc>
          <w:tcPr>
            <w:tcW w:w="729" w:type="pct"/>
            <w:gridSpan w:val="2"/>
            <w:shd w:val="clear" w:color="auto" w:fill="FFFFFF" w:themeFill="background1"/>
            <w:tcMar>
              <w:top w:w="30" w:type="dxa"/>
              <w:left w:w="45" w:type="dxa"/>
              <w:bottom w:w="30" w:type="dxa"/>
              <w:right w:w="45" w:type="dxa"/>
            </w:tcMar>
            <w:vAlign w:val="center"/>
            <w:hideMark/>
          </w:tcPr>
          <w:p w14:paraId="3917EDC3" w14:textId="77777777" w:rsidR="00257689" w:rsidRPr="008A4B6D" w:rsidRDefault="00257689" w:rsidP="00DB1B2D">
            <w:pPr>
              <w:spacing w:after="0" w:line="240" w:lineRule="auto"/>
              <w:rPr>
                <w:rFonts w:cs="Arial"/>
                <w:sz w:val="20"/>
                <w:szCs w:val="20"/>
              </w:rPr>
            </w:pPr>
            <w:r w:rsidRPr="008A4B6D">
              <w:rPr>
                <w:rFonts w:cs="Arial"/>
                <w:sz w:val="20"/>
                <w:szCs w:val="20"/>
              </w:rPr>
              <w:t>Whitten et al.</w:t>
            </w:r>
          </w:p>
        </w:tc>
        <w:tc>
          <w:tcPr>
            <w:tcW w:w="1987" w:type="pct"/>
            <w:shd w:val="clear" w:color="auto" w:fill="FFFFFF" w:themeFill="background1"/>
            <w:tcMar>
              <w:top w:w="30" w:type="dxa"/>
              <w:left w:w="45" w:type="dxa"/>
              <w:bottom w:w="30" w:type="dxa"/>
              <w:right w:w="45" w:type="dxa"/>
            </w:tcMar>
            <w:vAlign w:val="center"/>
            <w:hideMark/>
          </w:tcPr>
          <w:p w14:paraId="660931D2" w14:textId="77777777" w:rsidR="00257689" w:rsidRPr="008A4B6D" w:rsidRDefault="00257689" w:rsidP="00DB1B2D">
            <w:pPr>
              <w:spacing w:after="0" w:line="240" w:lineRule="auto"/>
              <w:rPr>
                <w:rFonts w:cs="Arial"/>
                <w:sz w:val="20"/>
                <w:szCs w:val="20"/>
              </w:rPr>
            </w:pPr>
            <w:r w:rsidRPr="008A4B6D">
              <w:rPr>
                <w:rFonts w:cs="Arial"/>
                <w:sz w:val="20"/>
                <w:szCs w:val="20"/>
              </w:rPr>
              <w:t>Exploring the Role of Self-Control Across Distinct Patterns of Cyber-Deviance in Emerging Adolescence</w:t>
            </w:r>
          </w:p>
        </w:tc>
        <w:tc>
          <w:tcPr>
            <w:tcW w:w="271" w:type="pct"/>
            <w:shd w:val="clear" w:color="auto" w:fill="FFFFFF" w:themeFill="background1"/>
            <w:tcMar>
              <w:top w:w="30" w:type="dxa"/>
              <w:left w:w="45" w:type="dxa"/>
              <w:bottom w:w="30" w:type="dxa"/>
              <w:right w:w="45" w:type="dxa"/>
            </w:tcMar>
            <w:vAlign w:val="center"/>
            <w:hideMark/>
          </w:tcPr>
          <w:p w14:paraId="09C93948" w14:textId="77777777" w:rsidR="00257689" w:rsidRPr="008A4B6D" w:rsidRDefault="00257689" w:rsidP="00DB1B2D">
            <w:pPr>
              <w:spacing w:after="0" w:line="240" w:lineRule="auto"/>
              <w:jc w:val="center"/>
              <w:rPr>
                <w:rFonts w:cs="Arial"/>
                <w:sz w:val="20"/>
                <w:szCs w:val="20"/>
              </w:rPr>
            </w:pPr>
            <w:r w:rsidRPr="008A4B6D">
              <w:rPr>
                <w:rFonts w:cs="Arial"/>
                <w:sz w:val="20"/>
                <w:szCs w:val="20"/>
              </w:rPr>
              <w:t>2024</w:t>
            </w:r>
          </w:p>
        </w:tc>
        <w:tc>
          <w:tcPr>
            <w:tcW w:w="1451" w:type="pct"/>
            <w:shd w:val="clear" w:color="auto" w:fill="FFFFFF" w:themeFill="background1"/>
            <w:tcMar>
              <w:top w:w="30" w:type="dxa"/>
              <w:left w:w="45" w:type="dxa"/>
              <w:bottom w:w="30" w:type="dxa"/>
              <w:right w:w="45" w:type="dxa"/>
            </w:tcMar>
            <w:vAlign w:val="center"/>
            <w:hideMark/>
          </w:tcPr>
          <w:p w14:paraId="07A73987" w14:textId="77777777" w:rsidR="00257689" w:rsidRPr="008A4B6D" w:rsidRDefault="00257689" w:rsidP="00DB1B2D">
            <w:pPr>
              <w:spacing w:after="0" w:line="240" w:lineRule="auto"/>
              <w:jc w:val="both"/>
              <w:rPr>
                <w:rFonts w:cs="Arial"/>
                <w:sz w:val="20"/>
                <w:szCs w:val="20"/>
              </w:rPr>
            </w:pPr>
            <w:r w:rsidRPr="008A4B6D">
              <w:rPr>
                <w:rFonts w:cs="Arial"/>
                <w:sz w:val="20"/>
                <w:szCs w:val="20"/>
              </w:rPr>
              <w:t>10.1177/0306624X231220011</w:t>
            </w:r>
          </w:p>
        </w:tc>
      </w:tr>
      <w:tr w:rsidR="00305011" w:rsidRPr="008A4B6D" w14:paraId="4FE9779F" w14:textId="77777777" w:rsidTr="00F204C1">
        <w:tc>
          <w:tcPr>
            <w:tcW w:w="561" w:type="pct"/>
            <w:vMerge w:val="restart"/>
            <w:shd w:val="clear" w:color="auto" w:fill="FFFFFF" w:themeFill="background1"/>
            <w:vAlign w:val="center"/>
          </w:tcPr>
          <w:p w14:paraId="5AA8F602" w14:textId="77777777" w:rsidR="00257689" w:rsidRPr="008A4B6D" w:rsidRDefault="00257689" w:rsidP="00DB1B2D">
            <w:pPr>
              <w:spacing w:after="0" w:line="240" w:lineRule="auto"/>
              <w:jc w:val="both"/>
              <w:rPr>
                <w:rFonts w:cs="Arial"/>
                <w:sz w:val="20"/>
                <w:szCs w:val="20"/>
              </w:rPr>
            </w:pPr>
            <w:r w:rsidRPr="008A4B6D">
              <w:rPr>
                <w:rFonts w:cs="Arial"/>
                <w:sz w:val="20"/>
                <w:szCs w:val="20"/>
              </w:rPr>
              <w:t>Attractive opportunity</w:t>
            </w:r>
          </w:p>
        </w:tc>
        <w:tc>
          <w:tcPr>
            <w:tcW w:w="729" w:type="pct"/>
            <w:gridSpan w:val="2"/>
            <w:shd w:val="clear" w:color="auto" w:fill="FFFFFF" w:themeFill="background1"/>
            <w:tcMar>
              <w:top w:w="30" w:type="dxa"/>
              <w:left w:w="45" w:type="dxa"/>
              <w:bottom w:w="30" w:type="dxa"/>
              <w:right w:w="45" w:type="dxa"/>
            </w:tcMar>
            <w:vAlign w:val="center"/>
          </w:tcPr>
          <w:p w14:paraId="1EF29B6C" w14:textId="77777777" w:rsidR="00257689" w:rsidRPr="008A4B6D" w:rsidRDefault="00257689" w:rsidP="00DB1B2D">
            <w:pPr>
              <w:spacing w:after="0" w:line="240" w:lineRule="auto"/>
              <w:rPr>
                <w:rFonts w:cs="Arial"/>
                <w:sz w:val="20"/>
                <w:szCs w:val="20"/>
              </w:rPr>
            </w:pPr>
            <w:r w:rsidRPr="008A4B6D">
              <w:rPr>
                <w:rFonts w:cs="Arial"/>
                <w:sz w:val="20"/>
                <w:szCs w:val="20"/>
              </w:rPr>
              <w:t>Aiken et al.</w:t>
            </w:r>
          </w:p>
        </w:tc>
        <w:tc>
          <w:tcPr>
            <w:tcW w:w="1987" w:type="pct"/>
            <w:shd w:val="clear" w:color="auto" w:fill="FFFFFF" w:themeFill="background1"/>
            <w:tcMar>
              <w:top w:w="30" w:type="dxa"/>
              <w:left w:w="45" w:type="dxa"/>
              <w:bottom w:w="30" w:type="dxa"/>
              <w:right w:w="45" w:type="dxa"/>
            </w:tcMar>
            <w:vAlign w:val="center"/>
          </w:tcPr>
          <w:p w14:paraId="5C4138E7" w14:textId="77777777" w:rsidR="00257689" w:rsidRPr="008A4B6D" w:rsidRDefault="00257689" w:rsidP="00DB1B2D">
            <w:pPr>
              <w:spacing w:after="0" w:line="240" w:lineRule="auto"/>
              <w:rPr>
                <w:rFonts w:cs="Arial"/>
                <w:sz w:val="20"/>
                <w:szCs w:val="20"/>
              </w:rPr>
            </w:pPr>
            <w:r w:rsidRPr="008A4B6D">
              <w:rPr>
                <w:rFonts w:cs="Arial"/>
                <w:sz w:val="20"/>
                <w:szCs w:val="20"/>
              </w:rPr>
              <w:t>Intention to Hack? Applying the Theory of Planned Behaviour to Youth Criminal Hacking</w:t>
            </w:r>
          </w:p>
        </w:tc>
        <w:tc>
          <w:tcPr>
            <w:tcW w:w="271" w:type="pct"/>
            <w:shd w:val="clear" w:color="auto" w:fill="FFFFFF" w:themeFill="background1"/>
            <w:tcMar>
              <w:top w:w="30" w:type="dxa"/>
              <w:left w:w="45" w:type="dxa"/>
              <w:bottom w:w="30" w:type="dxa"/>
              <w:right w:w="45" w:type="dxa"/>
            </w:tcMar>
            <w:vAlign w:val="center"/>
          </w:tcPr>
          <w:p w14:paraId="4D30D860" w14:textId="77777777" w:rsidR="00257689" w:rsidRPr="008A4B6D" w:rsidRDefault="00257689" w:rsidP="00DB1B2D">
            <w:pPr>
              <w:spacing w:after="0" w:line="240" w:lineRule="auto"/>
              <w:jc w:val="center"/>
              <w:rPr>
                <w:rFonts w:cs="Arial"/>
                <w:sz w:val="20"/>
                <w:szCs w:val="20"/>
              </w:rPr>
            </w:pPr>
            <w:r w:rsidRPr="008A4B6D">
              <w:rPr>
                <w:rFonts w:cs="Arial"/>
                <w:sz w:val="20"/>
                <w:szCs w:val="20"/>
              </w:rPr>
              <w:t>2024</w:t>
            </w:r>
          </w:p>
        </w:tc>
        <w:tc>
          <w:tcPr>
            <w:tcW w:w="1451" w:type="pct"/>
            <w:shd w:val="clear" w:color="auto" w:fill="FFFFFF" w:themeFill="background1"/>
            <w:tcMar>
              <w:top w:w="30" w:type="dxa"/>
              <w:left w:w="45" w:type="dxa"/>
              <w:bottom w:w="30" w:type="dxa"/>
              <w:right w:w="45" w:type="dxa"/>
            </w:tcMar>
            <w:vAlign w:val="center"/>
          </w:tcPr>
          <w:p w14:paraId="65E9A846" w14:textId="77777777" w:rsidR="00257689" w:rsidRPr="008A4B6D" w:rsidRDefault="00257689" w:rsidP="00DB1B2D">
            <w:pPr>
              <w:spacing w:after="0" w:line="240" w:lineRule="auto"/>
              <w:jc w:val="both"/>
              <w:rPr>
                <w:rFonts w:cs="Arial"/>
                <w:sz w:val="20"/>
                <w:szCs w:val="20"/>
              </w:rPr>
            </w:pPr>
            <w:r w:rsidRPr="008A4B6D">
              <w:rPr>
                <w:rFonts w:cs="Arial"/>
                <w:sz w:val="20"/>
                <w:szCs w:val="20"/>
              </w:rPr>
              <w:t>10.3390/forensicsci4010003</w:t>
            </w:r>
          </w:p>
        </w:tc>
      </w:tr>
      <w:tr w:rsidR="00305011" w:rsidRPr="008A4B6D" w14:paraId="5336582E" w14:textId="77777777" w:rsidTr="00F204C1">
        <w:tc>
          <w:tcPr>
            <w:tcW w:w="561" w:type="pct"/>
            <w:vMerge/>
            <w:shd w:val="clear" w:color="auto" w:fill="FFFFFF" w:themeFill="background1"/>
            <w:vAlign w:val="center"/>
          </w:tcPr>
          <w:p w14:paraId="4A9EE1B5" w14:textId="77777777" w:rsidR="00257689" w:rsidRPr="008A4B6D" w:rsidRDefault="00257689" w:rsidP="00DB1B2D">
            <w:pPr>
              <w:spacing w:after="0" w:line="240" w:lineRule="auto"/>
              <w:jc w:val="both"/>
              <w:rPr>
                <w:rFonts w:cs="Arial"/>
                <w:sz w:val="20"/>
                <w:szCs w:val="20"/>
              </w:rPr>
            </w:pPr>
          </w:p>
        </w:tc>
        <w:tc>
          <w:tcPr>
            <w:tcW w:w="729" w:type="pct"/>
            <w:gridSpan w:val="2"/>
            <w:shd w:val="clear" w:color="auto" w:fill="FFFFFF" w:themeFill="background1"/>
            <w:tcMar>
              <w:top w:w="30" w:type="dxa"/>
              <w:left w:w="45" w:type="dxa"/>
              <w:bottom w:w="30" w:type="dxa"/>
              <w:right w:w="45" w:type="dxa"/>
            </w:tcMar>
            <w:vAlign w:val="center"/>
          </w:tcPr>
          <w:p w14:paraId="4C45B984" w14:textId="77777777" w:rsidR="00257689" w:rsidRPr="008A4B6D" w:rsidRDefault="00257689" w:rsidP="00DB1B2D">
            <w:pPr>
              <w:spacing w:after="0" w:line="240" w:lineRule="auto"/>
              <w:rPr>
                <w:rFonts w:cs="Arial"/>
                <w:sz w:val="20"/>
                <w:szCs w:val="20"/>
              </w:rPr>
            </w:pPr>
            <w:r w:rsidRPr="008A4B6D">
              <w:rPr>
                <w:rFonts w:cs="Arial"/>
                <w:sz w:val="20"/>
                <w:szCs w:val="20"/>
              </w:rPr>
              <w:t>Fox and Holt</w:t>
            </w:r>
          </w:p>
        </w:tc>
        <w:tc>
          <w:tcPr>
            <w:tcW w:w="1987" w:type="pct"/>
            <w:shd w:val="clear" w:color="auto" w:fill="FFFFFF" w:themeFill="background1"/>
            <w:tcMar>
              <w:top w:w="30" w:type="dxa"/>
              <w:left w:w="45" w:type="dxa"/>
              <w:bottom w:w="30" w:type="dxa"/>
              <w:right w:w="45" w:type="dxa"/>
            </w:tcMar>
            <w:vAlign w:val="center"/>
          </w:tcPr>
          <w:p w14:paraId="29EAD1D9" w14:textId="77777777" w:rsidR="00257689" w:rsidRPr="008A4B6D" w:rsidRDefault="00257689" w:rsidP="00DB1B2D">
            <w:pPr>
              <w:spacing w:after="0" w:line="240" w:lineRule="auto"/>
              <w:rPr>
                <w:rFonts w:cs="Arial"/>
                <w:sz w:val="20"/>
                <w:szCs w:val="20"/>
              </w:rPr>
            </w:pPr>
            <w:r w:rsidRPr="008A4B6D">
              <w:rPr>
                <w:rFonts w:cs="Arial"/>
                <w:sz w:val="20"/>
                <w:szCs w:val="20"/>
              </w:rPr>
              <w:t xml:space="preserve">Use of a </w:t>
            </w:r>
            <w:proofErr w:type="spellStart"/>
            <w:r w:rsidRPr="008A4B6D">
              <w:rPr>
                <w:rFonts w:cs="Arial"/>
                <w:sz w:val="20"/>
                <w:szCs w:val="20"/>
              </w:rPr>
              <w:t>Multitheoretic</w:t>
            </w:r>
            <w:proofErr w:type="spellEnd"/>
            <w:r w:rsidRPr="008A4B6D">
              <w:rPr>
                <w:rFonts w:cs="Arial"/>
                <w:sz w:val="20"/>
                <w:szCs w:val="20"/>
              </w:rPr>
              <w:t xml:space="preserve"> Model to Understand and Classify Juvenile Computer Hacking </w:t>
            </w:r>
            <w:proofErr w:type="spellStart"/>
            <w:r w:rsidRPr="008A4B6D">
              <w:rPr>
                <w:rFonts w:cs="Arial"/>
                <w:sz w:val="20"/>
                <w:szCs w:val="20"/>
              </w:rPr>
              <w:t>Behavior</w:t>
            </w:r>
            <w:proofErr w:type="spellEnd"/>
          </w:p>
        </w:tc>
        <w:tc>
          <w:tcPr>
            <w:tcW w:w="271" w:type="pct"/>
            <w:shd w:val="clear" w:color="auto" w:fill="FFFFFF" w:themeFill="background1"/>
            <w:tcMar>
              <w:top w:w="30" w:type="dxa"/>
              <w:left w:w="45" w:type="dxa"/>
              <w:bottom w:w="30" w:type="dxa"/>
              <w:right w:w="45" w:type="dxa"/>
            </w:tcMar>
            <w:vAlign w:val="center"/>
          </w:tcPr>
          <w:p w14:paraId="308143F4" w14:textId="77777777" w:rsidR="00257689" w:rsidRPr="008A4B6D" w:rsidRDefault="00257689" w:rsidP="00DB1B2D">
            <w:pPr>
              <w:spacing w:after="0" w:line="240" w:lineRule="auto"/>
              <w:jc w:val="center"/>
              <w:rPr>
                <w:rFonts w:cs="Arial"/>
                <w:sz w:val="20"/>
                <w:szCs w:val="20"/>
              </w:rPr>
            </w:pPr>
            <w:r w:rsidRPr="008A4B6D">
              <w:rPr>
                <w:rFonts w:cs="Arial"/>
                <w:sz w:val="20"/>
                <w:szCs w:val="20"/>
              </w:rPr>
              <w:t>2021</w:t>
            </w:r>
          </w:p>
        </w:tc>
        <w:tc>
          <w:tcPr>
            <w:tcW w:w="1451" w:type="pct"/>
            <w:shd w:val="clear" w:color="auto" w:fill="FFFFFF" w:themeFill="background1"/>
            <w:tcMar>
              <w:top w:w="30" w:type="dxa"/>
              <w:left w:w="45" w:type="dxa"/>
              <w:bottom w:w="30" w:type="dxa"/>
              <w:right w:w="45" w:type="dxa"/>
            </w:tcMar>
            <w:vAlign w:val="center"/>
          </w:tcPr>
          <w:p w14:paraId="6A18C479" w14:textId="77777777" w:rsidR="00257689" w:rsidRPr="008A4B6D" w:rsidRDefault="00257689" w:rsidP="00DB1B2D">
            <w:pPr>
              <w:spacing w:after="0" w:line="240" w:lineRule="auto"/>
              <w:jc w:val="both"/>
              <w:rPr>
                <w:rFonts w:cs="Arial"/>
                <w:sz w:val="20"/>
                <w:szCs w:val="20"/>
              </w:rPr>
            </w:pPr>
            <w:r w:rsidRPr="008A4B6D">
              <w:rPr>
                <w:rFonts w:cs="Arial"/>
                <w:sz w:val="20"/>
                <w:szCs w:val="20"/>
              </w:rPr>
              <w:t>10.1177/0093854820969754</w:t>
            </w:r>
          </w:p>
        </w:tc>
      </w:tr>
      <w:tr w:rsidR="00305011" w:rsidRPr="008A4B6D" w14:paraId="5EC7ED96" w14:textId="77777777" w:rsidTr="00F204C1">
        <w:tc>
          <w:tcPr>
            <w:tcW w:w="561" w:type="pct"/>
            <w:vMerge/>
            <w:shd w:val="clear" w:color="auto" w:fill="FFFFFF" w:themeFill="background1"/>
            <w:vAlign w:val="center"/>
          </w:tcPr>
          <w:p w14:paraId="66E1D113" w14:textId="77777777" w:rsidR="00257689" w:rsidRPr="008A4B6D" w:rsidRDefault="00257689" w:rsidP="00DB1B2D">
            <w:pPr>
              <w:spacing w:after="0" w:line="240" w:lineRule="auto"/>
              <w:jc w:val="both"/>
              <w:rPr>
                <w:rFonts w:cs="Arial"/>
                <w:sz w:val="20"/>
                <w:szCs w:val="20"/>
              </w:rPr>
            </w:pPr>
          </w:p>
        </w:tc>
        <w:tc>
          <w:tcPr>
            <w:tcW w:w="729" w:type="pct"/>
            <w:gridSpan w:val="2"/>
            <w:shd w:val="clear" w:color="auto" w:fill="FFFFFF" w:themeFill="background1"/>
            <w:tcMar>
              <w:top w:w="30" w:type="dxa"/>
              <w:left w:w="45" w:type="dxa"/>
              <w:bottom w:w="30" w:type="dxa"/>
              <w:right w:w="45" w:type="dxa"/>
            </w:tcMar>
            <w:vAlign w:val="center"/>
          </w:tcPr>
          <w:p w14:paraId="001EA31E" w14:textId="77777777" w:rsidR="00257689" w:rsidRPr="008A4B6D" w:rsidRDefault="00257689" w:rsidP="00DB1B2D">
            <w:pPr>
              <w:spacing w:after="0" w:line="240" w:lineRule="auto"/>
              <w:rPr>
                <w:rFonts w:cs="Arial"/>
                <w:sz w:val="20"/>
                <w:szCs w:val="20"/>
              </w:rPr>
            </w:pPr>
            <w:r w:rsidRPr="008A4B6D">
              <w:rPr>
                <w:rFonts w:cs="Arial"/>
                <w:sz w:val="20"/>
                <w:szCs w:val="20"/>
              </w:rPr>
              <w:t>Guo and Wang</w:t>
            </w:r>
          </w:p>
        </w:tc>
        <w:tc>
          <w:tcPr>
            <w:tcW w:w="1987" w:type="pct"/>
            <w:shd w:val="clear" w:color="auto" w:fill="FFFFFF" w:themeFill="background1"/>
            <w:tcMar>
              <w:top w:w="30" w:type="dxa"/>
              <w:left w:w="45" w:type="dxa"/>
              <w:bottom w:w="30" w:type="dxa"/>
              <w:right w:w="45" w:type="dxa"/>
            </w:tcMar>
            <w:vAlign w:val="center"/>
          </w:tcPr>
          <w:p w14:paraId="326467E0" w14:textId="77777777" w:rsidR="00257689" w:rsidRPr="008A4B6D" w:rsidRDefault="00257689" w:rsidP="00DB1B2D">
            <w:pPr>
              <w:spacing w:after="0" w:line="240" w:lineRule="auto"/>
              <w:rPr>
                <w:rFonts w:cs="Arial"/>
                <w:sz w:val="20"/>
                <w:szCs w:val="20"/>
              </w:rPr>
            </w:pPr>
            <w:r w:rsidRPr="008A4B6D">
              <w:rPr>
                <w:rFonts w:cs="Arial"/>
                <w:sz w:val="20"/>
                <w:szCs w:val="20"/>
              </w:rPr>
              <w:t>Investigating predictors of juvenile traditional and/or cyber offense using machine learning by constructing a decision support system</w:t>
            </w:r>
          </w:p>
        </w:tc>
        <w:tc>
          <w:tcPr>
            <w:tcW w:w="271" w:type="pct"/>
            <w:shd w:val="clear" w:color="auto" w:fill="FFFFFF" w:themeFill="background1"/>
            <w:tcMar>
              <w:top w:w="30" w:type="dxa"/>
              <w:left w:w="45" w:type="dxa"/>
              <w:bottom w:w="30" w:type="dxa"/>
              <w:right w:w="45" w:type="dxa"/>
            </w:tcMar>
            <w:vAlign w:val="center"/>
          </w:tcPr>
          <w:p w14:paraId="50F1DC22" w14:textId="77777777" w:rsidR="00257689" w:rsidRPr="008A4B6D" w:rsidRDefault="00257689" w:rsidP="00DB1B2D">
            <w:pPr>
              <w:spacing w:after="0" w:line="240" w:lineRule="auto"/>
              <w:jc w:val="center"/>
              <w:rPr>
                <w:rFonts w:cs="Arial"/>
                <w:sz w:val="20"/>
                <w:szCs w:val="20"/>
              </w:rPr>
            </w:pPr>
            <w:r w:rsidRPr="008A4B6D">
              <w:rPr>
                <w:rFonts w:cs="Arial"/>
                <w:sz w:val="20"/>
                <w:szCs w:val="20"/>
              </w:rPr>
              <w:t>2024</w:t>
            </w:r>
          </w:p>
        </w:tc>
        <w:tc>
          <w:tcPr>
            <w:tcW w:w="1451" w:type="pct"/>
            <w:shd w:val="clear" w:color="auto" w:fill="FFFFFF" w:themeFill="background1"/>
            <w:tcMar>
              <w:top w:w="30" w:type="dxa"/>
              <w:left w:w="45" w:type="dxa"/>
              <w:bottom w:w="30" w:type="dxa"/>
              <w:right w:w="45" w:type="dxa"/>
            </w:tcMar>
            <w:vAlign w:val="center"/>
          </w:tcPr>
          <w:p w14:paraId="6996F1D2" w14:textId="77777777" w:rsidR="00257689" w:rsidRPr="008A4B6D" w:rsidRDefault="00257689" w:rsidP="00DB1B2D">
            <w:pPr>
              <w:spacing w:after="0" w:line="240" w:lineRule="auto"/>
              <w:jc w:val="both"/>
              <w:rPr>
                <w:rFonts w:cs="Arial"/>
                <w:sz w:val="20"/>
                <w:szCs w:val="20"/>
              </w:rPr>
            </w:pPr>
            <w:r w:rsidRPr="008A4B6D">
              <w:rPr>
                <w:rFonts w:cs="Arial"/>
                <w:sz w:val="20"/>
                <w:szCs w:val="20"/>
              </w:rPr>
              <w:t>10.1016/j.chb.2023.108079</w:t>
            </w:r>
          </w:p>
        </w:tc>
      </w:tr>
      <w:tr w:rsidR="00305011" w:rsidRPr="008A4B6D" w14:paraId="556C805A" w14:textId="77777777" w:rsidTr="00F204C1">
        <w:tc>
          <w:tcPr>
            <w:tcW w:w="561" w:type="pct"/>
            <w:vMerge/>
            <w:shd w:val="clear" w:color="auto" w:fill="FFFFFF" w:themeFill="background1"/>
            <w:vAlign w:val="center"/>
          </w:tcPr>
          <w:p w14:paraId="36F28DB3" w14:textId="77777777" w:rsidR="00257689" w:rsidRPr="008A4B6D" w:rsidRDefault="00257689" w:rsidP="00DB1B2D">
            <w:pPr>
              <w:spacing w:after="0" w:line="240" w:lineRule="auto"/>
              <w:jc w:val="both"/>
              <w:rPr>
                <w:rFonts w:cs="Arial"/>
                <w:sz w:val="20"/>
                <w:szCs w:val="20"/>
              </w:rPr>
            </w:pPr>
          </w:p>
        </w:tc>
        <w:tc>
          <w:tcPr>
            <w:tcW w:w="729" w:type="pct"/>
            <w:gridSpan w:val="2"/>
            <w:shd w:val="clear" w:color="auto" w:fill="FFFFFF" w:themeFill="background1"/>
            <w:tcMar>
              <w:top w:w="30" w:type="dxa"/>
              <w:left w:w="45" w:type="dxa"/>
              <w:bottom w:w="30" w:type="dxa"/>
              <w:right w:w="45" w:type="dxa"/>
            </w:tcMar>
            <w:vAlign w:val="center"/>
          </w:tcPr>
          <w:p w14:paraId="1232EFAF" w14:textId="77777777" w:rsidR="00257689" w:rsidRPr="008A4B6D" w:rsidRDefault="00257689" w:rsidP="00DB1B2D">
            <w:pPr>
              <w:spacing w:after="0" w:line="240" w:lineRule="auto"/>
              <w:rPr>
                <w:rFonts w:cs="Arial"/>
                <w:sz w:val="20"/>
                <w:szCs w:val="20"/>
              </w:rPr>
            </w:pPr>
            <w:r w:rsidRPr="008A4B6D">
              <w:rPr>
                <w:rFonts w:cs="Arial"/>
                <w:sz w:val="20"/>
                <w:szCs w:val="20"/>
              </w:rPr>
              <w:t>Holt et al.</w:t>
            </w:r>
          </w:p>
        </w:tc>
        <w:tc>
          <w:tcPr>
            <w:tcW w:w="1987" w:type="pct"/>
            <w:shd w:val="clear" w:color="auto" w:fill="FFFFFF" w:themeFill="background1"/>
            <w:tcMar>
              <w:top w:w="30" w:type="dxa"/>
              <w:left w:w="45" w:type="dxa"/>
              <w:bottom w:w="30" w:type="dxa"/>
              <w:right w:w="45" w:type="dxa"/>
            </w:tcMar>
            <w:vAlign w:val="center"/>
          </w:tcPr>
          <w:p w14:paraId="4721D661" w14:textId="77777777" w:rsidR="00257689" w:rsidRPr="008A4B6D" w:rsidRDefault="00257689" w:rsidP="00DB1B2D">
            <w:pPr>
              <w:spacing w:after="0" w:line="240" w:lineRule="auto"/>
              <w:rPr>
                <w:rFonts w:cs="Arial"/>
                <w:sz w:val="20"/>
                <w:szCs w:val="20"/>
              </w:rPr>
            </w:pPr>
            <w:r w:rsidRPr="008A4B6D">
              <w:rPr>
                <w:rFonts w:cs="Arial"/>
                <w:sz w:val="20"/>
                <w:szCs w:val="20"/>
              </w:rPr>
              <w:t>Assessing the Role of Opportunity and Low Self-Control in Juvenile Hacking</w:t>
            </w:r>
          </w:p>
        </w:tc>
        <w:tc>
          <w:tcPr>
            <w:tcW w:w="271" w:type="pct"/>
            <w:shd w:val="clear" w:color="auto" w:fill="FFFFFF" w:themeFill="background1"/>
            <w:tcMar>
              <w:top w:w="30" w:type="dxa"/>
              <w:left w:w="45" w:type="dxa"/>
              <w:bottom w:w="30" w:type="dxa"/>
              <w:right w:w="45" w:type="dxa"/>
            </w:tcMar>
            <w:vAlign w:val="center"/>
          </w:tcPr>
          <w:p w14:paraId="782A1DDA" w14:textId="77777777" w:rsidR="00257689" w:rsidRPr="008A4B6D" w:rsidRDefault="00257689" w:rsidP="00DB1B2D">
            <w:pPr>
              <w:spacing w:after="0" w:line="240" w:lineRule="auto"/>
              <w:jc w:val="center"/>
              <w:rPr>
                <w:rFonts w:cs="Arial"/>
                <w:sz w:val="20"/>
                <w:szCs w:val="20"/>
              </w:rPr>
            </w:pPr>
            <w:r w:rsidRPr="008A4B6D">
              <w:rPr>
                <w:rFonts w:cs="Arial"/>
                <w:sz w:val="20"/>
                <w:szCs w:val="20"/>
              </w:rPr>
              <w:t>2021</w:t>
            </w:r>
          </w:p>
        </w:tc>
        <w:tc>
          <w:tcPr>
            <w:tcW w:w="1451" w:type="pct"/>
            <w:shd w:val="clear" w:color="auto" w:fill="FFFFFF" w:themeFill="background1"/>
            <w:tcMar>
              <w:top w:w="30" w:type="dxa"/>
              <w:left w:w="45" w:type="dxa"/>
              <w:bottom w:w="30" w:type="dxa"/>
              <w:right w:w="45" w:type="dxa"/>
            </w:tcMar>
            <w:vAlign w:val="center"/>
          </w:tcPr>
          <w:p w14:paraId="02C83381" w14:textId="77777777" w:rsidR="00257689" w:rsidRPr="008A4B6D" w:rsidRDefault="00257689" w:rsidP="00DB1B2D">
            <w:pPr>
              <w:spacing w:after="0" w:line="240" w:lineRule="auto"/>
              <w:jc w:val="both"/>
              <w:rPr>
                <w:rFonts w:cs="Arial"/>
                <w:sz w:val="20"/>
                <w:szCs w:val="20"/>
              </w:rPr>
            </w:pPr>
            <w:r w:rsidRPr="008A4B6D">
              <w:rPr>
                <w:rFonts w:cs="Arial"/>
                <w:sz w:val="20"/>
                <w:szCs w:val="20"/>
              </w:rPr>
              <w:t>10.1177/0011128720978730</w:t>
            </w:r>
          </w:p>
        </w:tc>
      </w:tr>
      <w:tr w:rsidR="00305011" w:rsidRPr="008A4B6D" w14:paraId="4EC2DF22" w14:textId="77777777" w:rsidTr="00F204C1">
        <w:tc>
          <w:tcPr>
            <w:tcW w:w="561" w:type="pct"/>
            <w:vMerge/>
            <w:shd w:val="clear" w:color="auto" w:fill="FFFFFF" w:themeFill="background1"/>
            <w:vAlign w:val="center"/>
          </w:tcPr>
          <w:p w14:paraId="3E84E825" w14:textId="77777777" w:rsidR="00257689" w:rsidRPr="008A4B6D" w:rsidRDefault="00257689" w:rsidP="00DB1B2D">
            <w:pPr>
              <w:spacing w:after="0" w:line="240" w:lineRule="auto"/>
              <w:jc w:val="both"/>
              <w:rPr>
                <w:rFonts w:cs="Arial"/>
                <w:sz w:val="20"/>
                <w:szCs w:val="20"/>
              </w:rPr>
            </w:pPr>
          </w:p>
        </w:tc>
        <w:tc>
          <w:tcPr>
            <w:tcW w:w="729" w:type="pct"/>
            <w:gridSpan w:val="2"/>
            <w:tcBorders>
              <w:bottom w:val="single" w:sz="4" w:space="0" w:color="auto"/>
            </w:tcBorders>
            <w:shd w:val="clear" w:color="auto" w:fill="FFFFFF" w:themeFill="background1"/>
            <w:tcMar>
              <w:top w:w="30" w:type="dxa"/>
              <w:left w:w="45" w:type="dxa"/>
              <w:bottom w:w="30" w:type="dxa"/>
              <w:right w:w="45" w:type="dxa"/>
            </w:tcMar>
            <w:vAlign w:val="center"/>
          </w:tcPr>
          <w:p w14:paraId="0BCAB00E" w14:textId="77777777" w:rsidR="00257689" w:rsidRPr="008A4B6D" w:rsidRDefault="00257689" w:rsidP="00DB1B2D">
            <w:pPr>
              <w:spacing w:after="0" w:line="240" w:lineRule="auto"/>
              <w:rPr>
                <w:rFonts w:cs="Arial"/>
                <w:sz w:val="20"/>
                <w:szCs w:val="20"/>
              </w:rPr>
            </w:pPr>
            <w:r w:rsidRPr="008A4B6D">
              <w:rPr>
                <w:rFonts w:cs="Arial"/>
                <w:sz w:val="20"/>
                <w:szCs w:val="20"/>
              </w:rPr>
              <w:t>Holt, Navarro and Clevenger</w:t>
            </w:r>
          </w:p>
        </w:tc>
        <w:tc>
          <w:tcPr>
            <w:tcW w:w="1987" w:type="pct"/>
            <w:tcBorders>
              <w:bottom w:val="single" w:sz="4" w:space="0" w:color="auto"/>
            </w:tcBorders>
            <w:shd w:val="clear" w:color="auto" w:fill="FFFFFF" w:themeFill="background1"/>
            <w:tcMar>
              <w:top w:w="30" w:type="dxa"/>
              <w:left w:w="45" w:type="dxa"/>
              <w:bottom w:w="30" w:type="dxa"/>
              <w:right w:w="45" w:type="dxa"/>
            </w:tcMar>
            <w:vAlign w:val="center"/>
          </w:tcPr>
          <w:p w14:paraId="79D0D00A" w14:textId="77777777" w:rsidR="00257689" w:rsidRPr="008A4B6D" w:rsidRDefault="00257689" w:rsidP="00DB1B2D">
            <w:pPr>
              <w:spacing w:after="0" w:line="240" w:lineRule="auto"/>
              <w:rPr>
                <w:rFonts w:cs="Arial"/>
                <w:sz w:val="20"/>
                <w:szCs w:val="20"/>
              </w:rPr>
            </w:pPr>
            <w:r w:rsidRPr="008A4B6D">
              <w:rPr>
                <w:rFonts w:cs="Arial"/>
                <w:sz w:val="20"/>
                <w:szCs w:val="20"/>
              </w:rPr>
              <w:t xml:space="preserve">Exploring the Moderating Role of Gender in Juvenile Hacking </w:t>
            </w:r>
            <w:proofErr w:type="spellStart"/>
            <w:r w:rsidRPr="008A4B6D">
              <w:rPr>
                <w:rFonts w:cs="Arial"/>
                <w:sz w:val="20"/>
                <w:szCs w:val="20"/>
              </w:rPr>
              <w:t>Behaviors</w:t>
            </w:r>
            <w:proofErr w:type="spellEnd"/>
          </w:p>
        </w:tc>
        <w:tc>
          <w:tcPr>
            <w:tcW w:w="271" w:type="pct"/>
            <w:tcBorders>
              <w:bottom w:val="single" w:sz="4" w:space="0" w:color="auto"/>
            </w:tcBorders>
            <w:shd w:val="clear" w:color="auto" w:fill="FFFFFF" w:themeFill="background1"/>
            <w:tcMar>
              <w:top w:w="30" w:type="dxa"/>
              <w:left w:w="45" w:type="dxa"/>
              <w:bottom w:w="30" w:type="dxa"/>
              <w:right w:w="45" w:type="dxa"/>
            </w:tcMar>
            <w:vAlign w:val="center"/>
          </w:tcPr>
          <w:p w14:paraId="5ACA105C" w14:textId="77777777" w:rsidR="00257689" w:rsidRPr="008A4B6D" w:rsidRDefault="00257689" w:rsidP="00DB1B2D">
            <w:pPr>
              <w:spacing w:after="0" w:line="240" w:lineRule="auto"/>
              <w:jc w:val="center"/>
              <w:rPr>
                <w:rFonts w:cs="Arial"/>
                <w:sz w:val="20"/>
                <w:szCs w:val="20"/>
              </w:rPr>
            </w:pPr>
            <w:r w:rsidRPr="008A4B6D">
              <w:rPr>
                <w:rFonts w:cs="Arial"/>
                <w:sz w:val="20"/>
                <w:szCs w:val="20"/>
              </w:rPr>
              <w:t>2020</w:t>
            </w:r>
          </w:p>
        </w:tc>
        <w:tc>
          <w:tcPr>
            <w:tcW w:w="1451" w:type="pct"/>
            <w:tcBorders>
              <w:bottom w:val="single" w:sz="4" w:space="0" w:color="auto"/>
            </w:tcBorders>
            <w:shd w:val="clear" w:color="auto" w:fill="FFFFFF" w:themeFill="background1"/>
            <w:tcMar>
              <w:top w:w="30" w:type="dxa"/>
              <w:left w:w="45" w:type="dxa"/>
              <w:bottom w:w="30" w:type="dxa"/>
              <w:right w:w="45" w:type="dxa"/>
            </w:tcMar>
            <w:vAlign w:val="center"/>
          </w:tcPr>
          <w:p w14:paraId="14E27583" w14:textId="77777777" w:rsidR="00257689" w:rsidRPr="008A4B6D" w:rsidRDefault="00257689" w:rsidP="00DB1B2D">
            <w:pPr>
              <w:spacing w:after="0" w:line="240" w:lineRule="auto"/>
              <w:jc w:val="both"/>
              <w:rPr>
                <w:rFonts w:cs="Arial"/>
                <w:sz w:val="20"/>
                <w:szCs w:val="20"/>
              </w:rPr>
            </w:pPr>
            <w:r w:rsidRPr="008A4B6D">
              <w:rPr>
                <w:rFonts w:cs="Arial"/>
                <w:sz w:val="20"/>
                <w:szCs w:val="20"/>
              </w:rPr>
              <w:t>10.1177/0011128719875697</w:t>
            </w:r>
          </w:p>
        </w:tc>
      </w:tr>
      <w:tr w:rsidR="00305011" w:rsidRPr="008A4B6D" w14:paraId="1A6B9299" w14:textId="77777777" w:rsidTr="00F204C1">
        <w:tc>
          <w:tcPr>
            <w:tcW w:w="561" w:type="pct"/>
            <w:vMerge/>
            <w:shd w:val="clear" w:color="auto" w:fill="FFFFFF" w:themeFill="background1"/>
            <w:vAlign w:val="center"/>
          </w:tcPr>
          <w:p w14:paraId="24F6EC33" w14:textId="77777777" w:rsidR="00257689" w:rsidRPr="008A4B6D" w:rsidRDefault="00257689" w:rsidP="00DB1B2D">
            <w:pPr>
              <w:spacing w:after="0" w:line="240" w:lineRule="auto"/>
              <w:jc w:val="both"/>
              <w:rPr>
                <w:rFonts w:cs="Arial"/>
                <w:sz w:val="20"/>
                <w:szCs w:val="20"/>
              </w:rPr>
            </w:pPr>
          </w:p>
        </w:tc>
        <w:tc>
          <w:tcPr>
            <w:tcW w:w="729" w:type="pct"/>
            <w:gridSpan w:val="2"/>
            <w:shd w:val="clear" w:color="auto" w:fill="FFFFFF" w:themeFill="background1"/>
            <w:tcMar>
              <w:top w:w="30" w:type="dxa"/>
              <w:left w:w="45" w:type="dxa"/>
              <w:bottom w:w="30" w:type="dxa"/>
              <w:right w:w="45" w:type="dxa"/>
            </w:tcMar>
            <w:vAlign w:val="center"/>
          </w:tcPr>
          <w:p w14:paraId="2FD039FE" w14:textId="77777777" w:rsidR="00257689" w:rsidRPr="008A4B6D" w:rsidRDefault="00257689" w:rsidP="00DB1B2D">
            <w:pPr>
              <w:spacing w:after="0" w:line="240" w:lineRule="auto"/>
              <w:rPr>
                <w:rFonts w:cs="Arial"/>
                <w:sz w:val="20"/>
                <w:szCs w:val="20"/>
              </w:rPr>
            </w:pPr>
            <w:r w:rsidRPr="008A4B6D">
              <w:rPr>
                <w:rFonts w:cs="Arial"/>
                <w:sz w:val="20"/>
                <w:szCs w:val="20"/>
              </w:rPr>
              <w:t>Lee and Holt</w:t>
            </w:r>
          </w:p>
        </w:tc>
        <w:tc>
          <w:tcPr>
            <w:tcW w:w="1987" w:type="pct"/>
            <w:shd w:val="clear" w:color="auto" w:fill="FFFFFF" w:themeFill="background1"/>
            <w:tcMar>
              <w:top w:w="30" w:type="dxa"/>
              <w:left w:w="45" w:type="dxa"/>
              <w:bottom w:w="30" w:type="dxa"/>
              <w:right w:w="45" w:type="dxa"/>
            </w:tcMar>
            <w:vAlign w:val="center"/>
          </w:tcPr>
          <w:p w14:paraId="624D9A77" w14:textId="77777777" w:rsidR="00257689" w:rsidRPr="008A4B6D" w:rsidRDefault="00257689" w:rsidP="00DB1B2D">
            <w:pPr>
              <w:spacing w:after="0" w:line="240" w:lineRule="auto"/>
              <w:rPr>
                <w:rFonts w:cs="Arial"/>
                <w:sz w:val="20"/>
                <w:szCs w:val="20"/>
              </w:rPr>
            </w:pPr>
            <w:r w:rsidRPr="008A4B6D">
              <w:rPr>
                <w:rFonts w:cs="Arial"/>
                <w:sz w:val="20"/>
                <w:szCs w:val="20"/>
              </w:rPr>
              <w:t xml:space="preserve">Assessing the Factors Associated </w:t>
            </w:r>
            <w:proofErr w:type="gramStart"/>
            <w:r w:rsidRPr="008A4B6D">
              <w:rPr>
                <w:rFonts w:cs="Arial"/>
                <w:sz w:val="20"/>
                <w:szCs w:val="20"/>
              </w:rPr>
              <w:t>With</w:t>
            </w:r>
            <w:proofErr w:type="gramEnd"/>
            <w:r w:rsidRPr="008A4B6D">
              <w:rPr>
                <w:rFonts w:cs="Arial"/>
                <w:sz w:val="20"/>
                <w:szCs w:val="20"/>
              </w:rPr>
              <w:t xml:space="preserve"> the Detection of Juvenile Hacking </w:t>
            </w:r>
            <w:proofErr w:type="spellStart"/>
            <w:r w:rsidRPr="008A4B6D">
              <w:rPr>
                <w:rFonts w:cs="Arial"/>
                <w:sz w:val="20"/>
                <w:szCs w:val="20"/>
              </w:rPr>
              <w:t>Behaviors</w:t>
            </w:r>
            <w:proofErr w:type="spellEnd"/>
          </w:p>
        </w:tc>
        <w:tc>
          <w:tcPr>
            <w:tcW w:w="271" w:type="pct"/>
            <w:shd w:val="clear" w:color="auto" w:fill="FFFFFF" w:themeFill="background1"/>
            <w:tcMar>
              <w:top w:w="30" w:type="dxa"/>
              <w:left w:w="45" w:type="dxa"/>
              <w:bottom w:w="30" w:type="dxa"/>
              <w:right w:w="45" w:type="dxa"/>
            </w:tcMar>
            <w:vAlign w:val="center"/>
          </w:tcPr>
          <w:p w14:paraId="562BB539" w14:textId="77777777" w:rsidR="00257689" w:rsidRPr="008A4B6D" w:rsidRDefault="00257689" w:rsidP="00DB1B2D">
            <w:pPr>
              <w:spacing w:after="0" w:line="240" w:lineRule="auto"/>
              <w:jc w:val="center"/>
              <w:rPr>
                <w:rFonts w:cs="Arial"/>
                <w:sz w:val="20"/>
                <w:szCs w:val="20"/>
              </w:rPr>
            </w:pPr>
            <w:r w:rsidRPr="008A4B6D">
              <w:rPr>
                <w:rFonts w:cs="Arial"/>
                <w:sz w:val="20"/>
                <w:szCs w:val="20"/>
              </w:rPr>
              <w:t>2020</w:t>
            </w:r>
          </w:p>
        </w:tc>
        <w:tc>
          <w:tcPr>
            <w:tcW w:w="1451" w:type="pct"/>
            <w:shd w:val="clear" w:color="auto" w:fill="FFFFFF" w:themeFill="background1"/>
            <w:tcMar>
              <w:top w:w="30" w:type="dxa"/>
              <w:left w:w="45" w:type="dxa"/>
              <w:bottom w:w="30" w:type="dxa"/>
              <w:right w:w="45" w:type="dxa"/>
            </w:tcMar>
            <w:vAlign w:val="center"/>
          </w:tcPr>
          <w:p w14:paraId="65D43E6C" w14:textId="77777777" w:rsidR="00257689" w:rsidRPr="008A4B6D" w:rsidRDefault="00257689" w:rsidP="00DB1B2D">
            <w:pPr>
              <w:spacing w:after="0" w:line="240" w:lineRule="auto"/>
              <w:jc w:val="both"/>
              <w:rPr>
                <w:rFonts w:cs="Arial"/>
                <w:sz w:val="20"/>
                <w:szCs w:val="20"/>
              </w:rPr>
            </w:pPr>
            <w:r w:rsidRPr="008A4B6D">
              <w:rPr>
                <w:rFonts w:cs="Arial"/>
                <w:sz w:val="20"/>
                <w:szCs w:val="20"/>
              </w:rPr>
              <w:t>10.3389/fpsyg.2020.00840</w:t>
            </w:r>
          </w:p>
        </w:tc>
      </w:tr>
      <w:tr w:rsidR="00305011" w:rsidRPr="008A4B6D" w14:paraId="3641B85D" w14:textId="77777777" w:rsidTr="00F204C1">
        <w:tc>
          <w:tcPr>
            <w:tcW w:w="561" w:type="pct"/>
            <w:vMerge/>
            <w:shd w:val="clear" w:color="auto" w:fill="FFFFFF" w:themeFill="background1"/>
            <w:vAlign w:val="center"/>
          </w:tcPr>
          <w:p w14:paraId="2BE3B77F" w14:textId="77777777" w:rsidR="00257689" w:rsidRPr="008A4B6D" w:rsidRDefault="00257689" w:rsidP="00DB1B2D">
            <w:pPr>
              <w:spacing w:after="0" w:line="240" w:lineRule="auto"/>
              <w:jc w:val="both"/>
              <w:rPr>
                <w:rFonts w:cs="Arial"/>
                <w:sz w:val="20"/>
                <w:szCs w:val="20"/>
              </w:rPr>
            </w:pPr>
          </w:p>
        </w:tc>
        <w:tc>
          <w:tcPr>
            <w:tcW w:w="729" w:type="pct"/>
            <w:gridSpan w:val="2"/>
            <w:shd w:val="clear" w:color="auto" w:fill="FFFFFF" w:themeFill="background1"/>
            <w:tcMar>
              <w:top w:w="30" w:type="dxa"/>
              <w:left w:w="45" w:type="dxa"/>
              <w:bottom w:w="30" w:type="dxa"/>
              <w:right w:w="45" w:type="dxa"/>
            </w:tcMar>
            <w:vAlign w:val="center"/>
          </w:tcPr>
          <w:p w14:paraId="5A035AA7" w14:textId="77777777" w:rsidR="00257689" w:rsidRPr="008A4B6D" w:rsidRDefault="00257689" w:rsidP="00DB1B2D">
            <w:pPr>
              <w:spacing w:after="0" w:line="240" w:lineRule="auto"/>
              <w:rPr>
                <w:rFonts w:cs="Arial"/>
                <w:sz w:val="20"/>
                <w:szCs w:val="20"/>
              </w:rPr>
            </w:pPr>
            <w:r w:rsidRPr="008A4B6D">
              <w:rPr>
                <w:rFonts w:cs="Arial"/>
                <w:sz w:val="20"/>
                <w:szCs w:val="20"/>
              </w:rPr>
              <w:t>Wright</w:t>
            </w:r>
          </w:p>
        </w:tc>
        <w:tc>
          <w:tcPr>
            <w:tcW w:w="1987" w:type="pct"/>
            <w:shd w:val="clear" w:color="auto" w:fill="FFFFFF" w:themeFill="background1"/>
            <w:tcMar>
              <w:top w:w="30" w:type="dxa"/>
              <w:left w:w="45" w:type="dxa"/>
              <w:bottom w:w="30" w:type="dxa"/>
              <w:right w:w="45" w:type="dxa"/>
            </w:tcMar>
            <w:vAlign w:val="center"/>
          </w:tcPr>
          <w:p w14:paraId="4DB99880" w14:textId="77777777" w:rsidR="00257689" w:rsidRPr="008A4B6D" w:rsidRDefault="00257689" w:rsidP="00DB1B2D">
            <w:pPr>
              <w:spacing w:after="0" w:line="240" w:lineRule="auto"/>
              <w:rPr>
                <w:rFonts w:cs="Arial"/>
                <w:sz w:val="20"/>
                <w:szCs w:val="20"/>
              </w:rPr>
            </w:pPr>
            <w:r w:rsidRPr="008A4B6D">
              <w:rPr>
                <w:rFonts w:cs="Arial"/>
                <w:sz w:val="20"/>
                <w:szCs w:val="20"/>
              </w:rPr>
              <w:t xml:space="preserve">The Role of Technologies, </w:t>
            </w:r>
            <w:proofErr w:type="spellStart"/>
            <w:r w:rsidRPr="008A4B6D">
              <w:rPr>
                <w:rFonts w:cs="Arial"/>
                <w:sz w:val="20"/>
                <w:szCs w:val="20"/>
              </w:rPr>
              <w:t>Behaviors</w:t>
            </w:r>
            <w:proofErr w:type="spellEnd"/>
            <w:r w:rsidRPr="008A4B6D">
              <w:rPr>
                <w:rFonts w:cs="Arial"/>
                <w:sz w:val="20"/>
                <w:szCs w:val="20"/>
              </w:rPr>
              <w:t>, Gender, and Gender Stereotype Traits in Adolescents’ Cyber Aggression</w:t>
            </w:r>
          </w:p>
        </w:tc>
        <w:tc>
          <w:tcPr>
            <w:tcW w:w="271" w:type="pct"/>
            <w:shd w:val="clear" w:color="auto" w:fill="FFFFFF" w:themeFill="background1"/>
            <w:tcMar>
              <w:top w:w="30" w:type="dxa"/>
              <w:left w:w="45" w:type="dxa"/>
              <w:bottom w:w="30" w:type="dxa"/>
              <w:right w:w="45" w:type="dxa"/>
            </w:tcMar>
            <w:vAlign w:val="center"/>
          </w:tcPr>
          <w:p w14:paraId="641C4C8D" w14:textId="77777777" w:rsidR="00257689" w:rsidRPr="008A4B6D" w:rsidRDefault="00257689" w:rsidP="00DB1B2D">
            <w:pPr>
              <w:spacing w:after="0" w:line="240" w:lineRule="auto"/>
              <w:jc w:val="center"/>
              <w:rPr>
                <w:rFonts w:cs="Arial"/>
                <w:sz w:val="20"/>
                <w:szCs w:val="20"/>
              </w:rPr>
            </w:pPr>
            <w:r w:rsidRPr="008A4B6D">
              <w:rPr>
                <w:rFonts w:cs="Arial"/>
                <w:sz w:val="20"/>
                <w:szCs w:val="20"/>
              </w:rPr>
              <w:t>2020</w:t>
            </w:r>
          </w:p>
        </w:tc>
        <w:tc>
          <w:tcPr>
            <w:tcW w:w="1451" w:type="pct"/>
            <w:shd w:val="clear" w:color="auto" w:fill="FFFFFF" w:themeFill="background1"/>
            <w:tcMar>
              <w:top w:w="30" w:type="dxa"/>
              <w:left w:w="45" w:type="dxa"/>
              <w:bottom w:w="30" w:type="dxa"/>
              <w:right w:w="45" w:type="dxa"/>
            </w:tcMar>
            <w:vAlign w:val="center"/>
          </w:tcPr>
          <w:p w14:paraId="2CB1A633" w14:textId="77777777" w:rsidR="00257689" w:rsidRPr="008A4B6D" w:rsidRDefault="00257689" w:rsidP="00DB1B2D">
            <w:pPr>
              <w:spacing w:after="0" w:line="240" w:lineRule="auto"/>
              <w:jc w:val="both"/>
              <w:rPr>
                <w:rFonts w:cs="Arial"/>
                <w:sz w:val="20"/>
                <w:szCs w:val="20"/>
              </w:rPr>
            </w:pPr>
            <w:r w:rsidRPr="008A4B6D">
              <w:rPr>
                <w:rFonts w:cs="Arial"/>
                <w:sz w:val="20"/>
                <w:szCs w:val="20"/>
              </w:rPr>
              <w:t>10.1177/0886260517696858</w:t>
            </w:r>
          </w:p>
        </w:tc>
      </w:tr>
      <w:tr w:rsidR="009C2621" w:rsidRPr="00956F72" w14:paraId="5992B85B" w14:textId="77777777" w:rsidTr="00F204C1">
        <w:trPr>
          <w:trHeight w:val="315"/>
        </w:trPr>
        <w:tc>
          <w:tcPr>
            <w:tcW w:w="561" w:type="pct"/>
            <w:vMerge w:val="restart"/>
            <w:shd w:val="clear" w:color="auto" w:fill="FFFFFF" w:themeFill="background1"/>
            <w:vAlign w:val="center"/>
          </w:tcPr>
          <w:p w14:paraId="23CF7E40" w14:textId="77777777" w:rsidR="004825F9" w:rsidRPr="00956F72" w:rsidRDefault="004825F9" w:rsidP="008F7DA0">
            <w:pPr>
              <w:spacing w:after="0"/>
              <w:jc w:val="both"/>
              <w:rPr>
                <w:rFonts w:cs="Arial"/>
                <w:sz w:val="20"/>
                <w:szCs w:val="20"/>
              </w:rPr>
            </w:pPr>
            <w:r w:rsidRPr="00956F72">
              <w:rPr>
                <w:rFonts w:cs="Arial"/>
                <w:sz w:val="20"/>
                <w:szCs w:val="20"/>
              </w:rPr>
              <w:lastRenderedPageBreak/>
              <w:t>Masculinity</w:t>
            </w:r>
          </w:p>
        </w:tc>
        <w:tc>
          <w:tcPr>
            <w:tcW w:w="729" w:type="pct"/>
            <w:gridSpan w:val="2"/>
            <w:tcBorders>
              <w:bottom w:val="single" w:sz="4" w:space="0" w:color="auto"/>
            </w:tcBorders>
            <w:shd w:val="clear" w:color="auto" w:fill="FFFFFF" w:themeFill="background1"/>
            <w:tcMar>
              <w:top w:w="30" w:type="dxa"/>
              <w:left w:w="45" w:type="dxa"/>
              <w:bottom w:w="30" w:type="dxa"/>
              <w:right w:w="45" w:type="dxa"/>
            </w:tcMar>
            <w:vAlign w:val="center"/>
          </w:tcPr>
          <w:p w14:paraId="6A2B131F" w14:textId="77777777" w:rsidR="004825F9" w:rsidRPr="00956F72" w:rsidRDefault="004825F9" w:rsidP="008F7DA0">
            <w:pPr>
              <w:spacing w:after="0"/>
              <w:rPr>
                <w:rFonts w:cs="Arial"/>
                <w:sz w:val="20"/>
                <w:szCs w:val="20"/>
              </w:rPr>
            </w:pPr>
            <w:r w:rsidRPr="00956F72">
              <w:rPr>
                <w:rFonts w:cs="Arial"/>
                <w:sz w:val="20"/>
                <w:szCs w:val="20"/>
              </w:rPr>
              <w:t>Aiken et al.</w:t>
            </w:r>
          </w:p>
        </w:tc>
        <w:tc>
          <w:tcPr>
            <w:tcW w:w="1987" w:type="pct"/>
            <w:tcBorders>
              <w:bottom w:val="single" w:sz="4" w:space="0" w:color="auto"/>
            </w:tcBorders>
            <w:shd w:val="clear" w:color="auto" w:fill="FFFFFF" w:themeFill="background1"/>
            <w:tcMar>
              <w:top w:w="30" w:type="dxa"/>
              <w:left w:w="45" w:type="dxa"/>
              <w:bottom w:w="30" w:type="dxa"/>
              <w:right w:w="45" w:type="dxa"/>
            </w:tcMar>
            <w:vAlign w:val="center"/>
          </w:tcPr>
          <w:p w14:paraId="11897D1B" w14:textId="77777777" w:rsidR="004825F9" w:rsidRPr="00956F72" w:rsidRDefault="004825F9" w:rsidP="008F7DA0">
            <w:pPr>
              <w:spacing w:after="0"/>
              <w:rPr>
                <w:rFonts w:cs="Arial"/>
                <w:sz w:val="20"/>
                <w:szCs w:val="20"/>
              </w:rPr>
            </w:pPr>
            <w:r w:rsidRPr="00956F72">
              <w:rPr>
                <w:rFonts w:cs="Arial"/>
                <w:sz w:val="20"/>
                <w:szCs w:val="20"/>
              </w:rPr>
              <w:t>Intention to Hack? Applying the Theory of Planned Behaviour to Youth Criminal Hacking</w:t>
            </w:r>
          </w:p>
        </w:tc>
        <w:tc>
          <w:tcPr>
            <w:tcW w:w="271" w:type="pct"/>
            <w:tcBorders>
              <w:bottom w:val="single" w:sz="4" w:space="0" w:color="auto"/>
            </w:tcBorders>
            <w:shd w:val="clear" w:color="auto" w:fill="FFFFFF" w:themeFill="background1"/>
            <w:tcMar>
              <w:top w:w="30" w:type="dxa"/>
              <w:left w:w="45" w:type="dxa"/>
              <w:bottom w:w="30" w:type="dxa"/>
              <w:right w:w="45" w:type="dxa"/>
            </w:tcMar>
            <w:vAlign w:val="center"/>
          </w:tcPr>
          <w:p w14:paraId="62913D6A" w14:textId="77777777" w:rsidR="004825F9" w:rsidRPr="00956F72" w:rsidRDefault="004825F9" w:rsidP="008F7DA0">
            <w:pPr>
              <w:spacing w:after="0"/>
              <w:jc w:val="center"/>
              <w:rPr>
                <w:rFonts w:cs="Arial"/>
                <w:sz w:val="20"/>
                <w:szCs w:val="20"/>
              </w:rPr>
            </w:pPr>
            <w:r w:rsidRPr="00956F72">
              <w:rPr>
                <w:rFonts w:cs="Arial"/>
                <w:sz w:val="20"/>
                <w:szCs w:val="20"/>
              </w:rPr>
              <w:t>2024</w:t>
            </w:r>
          </w:p>
        </w:tc>
        <w:tc>
          <w:tcPr>
            <w:tcW w:w="1451" w:type="pct"/>
            <w:tcBorders>
              <w:bottom w:val="single" w:sz="4" w:space="0" w:color="auto"/>
            </w:tcBorders>
            <w:shd w:val="clear" w:color="auto" w:fill="FFFFFF" w:themeFill="background1"/>
            <w:tcMar>
              <w:top w:w="30" w:type="dxa"/>
              <w:left w:w="45" w:type="dxa"/>
              <w:bottom w:w="30" w:type="dxa"/>
              <w:right w:w="45" w:type="dxa"/>
            </w:tcMar>
            <w:vAlign w:val="center"/>
          </w:tcPr>
          <w:p w14:paraId="78EDE5B8" w14:textId="77777777" w:rsidR="004825F9" w:rsidRPr="00956F72" w:rsidRDefault="004825F9" w:rsidP="008F7DA0">
            <w:pPr>
              <w:spacing w:after="0"/>
              <w:jc w:val="both"/>
              <w:rPr>
                <w:rFonts w:cs="Arial"/>
                <w:sz w:val="20"/>
                <w:szCs w:val="20"/>
              </w:rPr>
            </w:pPr>
            <w:r w:rsidRPr="00956F72">
              <w:rPr>
                <w:rFonts w:cs="Arial"/>
                <w:sz w:val="20"/>
                <w:szCs w:val="20"/>
              </w:rPr>
              <w:t>10.3390/forensicsci4010003</w:t>
            </w:r>
          </w:p>
        </w:tc>
      </w:tr>
      <w:tr w:rsidR="009C2621" w:rsidRPr="00956F72" w14:paraId="6307B8B5" w14:textId="77777777" w:rsidTr="00F204C1">
        <w:trPr>
          <w:trHeight w:val="315"/>
        </w:trPr>
        <w:tc>
          <w:tcPr>
            <w:tcW w:w="561" w:type="pct"/>
            <w:vMerge/>
            <w:shd w:val="clear" w:color="auto" w:fill="FFFFFF" w:themeFill="background1"/>
            <w:vAlign w:val="center"/>
          </w:tcPr>
          <w:p w14:paraId="6CB76647" w14:textId="77777777" w:rsidR="004825F9" w:rsidRPr="00956F72" w:rsidRDefault="004825F9" w:rsidP="008F7DA0">
            <w:pPr>
              <w:spacing w:after="0"/>
              <w:jc w:val="both"/>
              <w:rPr>
                <w:rFonts w:cs="Arial"/>
                <w:sz w:val="20"/>
                <w:szCs w:val="20"/>
              </w:rPr>
            </w:pPr>
          </w:p>
        </w:tc>
        <w:tc>
          <w:tcPr>
            <w:tcW w:w="729" w:type="pct"/>
            <w:gridSpan w:val="2"/>
            <w:tcBorders>
              <w:bottom w:val="single" w:sz="4" w:space="0" w:color="auto"/>
            </w:tcBorders>
            <w:shd w:val="clear" w:color="auto" w:fill="FFFFFF" w:themeFill="background1"/>
            <w:tcMar>
              <w:top w:w="30" w:type="dxa"/>
              <w:left w:w="45" w:type="dxa"/>
              <w:bottom w:w="30" w:type="dxa"/>
              <w:right w:w="45" w:type="dxa"/>
            </w:tcMar>
            <w:vAlign w:val="center"/>
          </w:tcPr>
          <w:p w14:paraId="52DBAF39" w14:textId="77777777" w:rsidR="004825F9" w:rsidRPr="00956F72" w:rsidRDefault="004825F9" w:rsidP="008F7DA0">
            <w:pPr>
              <w:spacing w:after="0"/>
              <w:rPr>
                <w:rFonts w:cs="Arial"/>
                <w:sz w:val="20"/>
                <w:szCs w:val="20"/>
              </w:rPr>
            </w:pPr>
            <w:r w:rsidRPr="00956F72">
              <w:rPr>
                <w:rFonts w:cs="Arial"/>
                <w:sz w:val="20"/>
                <w:szCs w:val="20"/>
              </w:rPr>
              <w:t>Fox and Holt</w:t>
            </w:r>
          </w:p>
        </w:tc>
        <w:tc>
          <w:tcPr>
            <w:tcW w:w="1987" w:type="pct"/>
            <w:tcBorders>
              <w:bottom w:val="single" w:sz="4" w:space="0" w:color="auto"/>
            </w:tcBorders>
            <w:shd w:val="clear" w:color="auto" w:fill="FFFFFF" w:themeFill="background1"/>
            <w:tcMar>
              <w:top w:w="30" w:type="dxa"/>
              <w:left w:w="45" w:type="dxa"/>
              <w:bottom w:w="30" w:type="dxa"/>
              <w:right w:w="45" w:type="dxa"/>
            </w:tcMar>
            <w:vAlign w:val="center"/>
          </w:tcPr>
          <w:p w14:paraId="50DDFA3E" w14:textId="77777777" w:rsidR="004825F9" w:rsidRPr="00956F72" w:rsidRDefault="004825F9" w:rsidP="008F7DA0">
            <w:pPr>
              <w:spacing w:after="0"/>
              <w:rPr>
                <w:rFonts w:cs="Arial"/>
                <w:sz w:val="20"/>
                <w:szCs w:val="20"/>
              </w:rPr>
            </w:pPr>
            <w:r w:rsidRPr="00956F72">
              <w:rPr>
                <w:rFonts w:cs="Arial"/>
                <w:sz w:val="20"/>
                <w:szCs w:val="20"/>
              </w:rPr>
              <w:t xml:space="preserve">Use of a </w:t>
            </w:r>
            <w:proofErr w:type="spellStart"/>
            <w:r w:rsidRPr="00956F72">
              <w:rPr>
                <w:rFonts w:cs="Arial"/>
                <w:sz w:val="20"/>
                <w:szCs w:val="20"/>
              </w:rPr>
              <w:t>Multitheoretic</w:t>
            </w:r>
            <w:proofErr w:type="spellEnd"/>
            <w:r w:rsidRPr="00956F72">
              <w:rPr>
                <w:rFonts w:cs="Arial"/>
                <w:sz w:val="20"/>
                <w:szCs w:val="20"/>
              </w:rPr>
              <w:t xml:space="preserve"> Model to Understand and Classify Juvenile Computer Hacking </w:t>
            </w:r>
            <w:proofErr w:type="spellStart"/>
            <w:r w:rsidRPr="00956F72">
              <w:rPr>
                <w:rFonts w:cs="Arial"/>
                <w:sz w:val="20"/>
                <w:szCs w:val="20"/>
              </w:rPr>
              <w:t>Behavior</w:t>
            </w:r>
            <w:proofErr w:type="spellEnd"/>
          </w:p>
        </w:tc>
        <w:tc>
          <w:tcPr>
            <w:tcW w:w="271" w:type="pct"/>
            <w:tcBorders>
              <w:bottom w:val="single" w:sz="4" w:space="0" w:color="auto"/>
            </w:tcBorders>
            <w:shd w:val="clear" w:color="auto" w:fill="FFFFFF" w:themeFill="background1"/>
            <w:tcMar>
              <w:top w:w="30" w:type="dxa"/>
              <w:left w:w="45" w:type="dxa"/>
              <w:bottom w:w="30" w:type="dxa"/>
              <w:right w:w="45" w:type="dxa"/>
            </w:tcMar>
            <w:vAlign w:val="center"/>
          </w:tcPr>
          <w:p w14:paraId="6ED602DF" w14:textId="77777777" w:rsidR="004825F9" w:rsidRPr="00956F72" w:rsidRDefault="004825F9" w:rsidP="008F7DA0">
            <w:pPr>
              <w:spacing w:after="0"/>
              <w:jc w:val="center"/>
              <w:rPr>
                <w:rFonts w:cs="Arial"/>
                <w:sz w:val="20"/>
                <w:szCs w:val="20"/>
              </w:rPr>
            </w:pPr>
            <w:r w:rsidRPr="00956F72">
              <w:rPr>
                <w:rFonts w:cs="Arial"/>
                <w:sz w:val="20"/>
                <w:szCs w:val="20"/>
              </w:rPr>
              <w:t>2021</w:t>
            </w:r>
          </w:p>
        </w:tc>
        <w:tc>
          <w:tcPr>
            <w:tcW w:w="1451" w:type="pct"/>
            <w:tcBorders>
              <w:bottom w:val="single" w:sz="4" w:space="0" w:color="auto"/>
            </w:tcBorders>
            <w:shd w:val="clear" w:color="auto" w:fill="FFFFFF" w:themeFill="background1"/>
            <w:tcMar>
              <w:top w:w="30" w:type="dxa"/>
              <w:left w:w="45" w:type="dxa"/>
              <w:bottom w:w="30" w:type="dxa"/>
              <w:right w:w="45" w:type="dxa"/>
            </w:tcMar>
            <w:vAlign w:val="center"/>
          </w:tcPr>
          <w:p w14:paraId="233929DD" w14:textId="77777777" w:rsidR="004825F9" w:rsidRPr="00956F72" w:rsidRDefault="004825F9" w:rsidP="008F7DA0">
            <w:pPr>
              <w:spacing w:after="0"/>
              <w:jc w:val="both"/>
              <w:rPr>
                <w:rFonts w:cs="Arial"/>
                <w:sz w:val="20"/>
                <w:szCs w:val="20"/>
              </w:rPr>
            </w:pPr>
            <w:r w:rsidRPr="00956F72">
              <w:rPr>
                <w:rFonts w:cs="Arial"/>
                <w:sz w:val="20"/>
                <w:szCs w:val="20"/>
              </w:rPr>
              <w:t>10.1177/0093854820969754</w:t>
            </w:r>
          </w:p>
        </w:tc>
      </w:tr>
      <w:tr w:rsidR="009C2621" w:rsidRPr="00956F72" w14:paraId="737CD54D" w14:textId="77777777" w:rsidTr="00F204C1">
        <w:trPr>
          <w:trHeight w:val="315"/>
        </w:trPr>
        <w:tc>
          <w:tcPr>
            <w:tcW w:w="561" w:type="pct"/>
            <w:vMerge/>
            <w:shd w:val="clear" w:color="auto" w:fill="FFFFFF" w:themeFill="background1"/>
            <w:vAlign w:val="center"/>
          </w:tcPr>
          <w:p w14:paraId="3A45E526" w14:textId="77777777" w:rsidR="004825F9" w:rsidRPr="00956F72" w:rsidRDefault="004825F9" w:rsidP="008F7DA0">
            <w:pPr>
              <w:spacing w:after="0"/>
              <w:jc w:val="both"/>
              <w:rPr>
                <w:rFonts w:cs="Arial"/>
                <w:sz w:val="20"/>
                <w:szCs w:val="20"/>
              </w:rPr>
            </w:pPr>
          </w:p>
        </w:tc>
        <w:tc>
          <w:tcPr>
            <w:tcW w:w="729" w:type="pct"/>
            <w:gridSpan w:val="2"/>
            <w:tcBorders>
              <w:bottom w:val="single" w:sz="4" w:space="0" w:color="auto"/>
            </w:tcBorders>
            <w:shd w:val="clear" w:color="auto" w:fill="FFFFFF" w:themeFill="background1"/>
            <w:tcMar>
              <w:top w:w="30" w:type="dxa"/>
              <w:left w:w="45" w:type="dxa"/>
              <w:bottom w:w="30" w:type="dxa"/>
              <w:right w:w="45" w:type="dxa"/>
            </w:tcMar>
            <w:vAlign w:val="center"/>
          </w:tcPr>
          <w:p w14:paraId="2674C423" w14:textId="77777777" w:rsidR="004825F9" w:rsidRPr="00956F72" w:rsidRDefault="004825F9" w:rsidP="008F7DA0">
            <w:pPr>
              <w:spacing w:after="0"/>
              <w:rPr>
                <w:rFonts w:cs="Arial"/>
                <w:sz w:val="20"/>
                <w:szCs w:val="20"/>
              </w:rPr>
            </w:pPr>
            <w:r w:rsidRPr="00956F72">
              <w:rPr>
                <w:rFonts w:cs="Arial"/>
                <w:sz w:val="20"/>
                <w:szCs w:val="20"/>
              </w:rPr>
              <w:t>Guo and Wang</w:t>
            </w:r>
          </w:p>
        </w:tc>
        <w:tc>
          <w:tcPr>
            <w:tcW w:w="1987" w:type="pct"/>
            <w:tcBorders>
              <w:bottom w:val="single" w:sz="4" w:space="0" w:color="auto"/>
            </w:tcBorders>
            <w:shd w:val="clear" w:color="auto" w:fill="FFFFFF" w:themeFill="background1"/>
            <w:tcMar>
              <w:top w:w="30" w:type="dxa"/>
              <w:left w:w="45" w:type="dxa"/>
              <w:bottom w:w="30" w:type="dxa"/>
              <w:right w:w="45" w:type="dxa"/>
            </w:tcMar>
            <w:vAlign w:val="center"/>
          </w:tcPr>
          <w:p w14:paraId="68954AAE" w14:textId="77777777" w:rsidR="004825F9" w:rsidRPr="00956F72" w:rsidRDefault="004825F9" w:rsidP="008F7DA0">
            <w:pPr>
              <w:spacing w:after="0"/>
              <w:rPr>
                <w:rFonts w:cs="Arial"/>
                <w:sz w:val="20"/>
                <w:szCs w:val="20"/>
              </w:rPr>
            </w:pPr>
            <w:r w:rsidRPr="00956F72">
              <w:rPr>
                <w:rFonts w:cs="Arial"/>
                <w:sz w:val="20"/>
                <w:szCs w:val="20"/>
              </w:rPr>
              <w:t>Investigating predictors of juvenile traditional and/or cyber offense using machine learning by constructing a decision support system</w:t>
            </w:r>
          </w:p>
        </w:tc>
        <w:tc>
          <w:tcPr>
            <w:tcW w:w="271" w:type="pct"/>
            <w:tcBorders>
              <w:bottom w:val="single" w:sz="4" w:space="0" w:color="auto"/>
            </w:tcBorders>
            <w:shd w:val="clear" w:color="auto" w:fill="FFFFFF" w:themeFill="background1"/>
            <w:tcMar>
              <w:top w:w="30" w:type="dxa"/>
              <w:left w:w="45" w:type="dxa"/>
              <w:bottom w:w="30" w:type="dxa"/>
              <w:right w:w="45" w:type="dxa"/>
            </w:tcMar>
            <w:vAlign w:val="center"/>
          </w:tcPr>
          <w:p w14:paraId="425ED87E" w14:textId="77777777" w:rsidR="004825F9" w:rsidRPr="00956F72" w:rsidRDefault="004825F9" w:rsidP="008F7DA0">
            <w:pPr>
              <w:spacing w:after="0"/>
              <w:jc w:val="center"/>
              <w:rPr>
                <w:rFonts w:cs="Arial"/>
                <w:sz w:val="20"/>
                <w:szCs w:val="20"/>
              </w:rPr>
            </w:pPr>
            <w:r w:rsidRPr="00956F72">
              <w:rPr>
                <w:rFonts w:cs="Arial"/>
                <w:sz w:val="20"/>
                <w:szCs w:val="20"/>
              </w:rPr>
              <w:t>2024</w:t>
            </w:r>
          </w:p>
        </w:tc>
        <w:tc>
          <w:tcPr>
            <w:tcW w:w="1451" w:type="pct"/>
            <w:tcBorders>
              <w:bottom w:val="single" w:sz="4" w:space="0" w:color="auto"/>
            </w:tcBorders>
            <w:shd w:val="clear" w:color="auto" w:fill="FFFFFF" w:themeFill="background1"/>
            <w:tcMar>
              <w:top w:w="30" w:type="dxa"/>
              <w:left w:w="45" w:type="dxa"/>
              <w:bottom w:w="30" w:type="dxa"/>
              <w:right w:w="45" w:type="dxa"/>
            </w:tcMar>
            <w:vAlign w:val="center"/>
          </w:tcPr>
          <w:p w14:paraId="4BA42719" w14:textId="77777777" w:rsidR="004825F9" w:rsidRPr="00956F72" w:rsidRDefault="004825F9" w:rsidP="008F7DA0">
            <w:pPr>
              <w:spacing w:after="0"/>
              <w:jc w:val="both"/>
              <w:rPr>
                <w:rFonts w:cs="Arial"/>
                <w:sz w:val="20"/>
                <w:szCs w:val="20"/>
              </w:rPr>
            </w:pPr>
            <w:r w:rsidRPr="00956F72">
              <w:rPr>
                <w:rFonts w:cs="Arial"/>
                <w:sz w:val="20"/>
                <w:szCs w:val="20"/>
              </w:rPr>
              <w:t>10.1016/j.chb.2023.108079</w:t>
            </w:r>
          </w:p>
        </w:tc>
      </w:tr>
      <w:tr w:rsidR="009C2621" w:rsidRPr="00956F72" w14:paraId="43DDBCDD" w14:textId="77777777" w:rsidTr="00F204C1">
        <w:trPr>
          <w:trHeight w:val="315"/>
        </w:trPr>
        <w:tc>
          <w:tcPr>
            <w:tcW w:w="561" w:type="pct"/>
            <w:vMerge/>
            <w:shd w:val="clear" w:color="auto" w:fill="FFFFFF" w:themeFill="background1"/>
            <w:vAlign w:val="center"/>
          </w:tcPr>
          <w:p w14:paraId="170FE868" w14:textId="77777777" w:rsidR="004825F9" w:rsidRPr="00956F72" w:rsidRDefault="004825F9" w:rsidP="008F7DA0">
            <w:pPr>
              <w:spacing w:after="0"/>
              <w:jc w:val="both"/>
              <w:rPr>
                <w:rFonts w:cs="Arial"/>
                <w:sz w:val="20"/>
                <w:szCs w:val="20"/>
              </w:rPr>
            </w:pPr>
          </w:p>
        </w:tc>
        <w:tc>
          <w:tcPr>
            <w:tcW w:w="729" w:type="pct"/>
            <w:gridSpan w:val="2"/>
            <w:tcBorders>
              <w:bottom w:val="single" w:sz="4" w:space="0" w:color="auto"/>
            </w:tcBorders>
            <w:shd w:val="clear" w:color="auto" w:fill="FFFFFF" w:themeFill="background1"/>
            <w:tcMar>
              <w:top w:w="30" w:type="dxa"/>
              <w:left w:w="45" w:type="dxa"/>
              <w:bottom w:w="30" w:type="dxa"/>
              <w:right w:w="45" w:type="dxa"/>
            </w:tcMar>
            <w:vAlign w:val="center"/>
          </w:tcPr>
          <w:p w14:paraId="585393F4" w14:textId="77777777" w:rsidR="004825F9" w:rsidRPr="00956F72" w:rsidRDefault="004825F9" w:rsidP="008F7DA0">
            <w:pPr>
              <w:spacing w:after="0"/>
              <w:rPr>
                <w:rFonts w:cs="Arial"/>
                <w:sz w:val="20"/>
                <w:szCs w:val="20"/>
              </w:rPr>
            </w:pPr>
            <w:r w:rsidRPr="00956F72">
              <w:rPr>
                <w:rFonts w:cs="Arial"/>
                <w:sz w:val="20"/>
                <w:szCs w:val="20"/>
              </w:rPr>
              <w:t>Holt et al.</w:t>
            </w:r>
          </w:p>
        </w:tc>
        <w:tc>
          <w:tcPr>
            <w:tcW w:w="1987" w:type="pct"/>
            <w:tcBorders>
              <w:bottom w:val="single" w:sz="4" w:space="0" w:color="auto"/>
            </w:tcBorders>
            <w:shd w:val="clear" w:color="auto" w:fill="FFFFFF" w:themeFill="background1"/>
            <w:tcMar>
              <w:top w:w="30" w:type="dxa"/>
              <w:left w:w="45" w:type="dxa"/>
              <w:bottom w:w="30" w:type="dxa"/>
              <w:right w:w="45" w:type="dxa"/>
            </w:tcMar>
            <w:vAlign w:val="center"/>
          </w:tcPr>
          <w:p w14:paraId="195FDDFF" w14:textId="77777777" w:rsidR="004825F9" w:rsidRPr="00956F72" w:rsidRDefault="004825F9" w:rsidP="008F7DA0">
            <w:pPr>
              <w:spacing w:after="0"/>
              <w:rPr>
                <w:rFonts w:cs="Arial"/>
                <w:sz w:val="20"/>
                <w:szCs w:val="20"/>
              </w:rPr>
            </w:pPr>
            <w:r w:rsidRPr="00956F72">
              <w:rPr>
                <w:rFonts w:cs="Arial"/>
                <w:sz w:val="20"/>
                <w:szCs w:val="20"/>
              </w:rPr>
              <w:t>Assessing the Role of Opportunity and Low Self-Control in Juvenile Hacking</w:t>
            </w:r>
          </w:p>
        </w:tc>
        <w:tc>
          <w:tcPr>
            <w:tcW w:w="271" w:type="pct"/>
            <w:tcBorders>
              <w:bottom w:val="single" w:sz="4" w:space="0" w:color="auto"/>
            </w:tcBorders>
            <w:shd w:val="clear" w:color="auto" w:fill="FFFFFF" w:themeFill="background1"/>
            <w:tcMar>
              <w:top w:w="30" w:type="dxa"/>
              <w:left w:w="45" w:type="dxa"/>
              <w:bottom w:w="30" w:type="dxa"/>
              <w:right w:w="45" w:type="dxa"/>
            </w:tcMar>
            <w:vAlign w:val="center"/>
          </w:tcPr>
          <w:p w14:paraId="0DD437C3" w14:textId="77777777" w:rsidR="004825F9" w:rsidRPr="00956F72" w:rsidRDefault="004825F9" w:rsidP="008F7DA0">
            <w:pPr>
              <w:spacing w:after="0"/>
              <w:jc w:val="center"/>
              <w:rPr>
                <w:rFonts w:cs="Arial"/>
                <w:sz w:val="20"/>
                <w:szCs w:val="20"/>
              </w:rPr>
            </w:pPr>
            <w:r w:rsidRPr="00956F72">
              <w:rPr>
                <w:rFonts w:cs="Arial"/>
                <w:sz w:val="20"/>
                <w:szCs w:val="20"/>
              </w:rPr>
              <w:t>2021</w:t>
            </w:r>
          </w:p>
        </w:tc>
        <w:tc>
          <w:tcPr>
            <w:tcW w:w="1451" w:type="pct"/>
            <w:tcBorders>
              <w:bottom w:val="single" w:sz="4" w:space="0" w:color="auto"/>
            </w:tcBorders>
            <w:shd w:val="clear" w:color="auto" w:fill="FFFFFF" w:themeFill="background1"/>
            <w:tcMar>
              <w:top w:w="30" w:type="dxa"/>
              <w:left w:w="45" w:type="dxa"/>
              <w:bottom w:w="30" w:type="dxa"/>
              <w:right w:w="45" w:type="dxa"/>
            </w:tcMar>
            <w:vAlign w:val="center"/>
          </w:tcPr>
          <w:p w14:paraId="216BE931" w14:textId="77777777" w:rsidR="004825F9" w:rsidRPr="00956F72" w:rsidRDefault="004825F9" w:rsidP="008F7DA0">
            <w:pPr>
              <w:spacing w:after="0"/>
              <w:jc w:val="both"/>
              <w:rPr>
                <w:rFonts w:cs="Arial"/>
                <w:sz w:val="20"/>
                <w:szCs w:val="20"/>
              </w:rPr>
            </w:pPr>
            <w:r w:rsidRPr="00956F72">
              <w:rPr>
                <w:rFonts w:cs="Arial"/>
                <w:sz w:val="20"/>
                <w:szCs w:val="20"/>
              </w:rPr>
              <w:t>10.1177/0011128720978730</w:t>
            </w:r>
          </w:p>
        </w:tc>
      </w:tr>
      <w:tr w:rsidR="009C2621" w:rsidRPr="00956F72" w14:paraId="5A340920" w14:textId="77777777" w:rsidTr="00F204C1">
        <w:trPr>
          <w:trHeight w:val="315"/>
        </w:trPr>
        <w:tc>
          <w:tcPr>
            <w:tcW w:w="561" w:type="pct"/>
            <w:vMerge/>
            <w:shd w:val="clear" w:color="auto" w:fill="FFFFFF" w:themeFill="background1"/>
            <w:vAlign w:val="center"/>
          </w:tcPr>
          <w:p w14:paraId="2CA34FBD" w14:textId="77777777" w:rsidR="004825F9" w:rsidRPr="00956F72" w:rsidRDefault="004825F9" w:rsidP="008F7DA0">
            <w:pPr>
              <w:spacing w:after="0"/>
              <w:jc w:val="both"/>
              <w:rPr>
                <w:rFonts w:cs="Arial"/>
                <w:sz w:val="20"/>
                <w:szCs w:val="20"/>
              </w:rPr>
            </w:pPr>
          </w:p>
        </w:tc>
        <w:tc>
          <w:tcPr>
            <w:tcW w:w="729" w:type="pct"/>
            <w:gridSpan w:val="2"/>
            <w:tcBorders>
              <w:bottom w:val="single" w:sz="4" w:space="0" w:color="auto"/>
            </w:tcBorders>
            <w:shd w:val="clear" w:color="auto" w:fill="FFFFFF" w:themeFill="background1"/>
            <w:tcMar>
              <w:top w:w="30" w:type="dxa"/>
              <w:left w:w="45" w:type="dxa"/>
              <w:bottom w:w="30" w:type="dxa"/>
              <w:right w:w="45" w:type="dxa"/>
            </w:tcMar>
            <w:vAlign w:val="center"/>
          </w:tcPr>
          <w:p w14:paraId="1036DD41" w14:textId="77777777" w:rsidR="004825F9" w:rsidRPr="00956F72" w:rsidRDefault="004825F9" w:rsidP="008F7DA0">
            <w:pPr>
              <w:spacing w:after="0"/>
              <w:rPr>
                <w:rFonts w:cs="Arial"/>
                <w:sz w:val="20"/>
                <w:szCs w:val="20"/>
              </w:rPr>
            </w:pPr>
            <w:r w:rsidRPr="00956F72">
              <w:rPr>
                <w:rFonts w:cs="Arial"/>
                <w:sz w:val="20"/>
                <w:szCs w:val="20"/>
              </w:rPr>
              <w:t>Holt, Navarro and Clevenger</w:t>
            </w:r>
          </w:p>
        </w:tc>
        <w:tc>
          <w:tcPr>
            <w:tcW w:w="1987" w:type="pct"/>
            <w:tcBorders>
              <w:bottom w:val="single" w:sz="4" w:space="0" w:color="auto"/>
            </w:tcBorders>
            <w:shd w:val="clear" w:color="auto" w:fill="FFFFFF" w:themeFill="background1"/>
            <w:tcMar>
              <w:top w:w="30" w:type="dxa"/>
              <w:left w:w="45" w:type="dxa"/>
              <w:bottom w:w="30" w:type="dxa"/>
              <w:right w:w="45" w:type="dxa"/>
            </w:tcMar>
            <w:vAlign w:val="center"/>
          </w:tcPr>
          <w:p w14:paraId="23D2C70E" w14:textId="77777777" w:rsidR="004825F9" w:rsidRPr="00956F72" w:rsidRDefault="004825F9" w:rsidP="008F7DA0">
            <w:pPr>
              <w:spacing w:after="0"/>
              <w:rPr>
                <w:rFonts w:cs="Arial"/>
                <w:sz w:val="20"/>
                <w:szCs w:val="20"/>
              </w:rPr>
            </w:pPr>
            <w:r w:rsidRPr="00956F72">
              <w:rPr>
                <w:rFonts w:cs="Arial"/>
                <w:sz w:val="20"/>
                <w:szCs w:val="20"/>
              </w:rPr>
              <w:t xml:space="preserve">Exploring the Moderating Role of Gender in Juvenile Hacking </w:t>
            </w:r>
            <w:proofErr w:type="spellStart"/>
            <w:r w:rsidRPr="00956F72">
              <w:rPr>
                <w:rFonts w:cs="Arial"/>
                <w:sz w:val="20"/>
                <w:szCs w:val="20"/>
              </w:rPr>
              <w:t>Behaviors</w:t>
            </w:r>
            <w:proofErr w:type="spellEnd"/>
          </w:p>
        </w:tc>
        <w:tc>
          <w:tcPr>
            <w:tcW w:w="271" w:type="pct"/>
            <w:tcBorders>
              <w:bottom w:val="single" w:sz="4" w:space="0" w:color="auto"/>
            </w:tcBorders>
            <w:shd w:val="clear" w:color="auto" w:fill="FFFFFF" w:themeFill="background1"/>
            <w:tcMar>
              <w:top w:w="30" w:type="dxa"/>
              <w:left w:w="45" w:type="dxa"/>
              <w:bottom w:w="30" w:type="dxa"/>
              <w:right w:w="45" w:type="dxa"/>
            </w:tcMar>
            <w:vAlign w:val="center"/>
          </w:tcPr>
          <w:p w14:paraId="682B1FA7" w14:textId="77777777" w:rsidR="004825F9" w:rsidRPr="00956F72" w:rsidRDefault="004825F9" w:rsidP="008F7DA0">
            <w:pPr>
              <w:spacing w:after="0"/>
              <w:jc w:val="center"/>
              <w:rPr>
                <w:rFonts w:cs="Arial"/>
                <w:sz w:val="20"/>
                <w:szCs w:val="20"/>
              </w:rPr>
            </w:pPr>
            <w:r w:rsidRPr="00956F72">
              <w:rPr>
                <w:rFonts w:cs="Arial"/>
                <w:sz w:val="20"/>
                <w:szCs w:val="20"/>
              </w:rPr>
              <w:t>2020</w:t>
            </w:r>
          </w:p>
        </w:tc>
        <w:tc>
          <w:tcPr>
            <w:tcW w:w="1451" w:type="pct"/>
            <w:tcBorders>
              <w:bottom w:val="single" w:sz="4" w:space="0" w:color="auto"/>
            </w:tcBorders>
            <w:shd w:val="clear" w:color="auto" w:fill="FFFFFF" w:themeFill="background1"/>
            <w:tcMar>
              <w:top w:w="30" w:type="dxa"/>
              <w:left w:w="45" w:type="dxa"/>
              <w:bottom w:w="30" w:type="dxa"/>
              <w:right w:w="45" w:type="dxa"/>
            </w:tcMar>
            <w:vAlign w:val="center"/>
          </w:tcPr>
          <w:p w14:paraId="596A3304" w14:textId="77777777" w:rsidR="004825F9" w:rsidRPr="00956F72" w:rsidRDefault="004825F9" w:rsidP="008F7DA0">
            <w:pPr>
              <w:spacing w:after="0"/>
              <w:jc w:val="both"/>
              <w:rPr>
                <w:rFonts w:cs="Arial"/>
                <w:sz w:val="20"/>
                <w:szCs w:val="20"/>
              </w:rPr>
            </w:pPr>
            <w:r w:rsidRPr="00956F72">
              <w:rPr>
                <w:rFonts w:cs="Arial"/>
                <w:sz w:val="20"/>
                <w:szCs w:val="20"/>
              </w:rPr>
              <w:t>10.1177/0011128719875697</w:t>
            </w:r>
          </w:p>
        </w:tc>
      </w:tr>
      <w:tr w:rsidR="009C2621" w:rsidRPr="00956F72" w14:paraId="35470827" w14:textId="77777777" w:rsidTr="00F204C1">
        <w:trPr>
          <w:trHeight w:val="315"/>
        </w:trPr>
        <w:tc>
          <w:tcPr>
            <w:tcW w:w="561" w:type="pct"/>
            <w:vMerge/>
            <w:shd w:val="clear" w:color="auto" w:fill="FFFFFF" w:themeFill="background1"/>
            <w:vAlign w:val="center"/>
          </w:tcPr>
          <w:p w14:paraId="194F0750" w14:textId="77777777" w:rsidR="004825F9" w:rsidRPr="00956F72" w:rsidRDefault="004825F9" w:rsidP="008F7DA0">
            <w:pPr>
              <w:spacing w:after="0"/>
              <w:jc w:val="both"/>
              <w:rPr>
                <w:rFonts w:cs="Arial"/>
                <w:sz w:val="20"/>
                <w:szCs w:val="20"/>
              </w:rPr>
            </w:pPr>
          </w:p>
        </w:tc>
        <w:tc>
          <w:tcPr>
            <w:tcW w:w="729" w:type="pct"/>
            <w:gridSpan w:val="2"/>
            <w:tcBorders>
              <w:bottom w:val="single" w:sz="4" w:space="0" w:color="auto"/>
            </w:tcBorders>
            <w:shd w:val="clear" w:color="auto" w:fill="FFFFFF" w:themeFill="background1"/>
            <w:tcMar>
              <w:top w:w="30" w:type="dxa"/>
              <w:left w:w="45" w:type="dxa"/>
              <w:bottom w:w="30" w:type="dxa"/>
              <w:right w:w="45" w:type="dxa"/>
            </w:tcMar>
            <w:vAlign w:val="center"/>
          </w:tcPr>
          <w:p w14:paraId="07D8571E" w14:textId="77777777" w:rsidR="004825F9" w:rsidRPr="00956F72" w:rsidRDefault="004825F9" w:rsidP="008F7DA0">
            <w:pPr>
              <w:spacing w:after="0"/>
              <w:rPr>
                <w:rFonts w:cs="Arial"/>
                <w:sz w:val="20"/>
                <w:szCs w:val="20"/>
              </w:rPr>
            </w:pPr>
            <w:r w:rsidRPr="00956F72">
              <w:rPr>
                <w:rFonts w:cs="Arial"/>
                <w:sz w:val="20"/>
                <w:szCs w:val="20"/>
              </w:rPr>
              <w:t>Kim, Leban and Lee</w:t>
            </w:r>
          </w:p>
        </w:tc>
        <w:tc>
          <w:tcPr>
            <w:tcW w:w="1987" w:type="pct"/>
            <w:tcBorders>
              <w:bottom w:val="single" w:sz="4" w:space="0" w:color="auto"/>
            </w:tcBorders>
            <w:shd w:val="clear" w:color="auto" w:fill="FFFFFF" w:themeFill="background1"/>
            <w:tcMar>
              <w:top w:w="30" w:type="dxa"/>
              <w:left w:w="45" w:type="dxa"/>
              <w:bottom w:w="30" w:type="dxa"/>
              <w:right w:w="45" w:type="dxa"/>
            </w:tcMar>
            <w:vAlign w:val="center"/>
          </w:tcPr>
          <w:p w14:paraId="1192BF37" w14:textId="77777777" w:rsidR="004825F9" w:rsidRPr="00956F72" w:rsidRDefault="004825F9" w:rsidP="008F7DA0">
            <w:pPr>
              <w:spacing w:after="0"/>
              <w:rPr>
                <w:rFonts w:cs="Arial"/>
                <w:sz w:val="20"/>
                <w:szCs w:val="20"/>
              </w:rPr>
            </w:pPr>
            <w:r w:rsidRPr="00956F72">
              <w:rPr>
                <w:rFonts w:cs="Arial"/>
                <w:sz w:val="20"/>
                <w:szCs w:val="20"/>
              </w:rPr>
              <w:t>Theoretical Explanations of the Development of Youth Hacking</w:t>
            </w:r>
          </w:p>
        </w:tc>
        <w:tc>
          <w:tcPr>
            <w:tcW w:w="271" w:type="pct"/>
            <w:tcBorders>
              <w:bottom w:val="single" w:sz="4" w:space="0" w:color="auto"/>
            </w:tcBorders>
            <w:shd w:val="clear" w:color="auto" w:fill="FFFFFF" w:themeFill="background1"/>
            <w:tcMar>
              <w:top w:w="30" w:type="dxa"/>
              <w:left w:w="45" w:type="dxa"/>
              <w:bottom w:w="30" w:type="dxa"/>
              <w:right w:w="45" w:type="dxa"/>
            </w:tcMar>
            <w:vAlign w:val="center"/>
          </w:tcPr>
          <w:p w14:paraId="45BE65FD" w14:textId="77777777" w:rsidR="004825F9" w:rsidRPr="00956F72" w:rsidRDefault="004825F9" w:rsidP="008F7DA0">
            <w:pPr>
              <w:spacing w:after="0"/>
              <w:jc w:val="center"/>
              <w:rPr>
                <w:rFonts w:cs="Arial"/>
                <w:sz w:val="20"/>
                <w:szCs w:val="20"/>
              </w:rPr>
            </w:pPr>
            <w:r w:rsidRPr="00956F72">
              <w:rPr>
                <w:rFonts w:cs="Arial"/>
                <w:sz w:val="20"/>
                <w:szCs w:val="20"/>
              </w:rPr>
              <w:t>2024</w:t>
            </w:r>
          </w:p>
        </w:tc>
        <w:tc>
          <w:tcPr>
            <w:tcW w:w="1451" w:type="pct"/>
            <w:tcBorders>
              <w:bottom w:val="single" w:sz="4" w:space="0" w:color="auto"/>
            </w:tcBorders>
            <w:shd w:val="clear" w:color="auto" w:fill="FFFFFF" w:themeFill="background1"/>
            <w:tcMar>
              <w:top w:w="30" w:type="dxa"/>
              <w:left w:w="45" w:type="dxa"/>
              <w:bottom w:w="30" w:type="dxa"/>
              <w:right w:w="45" w:type="dxa"/>
            </w:tcMar>
            <w:vAlign w:val="center"/>
          </w:tcPr>
          <w:p w14:paraId="345B7FEA" w14:textId="77777777" w:rsidR="004825F9" w:rsidRPr="00956F72" w:rsidRDefault="004825F9" w:rsidP="008F7DA0">
            <w:pPr>
              <w:spacing w:after="0"/>
              <w:jc w:val="both"/>
              <w:rPr>
                <w:rFonts w:cs="Arial"/>
                <w:sz w:val="20"/>
                <w:szCs w:val="20"/>
              </w:rPr>
            </w:pPr>
            <w:r w:rsidRPr="00956F72">
              <w:rPr>
                <w:rFonts w:cs="Arial"/>
                <w:sz w:val="20"/>
                <w:szCs w:val="20"/>
              </w:rPr>
              <w:t>10.1177/00111287221115639</w:t>
            </w:r>
          </w:p>
        </w:tc>
      </w:tr>
      <w:tr w:rsidR="009C2621" w:rsidRPr="00956F72" w14:paraId="04F639BC" w14:textId="77777777" w:rsidTr="00F204C1">
        <w:trPr>
          <w:trHeight w:val="315"/>
        </w:trPr>
        <w:tc>
          <w:tcPr>
            <w:tcW w:w="561" w:type="pct"/>
            <w:vMerge/>
            <w:shd w:val="clear" w:color="auto" w:fill="FFFFFF" w:themeFill="background1"/>
            <w:vAlign w:val="center"/>
          </w:tcPr>
          <w:p w14:paraId="01109956" w14:textId="77777777" w:rsidR="004825F9" w:rsidRPr="00956F72" w:rsidRDefault="004825F9" w:rsidP="008F7DA0">
            <w:pPr>
              <w:spacing w:after="0"/>
              <w:jc w:val="both"/>
              <w:rPr>
                <w:rFonts w:cs="Arial"/>
                <w:sz w:val="20"/>
                <w:szCs w:val="20"/>
              </w:rPr>
            </w:pPr>
          </w:p>
        </w:tc>
        <w:tc>
          <w:tcPr>
            <w:tcW w:w="729" w:type="pct"/>
            <w:gridSpan w:val="2"/>
            <w:tcBorders>
              <w:bottom w:val="single" w:sz="4" w:space="0" w:color="auto"/>
            </w:tcBorders>
            <w:shd w:val="clear" w:color="auto" w:fill="FFFFFF" w:themeFill="background1"/>
            <w:tcMar>
              <w:top w:w="30" w:type="dxa"/>
              <w:left w:w="45" w:type="dxa"/>
              <w:bottom w:w="30" w:type="dxa"/>
              <w:right w:w="45" w:type="dxa"/>
            </w:tcMar>
            <w:vAlign w:val="center"/>
          </w:tcPr>
          <w:p w14:paraId="74D7318F" w14:textId="77777777" w:rsidR="004825F9" w:rsidRPr="00956F72" w:rsidRDefault="004825F9" w:rsidP="008F7DA0">
            <w:pPr>
              <w:spacing w:after="0"/>
              <w:rPr>
                <w:rFonts w:cs="Arial"/>
                <w:sz w:val="20"/>
                <w:szCs w:val="20"/>
              </w:rPr>
            </w:pPr>
            <w:r w:rsidRPr="00956F72">
              <w:rPr>
                <w:rFonts w:cs="Arial"/>
                <w:sz w:val="20"/>
                <w:szCs w:val="20"/>
              </w:rPr>
              <w:t>Walters</w:t>
            </w:r>
          </w:p>
        </w:tc>
        <w:tc>
          <w:tcPr>
            <w:tcW w:w="1987" w:type="pct"/>
            <w:tcBorders>
              <w:bottom w:val="single" w:sz="4" w:space="0" w:color="auto"/>
            </w:tcBorders>
            <w:shd w:val="clear" w:color="auto" w:fill="FFFFFF" w:themeFill="background1"/>
            <w:tcMar>
              <w:top w:w="30" w:type="dxa"/>
              <w:left w:w="45" w:type="dxa"/>
              <w:bottom w:w="30" w:type="dxa"/>
              <w:right w:w="45" w:type="dxa"/>
            </w:tcMar>
            <w:vAlign w:val="center"/>
          </w:tcPr>
          <w:p w14:paraId="7E95396D" w14:textId="77777777" w:rsidR="004825F9" w:rsidRPr="00956F72" w:rsidRDefault="004825F9" w:rsidP="008F7DA0">
            <w:pPr>
              <w:spacing w:after="0"/>
              <w:rPr>
                <w:rFonts w:cs="Arial"/>
                <w:sz w:val="20"/>
                <w:szCs w:val="20"/>
              </w:rPr>
            </w:pPr>
            <w:r w:rsidRPr="00956F72">
              <w:rPr>
                <w:rFonts w:cs="Arial"/>
                <w:sz w:val="20"/>
                <w:szCs w:val="20"/>
              </w:rPr>
              <w:t>The Person-Computer Interface in Delinquency Research: Proactive Criminal Thinking as a Moderator of the Hacking with Peers–Juvenile Offending Relationship</w:t>
            </w:r>
          </w:p>
        </w:tc>
        <w:tc>
          <w:tcPr>
            <w:tcW w:w="271" w:type="pct"/>
            <w:tcBorders>
              <w:bottom w:val="single" w:sz="4" w:space="0" w:color="auto"/>
            </w:tcBorders>
            <w:shd w:val="clear" w:color="auto" w:fill="FFFFFF" w:themeFill="background1"/>
            <w:tcMar>
              <w:top w:w="30" w:type="dxa"/>
              <w:left w:w="45" w:type="dxa"/>
              <w:bottom w:w="30" w:type="dxa"/>
              <w:right w:w="45" w:type="dxa"/>
            </w:tcMar>
            <w:vAlign w:val="center"/>
          </w:tcPr>
          <w:p w14:paraId="3DC9075B" w14:textId="77777777" w:rsidR="004825F9" w:rsidRPr="00956F72" w:rsidRDefault="004825F9" w:rsidP="008F7DA0">
            <w:pPr>
              <w:spacing w:after="0"/>
              <w:jc w:val="center"/>
              <w:rPr>
                <w:rFonts w:cs="Arial"/>
                <w:sz w:val="20"/>
                <w:szCs w:val="20"/>
              </w:rPr>
            </w:pPr>
            <w:r w:rsidRPr="00956F72">
              <w:rPr>
                <w:rFonts w:cs="Arial"/>
                <w:sz w:val="20"/>
                <w:szCs w:val="20"/>
              </w:rPr>
              <w:t>2023</w:t>
            </w:r>
          </w:p>
        </w:tc>
        <w:tc>
          <w:tcPr>
            <w:tcW w:w="1451" w:type="pct"/>
            <w:tcBorders>
              <w:bottom w:val="single" w:sz="4" w:space="0" w:color="auto"/>
            </w:tcBorders>
            <w:shd w:val="clear" w:color="auto" w:fill="FFFFFF" w:themeFill="background1"/>
            <w:tcMar>
              <w:top w:w="30" w:type="dxa"/>
              <w:left w:w="45" w:type="dxa"/>
              <w:bottom w:w="30" w:type="dxa"/>
              <w:right w:w="45" w:type="dxa"/>
            </w:tcMar>
            <w:vAlign w:val="center"/>
          </w:tcPr>
          <w:p w14:paraId="642BF22B" w14:textId="77777777" w:rsidR="004825F9" w:rsidRPr="00956F72" w:rsidRDefault="004825F9" w:rsidP="008F7DA0">
            <w:pPr>
              <w:spacing w:after="0"/>
              <w:jc w:val="both"/>
              <w:rPr>
                <w:rFonts w:cs="Arial"/>
                <w:sz w:val="20"/>
                <w:szCs w:val="20"/>
              </w:rPr>
            </w:pPr>
            <w:r w:rsidRPr="00956F72">
              <w:rPr>
                <w:rFonts w:cs="Arial"/>
                <w:sz w:val="20"/>
                <w:szCs w:val="20"/>
              </w:rPr>
              <w:t>10.1007/s11896-023-09581-7</w:t>
            </w:r>
          </w:p>
        </w:tc>
      </w:tr>
      <w:tr w:rsidR="009C2621" w:rsidRPr="00956F72" w14:paraId="6FD389FA" w14:textId="77777777" w:rsidTr="00F204C1">
        <w:trPr>
          <w:trHeight w:val="315"/>
        </w:trPr>
        <w:tc>
          <w:tcPr>
            <w:tcW w:w="561" w:type="pct"/>
            <w:vMerge/>
            <w:tcBorders>
              <w:bottom w:val="single" w:sz="4" w:space="0" w:color="auto"/>
            </w:tcBorders>
            <w:shd w:val="clear" w:color="auto" w:fill="FFFFFF" w:themeFill="background1"/>
            <w:vAlign w:val="center"/>
          </w:tcPr>
          <w:p w14:paraId="75119A2A" w14:textId="77777777" w:rsidR="004825F9" w:rsidRPr="00956F72" w:rsidRDefault="004825F9" w:rsidP="008F7DA0">
            <w:pPr>
              <w:spacing w:after="0"/>
              <w:jc w:val="both"/>
              <w:rPr>
                <w:rFonts w:cs="Arial"/>
                <w:sz w:val="20"/>
                <w:szCs w:val="20"/>
              </w:rPr>
            </w:pPr>
          </w:p>
        </w:tc>
        <w:tc>
          <w:tcPr>
            <w:tcW w:w="729" w:type="pct"/>
            <w:gridSpan w:val="2"/>
            <w:tcBorders>
              <w:bottom w:val="single" w:sz="4" w:space="0" w:color="auto"/>
            </w:tcBorders>
            <w:shd w:val="clear" w:color="auto" w:fill="FFFFFF" w:themeFill="background1"/>
            <w:tcMar>
              <w:top w:w="30" w:type="dxa"/>
              <w:left w:w="45" w:type="dxa"/>
              <w:bottom w:w="30" w:type="dxa"/>
              <w:right w:w="45" w:type="dxa"/>
            </w:tcMar>
            <w:vAlign w:val="center"/>
          </w:tcPr>
          <w:p w14:paraId="3F54384A" w14:textId="77777777" w:rsidR="004825F9" w:rsidRPr="00956F72" w:rsidRDefault="004825F9" w:rsidP="008F7DA0">
            <w:pPr>
              <w:spacing w:after="0"/>
              <w:rPr>
                <w:rFonts w:cs="Arial"/>
                <w:sz w:val="20"/>
                <w:szCs w:val="20"/>
              </w:rPr>
            </w:pPr>
            <w:r w:rsidRPr="00956F72">
              <w:rPr>
                <w:rFonts w:cs="Arial"/>
                <w:sz w:val="20"/>
                <w:szCs w:val="20"/>
              </w:rPr>
              <w:t>Wright</w:t>
            </w:r>
          </w:p>
        </w:tc>
        <w:tc>
          <w:tcPr>
            <w:tcW w:w="1987" w:type="pct"/>
            <w:tcBorders>
              <w:bottom w:val="single" w:sz="4" w:space="0" w:color="auto"/>
            </w:tcBorders>
            <w:shd w:val="clear" w:color="auto" w:fill="FFFFFF" w:themeFill="background1"/>
            <w:tcMar>
              <w:top w:w="30" w:type="dxa"/>
              <w:left w:w="45" w:type="dxa"/>
              <w:bottom w:w="30" w:type="dxa"/>
              <w:right w:w="45" w:type="dxa"/>
            </w:tcMar>
            <w:vAlign w:val="center"/>
          </w:tcPr>
          <w:p w14:paraId="1D00529D" w14:textId="77777777" w:rsidR="004825F9" w:rsidRPr="00956F72" w:rsidRDefault="004825F9" w:rsidP="008F7DA0">
            <w:pPr>
              <w:spacing w:after="0"/>
              <w:rPr>
                <w:rFonts w:cs="Arial"/>
                <w:sz w:val="20"/>
                <w:szCs w:val="20"/>
              </w:rPr>
            </w:pPr>
            <w:r w:rsidRPr="00956F72">
              <w:rPr>
                <w:rFonts w:cs="Arial"/>
                <w:sz w:val="20"/>
                <w:szCs w:val="20"/>
              </w:rPr>
              <w:t xml:space="preserve">The Role of Technologies, </w:t>
            </w:r>
            <w:proofErr w:type="spellStart"/>
            <w:r w:rsidRPr="00956F72">
              <w:rPr>
                <w:rFonts w:cs="Arial"/>
                <w:sz w:val="20"/>
                <w:szCs w:val="20"/>
              </w:rPr>
              <w:t>Behaviors</w:t>
            </w:r>
            <w:proofErr w:type="spellEnd"/>
            <w:r w:rsidRPr="00956F72">
              <w:rPr>
                <w:rFonts w:cs="Arial"/>
                <w:sz w:val="20"/>
                <w:szCs w:val="20"/>
              </w:rPr>
              <w:t>, Gender, and Gender Stereotype Traits in Adolescents’ Cyber Aggression</w:t>
            </w:r>
          </w:p>
        </w:tc>
        <w:tc>
          <w:tcPr>
            <w:tcW w:w="271" w:type="pct"/>
            <w:tcBorders>
              <w:bottom w:val="single" w:sz="4" w:space="0" w:color="auto"/>
            </w:tcBorders>
            <w:shd w:val="clear" w:color="auto" w:fill="FFFFFF" w:themeFill="background1"/>
            <w:tcMar>
              <w:top w:w="30" w:type="dxa"/>
              <w:left w:w="45" w:type="dxa"/>
              <w:bottom w:w="30" w:type="dxa"/>
              <w:right w:w="45" w:type="dxa"/>
            </w:tcMar>
            <w:vAlign w:val="center"/>
          </w:tcPr>
          <w:p w14:paraId="306E21CF" w14:textId="77777777" w:rsidR="004825F9" w:rsidRPr="00956F72" w:rsidRDefault="004825F9" w:rsidP="008F7DA0">
            <w:pPr>
              <w:spacing w:after="0"/>
              <w:jc w:val="center"/>
              <w:rPr>
                <w:rFonts w:cs="Arial"/>
                <w:sz w:val="20"/>
                <w:szCs w:val="20"/>
              </w:rPr>
            </w:pPr>
            <w:r w:rsidRPr="00956F72">
              <w:rPr>
                <w:rFonts w:cs="Arial"/>
                <w:sz w:val="20"/>
                <w:szCs w:val="20"/>
              </w:rPr>
              <w:t>2020</w:t>
            </w:r>
          </w:p>
        </w:tc>
        <w:tc>
          <w:tcPr>
            <w:tcW w:w="1451" w:type="pct"/>
            <w:tcBorders>
              <w:bottom w:val="single" w:sz="4" w:space="0" w:color="auto"/>
            </w:tcBorders>
            <w:shd w:val="clear" w:color="auto" w:fill="FFFFFF" w:themeFill="background1"/>
            <w:tcMar>
              <w:top w:w="30" w:type="dxa"/>
              <w:left w:w="45" w:type="dxa"/>
              <w:bottom w:w="30" w:type="dxa"/>
              <w:right w:w="45" w:type="dxa"/>
            </w:tcMar>
            <w:vAlign w:val="center"/>
          </w:tcPr>
          <w:p w14:paraId="0C13D4B3" w14:textId="77777777" w:rsidR="004825F9" w:rsidRPr="00956F72" w:rsidRDefault="004825F9" w:rsidP="008F7DA0">
            <w:pPr>
              <w:spacing w:after="0"/>
              <w:jc w:val="both"/>
              <w:rPr>
                <w:rFonts w:cs="Arial"/>
                <w:sz w:val="20"/>
                <w:szCs w:val="20"/>
              </w:rPr>
            </w:pPr>
            <w:r w:rsidRPr="00956F72">
              <w:rPr>
                <w:rFonts w:cs="Arial"/>
                <w:sz w:val="20"/>
                <w:szCs w:val="20"/>
              </w:rPr>
              <w:t>10.1177/0886260517696858</w:t>
            </w:r>
          </w:p>
        </w:tc>
      </w:tr>
      <w:tr w:rsidR="00F204C1" w:rsidRPr="00956F72" w14:paraId="6218F521" w14:textId="77777777" w:rsidTr="00F204C1">
        <w:trPr>
          <w:trHeight w:val="315"/>
        </w:trPr>
        <w:tc>
          <w:tcPr>
            <w:tcW w:w="561" w:type="pct"/>
            <w:vMerge w:val="restart"/>
            <w:shd w:val="clear" w:color="auto" w:fill="FFFFFF" w:themeFill="background1"/>
            <w:vAlign w:val="center"/>
          </w:tcPr>
          <w:p w14:paraId="21612971" w14:textId="21943042" w:rsidR="00F204C1" w:rsidRPr="00956F72" w:rsidRDefault="00F204C1" w:rsidP="004825F9">
            <w:pPr>
              <w:spacing w:after="0"/>
              <w:jc w:val="both"/>
              <w:rPr>
                <w:rFonts w:cs="Arial"/>
                <w:sz w:val="20"/>
                <w:szCs w:val="20"/>
              </w:rPr>
            </w:pPr>
            <w:r w:rsidRPr="00956F72">
              <w:rPr>
                <w:rFonts w:cs="Arial"/>
                <w:sz w:val="20"/>
                <w:szCs w:val="20"/>
              </w:rPr>
              <w:t>Criminal nature</w:t>
            </w:r>
          </w:p>
        </w:tc>
        <w:tc>
          <w:tcPr>
            <w:tcW w:w="729" w:type="pct"/>
            <w:gridSpan w:val="2"/>
            <w:tcBorders>
              <w:bottom w:val="single" w:sz="4" w:space="0" w:color="auto"/>
            </w:tcBorders>
            <w:shd w:val="clear" w:color="auto" w:fill="FFFFFF" w:themeFill="background1"/>
            <w:tcMar>
              <w:top w:w="30" w:type="dxa"/>
              <w:left w:w="45" w:type="dxa"/>
              <w:bottom w:w="30" w:type="dxa"/>
              <w:right w:w="45" w:type="dxa"/>
            </w:tcMar>
            <w:vAlign w:val="center"/>
          </w:tcPr>
          <w:p w14:paraId="277FA400" w14:textId="77777777" w:rsidR="00F204C1" w:rsidRPr="00956F72" w:rsidRDefault="00F204C1" w:rsidP="008F7DA0">
            <w:pPr>
              <w:spacing w:after="0"/>
              <w:rPr>
                <w:rFonts w:cs="Arial"/>
                <w:sz w:val="20"/>
                <w:szCs w:val="20"/>
              </w:rPr>
            </w:pPr>
            <w:r w:rsidRPr="00956F72">
              <w:rPr>
                <w:rFonts w:cs="Arial"/>
                <w:sz w:val="20"/>
                <w:szCs w:val="20"/>
              </w:rPr>
              <w:t>Aiken et al.</w:t>
            </w:r>
          </w:p>
        </w:tc>
        <w:tc>
          <w:tcPr>
            <w:tcW w:w="1987" w:type="pct"/>
            <w:tcBorders>
              <w:bottom w:val="single" w:sz="4" w:space="0" w:color="auto"/>
            </w:tcBorders>
            <w:shd w:val="clear" w:color="auto" w:fill="FFFFFF" w:themeFill="background1"/>
            <w:tcMar>
              <w:top w:w="30" w:type="dxa"/>
              <w:left w:w="45" w:type="dxa"/>
              <w:bottom w:w="30" w:type="dxa"/>
              <w:right w:w="45" w:type="dxa"/>
            </w:tcMar>
            <w:vAlign w:val="center"/>
          </w:tcPr>
          <w:p w14:paraId="66C36692" w14:textId="77777777" w:rsidR="00F204C1" w:rsidRPr="00956F72" w:rsidRDefault="00F204C1" w:rsidP="008F7DA0">
            <w:pPr>
              <w:spacing w:after="0"/>
              <w:rPr>
                <w:rFonts w:cs="Arial"/>
                <w:sz w:val="20"/>
                <w:szCs w:val="20"/>
              </w:rPr>
            </w:pPr>
            <w:r w:rsidRPr="00956F72">
              <w:rPr>
                <w:rFonts w:cs="Arial"/>
                <w:sz w:val="20"/>
                <w:szCs w:val="20"/>
              </w:rPr>
              <w:t>Intention to Hack? Applying the Theory of Planned Behaviour to Youth Criminal Hacking</w:t>
            </w:r>
          </w:p>
        </w:tc>
        <w:tc>
          <w:tcPr>
            <w:tcW w:w="271" w:type="pct"/>
            <w:tcBorders>
              <w:bottom w:val="single" w:sz="4" w:space="0" w:color="auto"/>
            </w:tcBorders>
            <w:shd w:val="clear" w:color="auto" w:fill="FFFFFF" w:themeFill="background1"/>
            <w:tcMar>
              <w:top w:w="30" w:type="dxa"/>
              <w:left w:w="45" w:type="dxa"/>
              <w:bottom w:w="30" w:type="dxa"/>
              <w:right w:w="45" w:type="dxa"/>
            </w:tcMar>
            <w:vAlign w:val="center"/>
          </w:tcPr>
          <w:p w14:paraId="7142CF52" w14:textId="77777777" w:rsidR="00F204C1" w:rsidRPr="00956F72" w:rsidRDefault="00F204C1" w:rsidP="008F7DA0">
            <w:pPr>
              <w:spacing w:after="0"/>
              <w:jc w:val="center"/>
              <w:rPr>
                <w:rFonts w:cs="Arial"/>
                <w:sz w:val="20"/>
                <w:szCs w:val="20"/>
              </w:rPr>
            </w:pPr>
            <w:r w:rsidRPr="00956F72">
              <w:rPr>
                <w:rFonts w:cs="Arial"/>
                <w:sz w:val="20"/>
                <w:szCs w:val="20"/>
              </w:rPr>
              <w:t>2024</w:t>
            </w:r>
          </w:p>
        </w:tc>
        <w:tc>
          <w:tcPr>
            <w:tcW w:w="1451" w:type="pct"/>
            <w:tcBorders>
              <w:bottom w:val="single" w:sz="4" w:space="0" w:color="auto"/>
            </w:tcBorders>
            <w:shd w:val="clear" w:color="auto" w:fill="FFFFFF" w:themeFill="background1"/>
            <w:tcMar>
              <w:top w:w="30" w:type="dxa"/>
              <w:left w:w="45" w:type="dxa"/>
              <w:bottom w:w="30" w:type="dxa"/>
              <w:right w:w="45" w:type="dxa"/>
            </w:tcMar>
            <w:vAlign w:val="center"/>
          </w:tcPr>
          <w:p w14:paraId="2B18664A" w14:textId="77777777" w:rsidR="00F204C1" w:rsidRPr="00956F72" w:rsidRDefault="00F204C1" w:rsidP="008F7DA0">
            <w:pPr>
              <w:spacing w:after="0"/>
              <w:jc w:val="both"/>
              <w:rPr>
                <w:rFonts w:cs="Arial"/>
                <w:sz w:val="20"/>
                <w:szCs w:val="20"/>
              </w:rPr>
            </w:pPr>
            <w:r w:rsidRPr="00956F72">
              <w:rPr>
                <w:rFonts w:cs="Arial"/>
                <w:sz w:val="20"/>
                <w:szCs w:val="20"/>
              </w:rPr>
              <w:t>10.3390/forensicsci4010003</w:t>
            </w:r>
          </w:p>
        </w:tc>
      </w:tr>
      <w:tr w:rsidR="00F204C1" w:rsidRPr="00956F72" w14:paraId="4A4374BF" w14:textId="77777777" w:rsidTr="00F204C1">
        <w:trPr>
          <w:trHeight w:val="315"/>
        </w:trPr>
        <w:tc>
          <w:tcPr>
            <w:tcW w:w="561" w:type="pct"/>
            <w:vMerge/>
            <w:shd w:val="clear" w:color="auto" w:fill="FFFFFF" w:themeFill="background1"/>
            <w:vAlign w:val="center"/>
          </w:tcPr>
          <w:p w14:paraId="7280E16E" w14:textId="009C0C30" w:rsidR="00F204C1" w:rsidRPr="00956F72" w:rsidRDefault="00F204C1" w:rsidP="004825F9">
            <w:pPr>
              <w:spacing w:after="0"/>
              <w:jc w:val="both"/>
              <w:rPr>
                <w:rFonts w:cs="Arial"/>
                <w:sz w:val="20"/>
                <w:szCs w:val="20"/>
              </w:rPr>
            </w:pPr>
          </w:p>
        </w:tc>
        <w:tc>
          <w:tcPr>
            <w:tcW w:w="729" w:type="pct"/>
            <w:gridSpan w:val="2"/>
            <w:shd w:val="clear" w:color="auto" w:fill="FFFFFF" w:themeFill="background1"/>
            <w:tcMar>
              <w:top w:w="30" w:type="dxa"/>
              <w:left w:w="45" w:type="dxa"/>
              <w:bottom w:w="30" w:type="dxa"/>
              <w:right w:w="45" w:type="dxa"/>
            </w:tcMar>
            <w:vAlign w:val="center"/>
          </w:tcPr>
          <w:p w14:paraId="55552F1F" w14:textId="77777777" w:rsidR="00F204C1" w:rsidRPr="00956F72" w:rsidRDefault="00F204C1" w:rsidP="008F7DA0">
            <w:pPr>
              <w:spacing w:after="0"/>
              <w:rPr>
                <w:rFonts w:cs="Arial"/>
                <w:sz w:val="20"/>
                <w:szCs w:val="20"/>
              </w:rPr>
            </w:pPr>
            <w:r w:rsidRPr="00956F72">
              <w:rPr>
                <w:rFonts w:cs="Arial"/>
                <w:sz w:val="20"/>
                <w:szCs w:val="20"/>
              </w:rPr>
              <w:t>Guo and Wang</w:t>
            </w:r>
          </w:p>
        </w:tc>
        <w:tc>
          <w:tcPr>
            <w:tcW w:w="1987" w:type="pct"/>
            <w:shd w:val="clear" w:color="auto" w:fill="FFFFFF" w:themeFill="background1"/>
            <w:tcMar>
              <w:top w:w="30" w:type="dxa"/>
              <w:left w:w="45" w:type="dxa"/>
              <w:bottom w:w="30" w:type="dxa"/>
              <w:right w:w="45" w:type="dxa"/>
            </w:tcMar>
            <w:vAlign w:val="center"/>
          </w:tcPr>
          <w:p w14:paraId="3FFDA356" w14:textId="77777777" w:rsidR="00F204C1" w:rsidRPr="00956F72" w:rsidRDefault="00F204C1" w:rsidP="008F7DA0">
            <w:pPr>
              <w:spacing w:after="0"/>
              <w:rPr>
                <w:rFonts w:cs="Arial"/>
                <w:sz w:val="20"/>
                <w:szCs w:val="20"/>
              </w:rPr>
            </w:pPr>
            <w:r w:rsidRPr="00956F72">
              <w:rPr>
                <w:rFonts w:cs="Arial"/>
                <w:sz w:val="20"/>
                <w:szCs w:val="20"/>
              </w:rPr>
              <w:t>Investigating predictors of juvenile traditional and/or cyber offense using machine learning by constructing a decision support system</w:t>
            </w:r>
          </w:p>
        </w:tc>
        <w:tc>
          <w:tcPr>
            <w:tcW w:w="271" w:type="pct"/>
            <w:shd w:val="clear" w:color="auto" w:fill="FFFFFF" w:themeFill="background1"/>
            <w:tcMar>
              <w:top w:w="30" w:type="dxa"/>
              <w:left w:w="45" w:type="dxa"/>
              <w:bottom w:w="30" w:type="dxa"/>
              <w:right w:w="45" w:type="dxa"/>
            </w:tcMar>
            <w:vAlign w:val="center"/>
          </w:tcPr>
          <w:p w14:paraId="006FE360" w14:textId="77777777" w:rsidR="00F204C1" w:rsidRPr="00956F72" w:rsidRDefault="00F204C1" w:rsidP="008F7DA0">
            <w:pPr>
              <w:spacing w:after="0"/>
              <w:jc w:val="center"/>
              <w:rPr>
                <w:rFonts w:cs="Arial"/>
                <w:sz w:val="20"/>
                <w:szCs w:val="20"/>
              </w:rPr>
            </w:pPr>
            <w:r w:rsidRPr="00956F72">
              <w:rPr>
                <w:rFonts w:cs="Arial"/>
                <w:sz w:val="20"/>
                <w:szCs w:val="20"/>
              </w:rPr>
              <w:t>2024</w:t>
            </w:r>
          </w:p>
        </w:tc>
        <w:tc>
          <w:tcPr>
            <w:tcW w:w="1451" w:type="pct"/>
            <w:shd w:val="clear" w:color="auto" w:fill="FFFFFF" w:themeFill="background1"/>
            <w:tcMar>
              <w:top w:w="30" w:type="dxa"/>
              <w:left w:w="45" w:type="dxa"/>
              <w:bottom w:w="30" w:type="dxa"/>
              <w:right w:w="45" w:type="dxa"/>
            </w:tcMar>
            <w:vAlign w:val="center"/>
          </w:tcPr>
          <w:p w14:paraId="5F729824" w14:textId="77777777" w:rsidR="00F204C1" w:rsidRPr="00956F72" w:rsidRDefault="00F204C1" w:rsidP="008F7DA0">
            <w:pPr>
              <w:spacing w:after="0"/>
              <w:jc w:val="both"/>
              <w:rPr>
                <w:rFonts w:cs="Arial"/>
                <w:sz w:val="20"/>
                <w:szCs w:val="20"/>
              </w:rPr>
            </w:pPr>
            <w:r w:rsidRPr="00956F72">
              <w:rPr>
                <w:rFonts w:cs="Arial"/>
                <w:sz w:val="20"/>
                <w:szCs w:val="20"/>
              </w:rPr>
              <w:t>10.1016/j.chb.2023.108079</w:t>
            </w:r>
          </w:p>
        </w:tc>
      </w:tr>
      <w:tr w:rsidR="00F204C1" w:rsidRPr="00956F72" w14:paraId="1CE3CD8E" w14:textId="77777777" w:rsidTr="00F204C1">
        <w:trPr>
          <w:trHeight w:val="315"/>
        </w:trPr>
        <w:tc>
          <w:tcPr>
            <w:tcW w:w="561" w:type="pct"/>
            <w:vMerge/>
            <w:shd w:val="clear" w:color="auto" w:fill="FFFFFF" w:themeFill="background1"/>
            <w:vAlign w:val="center"/>
          </w:tcPr>
          <w:p w14:paraId="18E29643" w14:textId="7CB33099" w:rsidR="00F204C1" w:rsidRPr="00956F72" w:rsidRDefault="00F204C1" w:rsidP="004825F9">
            <w:pPr>
              <w:spacing w:after="0"/>
              <w:jc w:val="both"/>
              <w:rPr>
                <w:rFonts w:cs="Arial"/>
                <w:sz w:val="20"/>
                <w:szCs w:val="20"/>
              </w:rPr>
            </w:pPr>
          </w:p>
        </w:tc>
        <w:tc>
          <w:tcPr>
            <w:tcW w:w="729" w:type="pct"/>
            <w:gridSpan w:val="2"/>
            <w:tcBorders>
              <w:bottom w:val="single" w:sz="4" w:space="0" w:color="auto"/>
            </w:tcBorders>
            <w:shd w:val="clear" w:color="auto" w:fill="FFFFFF" w:themeFill="background1"/>
            <w:tcMar>
              <w:top w:w="30" w:type="dxa"/>
              <w:left w:w="45" w:type="dxa"/>
              <w:bottom w:w="30" w:type="dxa"/>
              <w:right w:w="45" w:type="dxa"/>
            </w:tcMar>
            <w:vAlign w:val="center"/>
          </w:tcPr>
          <w:p w14:paraId="47AB37C5" w14:textId="77777777" w:rsidR="00F204C1" w:rsidRPr="00956F72" w:rsidRDefault="00F204C1" w:rsidP="008F7DA0">
            <w:pPr>
              <w:spacing w:after="0"/>
              <w:rPr>
                <w:rFonts w:cs="Arial"/>
                <w:sz w:val="20"/>
                <w:szCs w:val="20"/>
              </w:rPr>
            </w:pPr>
            <w:r w:rsidRPr="00956F72">
              <w:rPr>
                <w:rFonts w:cs="Arial"/>
                <w:sz w:val="20"/>
                <w:szCs w:val="20"/>
              </w:rPr>
              <w:t>Holt, Navarro and Clevenger</w:t>
            </w:r>
          </w:p>
        </w:tc>
        <w:tc>
          <w:tcPr>
            <w:tcW w:w="1987" w:type="pct"/>
            <w:tcBorders>
              <w:bottom w:val="single" w:sz="4" w:space="0" w:color="auto"/>
            </w:tcBorders>
            <w:shd w:val="clear" w:color="auto" w:fill="FFFFFF" w:themeFill="background1"/>
            <w:tcMar>
              <w:top w:w="30" w:type="dxa"/>
              <w:left w:w="45" w:type="dxa"/>
              <w:bottom w:w="30" w:type="dxa"/>
              <w:right w:w="45" w:type="dxa"/>
            </w:tcMar>
            <w:vAlign w:val="center"/>
          </w:tcPr>
          <w:p w14:paraId="0E875996" w14:textId="77777777" w:rsidR="00F204C1" w:rsidRPr="00956F72" w:rsidRDefault="00F204C1" w:rsidP="008F7DA0">
            <w:pPr>
              <w:spacing w:after="0"/>
              <w:rPr>
                <w:rFonts w:cs="Arial"/>
                <w:sz w:val="20"/>
                <w:szCs w:val="20"/>
              </w:rPr>
            </w:pPr>
            <w:r w:rsidRPr="00956F72">
              <w:rPr>
                <w:rFonts w:cs="Arial"/>
                <w:sz w:val="20"/>
                <w:szCs w:val="20"/>
              </w:rPr>
              <w:t xml:space="preserve">Exploring the Moderating Role of Gender in Juvenile Hacking </w:t>
            </w:r>
            <w:proofErr w:type="spellStart"/>
            <w:r w:rsidRPr="00956F72">
              <w:rPr>
                <w:rFonts w:cs="Arial"/>
                <w:sz w:val="20"/>
                <w:szCs w:val="20"/>
              </w:rPr>
              <w:t>Behaviors</w:t>
            </w:r>
            <w:proofErr w:type="spellEnd"/>
          </w:p>
        </w:tc>
        <w:tc>
          <w:tcPr>
            <w:tcW w:w="271" w:type="pct"/>
            <w:tcBorders>
              <w:bottom w:val="single" w:sz="4" w:space="0" w:color="auto"/>
            </w:tcBorders>
            <w:shd w:val="clear" w:color="auto" w:fill="FFFFFF" w:themeFill="background1"/>
            <w:tcMar>
              <w:top w:w="30" w:type="dxa"/>
              <w:left w:w="45" w:type="dxa"/>
              <w:bottom w:w="30" w:type="dxa"/>
              <w:right w:w="45" w:type="dxa"/>
            </w:tcMar>
            <w:vAlign w:val="center"/>
          </w:tcPr>
          <w:p w14:paraId="79847ADF" w14:textId="77777777" w:rsidR="00F204C1" w:rsidRPr="00956F72" w:rsidRDefault="00F204C1" w:rsidP="008F7DA0">
            <w:pPr>
              <w:spacing w:after="0"/>
              <w:jc w:val="center"/>
              <w:rPr>
                <w:rFonts w:cs="Arial"/>
                <w:sz w:val="20"/>
                <w:szCs w:val="20"/>
              </w:rPr>
            </w:pPr>
            <w:r w:rsidRPr="00956F72">
              <w:rPr>
                <w:rFonts w:cs="Arial"/>
                <w:sz w:val="20"/>
                <w:szCs w:val="20"/>
              </w:rPr>
              <w:t>2020</w:t>
            </w:r>
          </w:p>
        </w:tc>
        <w:tc>
          <w:tcPr>
            <w:tcW w:w="1451" w:type="pct"/>
            <w:tcBorders>
              <w:bottom w:val="single" w:sz="4" w:space="0" w:color="auto"/>
            </w:tcBorders>
            <w:shd w:val="clear" w:color="auto" w:fill="FFFFFF" w:themeFill="background1"/>
            <w:tcMar>
              <w:top w:w="30" w:type="dxa"/>
              <w:left w:w="45" w:type="dxa"/>
              <w:bottom w:w="30" w:type="dxa"/>
              <w:right w:w="45" w:type="dxa"/>
            </w:tcMar>
            <w:vAlign w:val="center"/>
          </w:tcPr>
          <w:p w14:paraId="6A6AC3BB" w14:textId="77777777" w:rsidR="00F204C1" w:rsidRPr="00956F72" w:rsidRDefault="00F204C1" w:rsidP="008F7DA0">
            <w:pPr>
              <w:spacing w:after="0"/>
              <w:jc w:val="both"/>
              <w:rPr>
                <w:rFonts w:cs="Arial"/>
                <w:sz w:val="20"/>
                <w:szCs w:val="20"/>
              </w:rPr>
            </w:pPr>
            <w:r w:rsidRPr="00956F72">
              <w:rPr>
                <w:rFonts w:cs="Arial"/>
                <w:sz w:val="20"/>
                <w:szCs w:val="20"/>
              </w:rPr>
              <w:t>10.1177/0011128719875697</w:t>
            </w:r>
          </w:p>
        </w:tc>
      </w:tr>
      <w:tr w:rsidR="00F204C1" w:rsidRPr="00956F72" w14:paraId="6812F0AF" w14:textId="77777777" w:rsidTr="00F204C1">
        <w:trPr>
          <w:trHeight w:val="315"/>
        </w:trPr>
        <w:tc>
          <w:tcPr>
            <w:tcW w:w="561" w:type="pct"/>
            <w:vMerge/>
            <w:shd w:val="clear" w:color="auto" w:fill="FFFFFF" w:themeFill="background1"/>
            <w:vAlign w:val="center"/>
          </w:tcPr>
          <w:p w14:paraId="6A517449" w14:textId="5691EDAC" w:rsidR="00F204C1" w:rsidRPr="00956F72" w:rsidRDefault="00F204C1" w:rsidP="004825F9">
            <w:pPr>
              <w:spacing w:after="0"/>
              <w:jc w:val="both"/>
              <w:rPr>
                <w:rFonts w:cs="Arial"/>
                <w:sz w:val="20"/>
                <w:szCs w:val="20"/>
              </w:rPr>
            </w:pPr>
          </w:p>
        </w:tc>
        <w:tc>
          <w:tcPr>
            <w:tcW w:w="729" w:type="pct"/>
            <w:gridSpan w:val="2"/>
            <w:shd w:val="clear" w:color="auto" w:fill="FFFFFF" w:themeFill="background1"/>
            <w:tcMar>
              <w:top w:w="30" w:type="dxa"/>
              <w:left w:w="45" w:type="dxa"/>
              <w:bottom w:w="30" w:type="dxa"/>
              <w:right w:w="45" w:type="dxa"/>
            </w:tcMar>
            <w:vAlign w:val="center"/>
          </w:tcPr>
          <w:p w14:paraId="51E6FB18" w14:textId="77777777" w:rsidR="00F204C1" w:rsidRPr="00956F72" w:rsidRDefault="00F204C1" w:rsidP="008F7DA0">
            <w:pPr>
              <w:spacing w:after="0"/>
              <w:rPr>
                <w:rFonts w:cs="Arial"/>
                <w:sz w:val="20"/>
                <w:szCs w:val="20"/>
              </w:rPr>
            </w:pPr>
            <w:r w:rsidRPr="00956F72">
              <w:rPr>
                <w:rFonts w:cs="Arial"/>
                <w:sz w:val="20"/>
                <w:szCs w:val="20"/>
              </w:rPr>
              <w:t>Kim, Leban and Lee</w:t>
            </w:r>
          </w:p>
        </w:tc>
        <w:tc>
          <w:tcPr>
            <w:tcW w:w="1987" w:type="pct"/>
            <w:shd w:val="clear" w:color="auto" w:fill="FFFFFF" w:themeFill="background1"/>
            <w:tcMar>
              <w:top w:w="30" w:type="dxa"/>
              <w:left w:w="45" w:type="dxa"/>
              <w:bottom w:w="30" w:type="dxa"/>
              <w:right w:w="45" w:type="dxa"/>
            </w:tcMar>
            <w:vAlign w:val="center"/>
          </w:tcPr>
          <w:p w14:paraId="253BBB1C" w14:textId="77777777" w:rsidR="00F204C1" w:rsidRPr="00956F72" w:rsidRDefault="00F204C1" w:rsidP="008F7DA0">
            <w:pPr>
              <w:spacing w:after="0"/>
              <w:rPr>
                <w:rFonts w:cs="Arial"/>
                <w:sz w:val="20"/>
                <w:szCs w:val="20"/>
              </w:rPr>
            </w:pPr>
            <w:r w:rsidRPr="00956F72">
              <w:rPr>
                <w:rFonts w:cs="Arial"/>
                <w:sz w:val="20"/>
                <w:szCs w:val="20"/>
              </w:rPr>
              <w:t>Theoretical Explanations of the Development of Youth Hacking</w:t>
            </w:r>
          </w:p>
        </w:tc>
        <w:tc>
          <w:tcPr>
            <w:tcW w:w="271" w:type="pct"/>
            <w:shd w:val="clear" w:color="auto" w:fill="FFFFFF" w:themeFill="background1"/>
            <w:tcMar>
              <w:top w:w="30" w:type="dxa"/>
              <w:left w:w="45" w:type="dxa"/>
              <w:bottom w:w="30" w:type="dxa"/>
              <w:right w:w="45" w:type="dxa"/>
            </w:tcMar>
            <w:vAlign w:val="center"/>
          </w:tcPr>
          <w:p w14:paraId="7F85F084" w14:textId="77777777" w:rsidR="00F204C1" w:rsidRPr="00956F72" w:rsidRDefault="00F204C1" w:rsidP="008F7DA0">
            <w:pPr>
              <w:spacing w:after="0"/>
              <w:jc w:val="center"/>
              <w:rPr>
                <w:rFonts w:cs="Arial"/>
                <w:sz w:val="20"/>
                <w:szCs w:val="20"/>
              </w:rPr>
            </w:pPr>
            <w:r w:rsidRPr="00956F72">
              <w:rPr>
                <w:rFonts w:cs="Arial"/>
                <w:sz w:val="20"/>
                <w:szCs w:val="20"/>
              </w:rPr>
              <w:t>2024</w:t>
            </w:r>
          </w:p>
        </w:tc>
        <w:tc>
          <w:tcPr>
            <w:tcW w:w="1451" w:type="pct"/>
            <w:shd w:val="clear" w:color="auto" w:fill="FFFFFF" w:themeFill="background1"/>
            <w:tcMar>
              <w:top w:w="30" w:type="dxa"/>
              <w:left w:w="45" w:type="dxa"/>
              <w:bottom w:w="30" w:type="dxa"/>
              <w:right w:w="45" w:type="dxa"/>
            </w:tcMar>
            <w:vAlign w:val="center"/>
          </w:tcPr>
          <w:p w14:paraId="506905DE" w14:textId="77777777" w:rsidR="00F204C1" w:rsidRPr="00956F72" w:rsidRDefault="00F204C1" w:rsidP="008F7DA0">
            <w:pPr>
              <w:spacing w:after="0"/>
              <w:jc w:val="both"/>
              <w:rPr>
                <w:rFonts w:cs="Arial"/>
                <w:sz w:val="20"/>
                <w:szCs w:val="20"/>
              </w:rPr>
            </w:pPr>
            <w:r w:rsidRPr="00956F72">
              <w:rPr>
                <w:rFonts w:cs="Arial"/>
                <w:sz w:val="20"/>
                <w:szCs w:val="20"/>
              </w:rPr>
              <w:t>10.1177/00111287221115639</w:t>
            </w:r>
          </w:p>
        </w:tc>
      </w:tr>
      <w:tr w:rsidR="00F204C1" w:rsidRPr="00956F72" w14:paraId="6F2873FE" w14:textId="77777777" w:rsidTr="00F204C1">
        <w:trPr>
          <w:trHeight w:val="315"/>
        </w:trPr>
        <w:tc>
          <w:tcPr>
            <w:tcW w:w="561" w:type="pct"/>
            <w:vMerge/>
            <w:shd w:val="clear" w:color="auto" w:fill="FFFFFF" w:themeFill="background1"/>
            <w:vAlign w:val="center"/>
          </w:tcPr>
          <w:p w14:paraId="0ABD21A0" w14:textId="23794EC5" w:rsidR="00F204C1" w:rsidRPr="00956F72" w:rsidRDefault="00F204C1" w:rsidP="004825F9">
            <w:pPr>
              <w:spacing w:after="0"/>
              <w:jc w:val="both"/>
              <w:rPr>
                <w:rFonts w:cs="Arial"/>
                <w:sz w:val="20"/>
                <w:szCs w:val="20"/>
              </w:rPr>
            </w:pPr>
          </w:p>
        </w:tc>
        <w:tc>
          <w:tcPr>
            <w:tcW w:w="729" w:type="pct"/>
            <w:gridSpan w:val="2"/>
            <w:tcBorders>
              <w:bottom w:val="single" w:sz="4" w:space="0" w:color="auto"/>
            </w:tcBorders>
            <w:shd w:val="clear" w:color="auto" w:fill="FFFFFF" w:themeFill="background1"/>
            <w:tcMar>
              <w:top w:w="30" w:type="dxa"/>
              <w:left w:w="45" w:type="dxa"/>
              <w:bottom w:w="30" w:type="dxa"/>
              <w:right w:w="45" w:type="dxa"/>
            </w:tcMar>
            <w:vAlign w:val="center"/>
          </w:tcPr>
          <w:p w14:paraId="14BFA9B4" w14:textId="57B6E77D" w:rsidR="00F204C1" w:rsidRPr="00956F72" w:rsidRDefault="00F204C1" w:rsidP="004825F9">
            <w:pPr>
              <w:spacing w:after="0"/>
              <w:rPr>
                <w:rFonts w:cs="Arial"/>
                <w:sz w:val="20"/>
                <w:szCs w:val="20"/>
              </w:rPr>
            </w:pPr>
            <w:r w:rsidRPr="00956F72">
              <w:rPr>
                <w:rFonts w:cs="Arial"/>
                <w:sz w:val="20"/>
                <w:szCs w:val="20"/>
              </w:rPr>
              <w:t>Walters</w:t>
            </w:r>
          </w:p>
        </w:tc>
        <w:tc>
          <w:tcPr>
            <w:tcW w:w="1987" w:type="pct"/>
            <w:tcBorders>
              <w:bottom w:val="single" w:sz="4" w:space="0" w:color="auto"/>
            </w:tcBorders>
            <w:shd w:val="clear" w:color="auto" w:fill="FFFFFF" w:themeFill="background1"/>
            <w:tcMar>
              <w:top w:w="30" w:type="dxa"/>
              <w:left w:w="45" w:type="dxa"/>
              <w:bottom w:w="30" w:type="dxa"/>
              <w:right w:w="45" w:type="dxa"/>
            </w:tcMar>
            <w:vAlign w:val="center"/>
          </w:tcPr>
          <w:p w14:paraId="17DE292C" w14:textId="1EDB7BFB" w:rsidR="00F204C1" w:rsidRPr="00956F72" w:rsidRDefault="00F204C1" w:rsidP="004825F9">
            <w:pPr>
              <w:spacing w:after="0"/>
              <w:rPr>
                <w:rFonts w:cs="Arial"/>
                <w:sz w:val="20"/>
                <w:szCs w:val="20"/>
              </w:rPr>
            </w:pPr>
            <w:r w:rsidRPr="00956F72">
              <w:rPr>
                <w:rFonts w:cs="Arial"/>
                <w:sz w:val="20"/>
                <w:szCs w:val="20"/>
              </w:rPr>
              <w:t>The Person-Computer Interface in Delinquency Research: Proactive Criminal Thinking as a Moderator of the Hacking with Peers–Juvenile Offending Relationship</w:t>
            </w:r>
          </w:p>
        </w:tc>
        <w:tc>
          <w:tcPr>
            <w:tcW w:w="271" w:type="pct"/>
            <w:tcBorders>
              <w:bottom w:val="single" w:sz="4" w:space="0" w:color="auto"/>
            </w:tcBorders>
            <w:shd w:val="clear" w:color="auto" w:fill="FFFFFF" w:themeFill="background1"/>
            <w:tcMar>
              <w:top w:w="30" w:type="dxa"/>
              <w:left w:w="45" w:type="dxa"/>
              <w:bottom w:w="30" w:type="dxa"/>
              <w:right w:w="45" w:type="dxa"/>
            </w:tcMar>
            <w:vAlign w:val="center"/>
          </w:tcPr>
          <w:p w14:paraId="40DE3B1A" w14:textId="6530104B" w:rsidR="00F204C1" w:rsidRPr="00956F72" w:rsidRDefault="00F204C1" w:rsidP="004825F9">
            <w:pPr>
              <w:spacing w:after="0"/>
              <w:jc w:val="center"/>
              <w:rPr>
                <w:rFonts w:cs="Arial"/>
                <w:sz w:val="20"/>
                <w:szCs w:val="20"/>
              </w:rPr>
            </w:pPr>
            <w:r w:rsidRPr="00956F72">
              <w:rPr>
                <w:rFonts w:cs="Arial"/>
                <w:sz w:val="20"/>
                <w:szCs w:val="20"/>
              </w:rPr>
              <w:t>2023</w:t>
            </w:r>
          </w:p>
        </w:tc>
        <w:tc>
          <w:tcPr>
            <w:tcW w:w="1451" w:type="pct"/>
            <w:tcBorders>
              <w:bottom w:val="single" w:sz="4" w:space="0" w:color="auto"/>
            </w:tcBorders>
            <w:shd w:val="clear" w:color="auto" w:fill="FFFFFF" w:themeFill="background1"/>
            <w:tcMar>
              <w:top w:w="30" w:type="dxa"/>
              <w:left w:w="45" w:type="dxa"/>
              <w:bottom w:w="30" w:type="dxa"/>
              <w:right w:w="45" w:type="dxa"/>
            </w:tcMar>
            <w:vAlign w:val="center"/>
          </w:tcPr>
          <w:p w14:paraId="288E1E2D" w14:textId="7FEDEB5A" w:rsidR="00F204C1" w:rsidRPr="00956F72" w:rsidRDefault="00F204C1" w:rsidP="004825F9">
            <w:pPr>
              <w:spacing w:after="0"/>
              <w:jc w:val="both"/>
              <w:rPr>
                <w:rFonts w:cs="Arial"/>
                <w:sz w:val="20"/>
                <w:szCs w:val="20"/>
              </w:rPr>
            </w:pPr>
            <w:r w:rsidRPr="00956F72">
              <w:rPr>
                <w:rFonts w:cs="Arial"/>
                <w:sz w:val="20"/>
                <w:szCs w:val="20"/>
              </w:rPr>
              <w:t>10.1007/s11896-023-09581-7</w:t>
            </w:r>
          </w:p>
        </w:tc>
      </w:tr>
      <w:tr w:rsidR="00F204C1" w:rsidRPr="00873B0F" w14:paraId="0770B373" w14:textId="77777777" w:rsidTr="00F204C1">
        <w:trPr>
          <w:trHeight w:val="315"/>
        </w:trPr>
        <w:tc>
          <w:tcPr>
            <w:tcW w:w="561" w:type="pct"/>
            <w:vMerge/>
            <w:shd w:val="clear" w:color="auto" w:fill="FFFFFF" w:themeFill="background1"/>
            <w:vAlign w:val="center"/>
          </w:tcPr>
          <w:p w14:paraId="7A80F96F" w14:textId="77777777" w:rsidR="00F204C1" w:rsidRPr="00873B0F" w:rsidRDefault="00F204C1" w:rsidP="004825F9">
            <w:pPr>
              <w:spacing w:after="0"/>
              <w:rPr>
                <w:rFonts w:cs="Arial"/>
                <w:sz w:val="20"/>
                <w:szCs w:val="20"/>
              </w:rPr>
            </w:pPr>
          </w:p>
        </w:tc>
        <w:tc>
          <w:tcPr>
            <w:tcW w:w="724" w:type="pct"/>
            <w:shd w:val="clear" w:color="auto" w:fill="FFFFFF" w:themeFill="background1"/>
            <w:tcMar>
              <w:top w:w="30" w:type="dxa"/>
              <w:left w:w="45" w:type="dxa"/>
              <w:bottom w:w="30" w:type="dxa"/>
              <w:right w:w="45" w:type="dxa"/>
            </w:tcMar>
            <w:vAlign w:val="center"/>
          </w:tcPr>
          <w:p w14:paraId="40EE19A0" w14:textId="09A109BD" w:rsidR="00F204C1" w:rsidRPr="00956F72" w:rsidRDefault="00F204C1" w:rsidP="004825F9">
            <w:pPr>
              <w:spacing w:after="0"/>
              <w:rPr>
                <w:rFonts w:cs="Arial"/>
                <w:sz w:val="20"/>
                <w:szCs w:val="20"/>
              </w:rPr>
            </w:pPr>
            <w:r w:rsidRPr="00956F72">
              <w:rPr>
                <w:rFonts w:cs="Arial"/>
                <w:sz w:val="20"/>
                <w:szCs w:val="20"/>
              </w:rPr>
              <w:t>Whitten et al.</w:t>
            </w:r>
          </w:p>
        </w:tc>
        <w:tc>
          <w:tcPr>
            <w:tcW w:w="1992" w:type="pct"/>
            <w:gridSpan w:val="2"/>
            <w:shd w:val="clear" w:color="auto" w:fill="FFFFFF" w:themeFill="background1"/>
            <w:tcMar>
              <w:top w:w="30" w:type="dxa"/>
              <w:left w:w="45" w:type="dxa"/>
              <w:bottom w:w="30" w:type="dxa"/>
              <w:right w:w="45" w:type="dxa"/>
            </w:tcMar>
            <w:vAlign w:val="center"/>
          </w:tcPr>
          <w:p w14:paraId="0959E42C" w14:textId="01FF4BAA" w:rsidR="00F204C1" w:rsidRPr="00956F72" w:rsidRDefault="00F204C1" w:rsidP="004825F9">
            <w:pPr>
              <w:spacing w:after="0"/>
              <w:rPr>
                <w:rFonts w:cs="Arial"/>
                <w:sz w:val="20"/>
                <w:szCs w:val="20"/>
              </w:rPr>
            </w:pPr>
            <w:r w:rsidRPr="00956F72">
              <w:rPr>
                <w:rFonts w:cs="Arial"/>
                <w:sz w:val="20"/>
                <w:szCs w:val="20"/>
              </w:rPr>
              <w:t>Exploring the Role of Self-Control Across Distinct Patterns of Cyber-Deviance in Emerging Adolescence</w:t>
            </w:r>
          </w:p>
        </w:tc>
        <w:tc>
          <w:tcPr>
            <w:tcW w:w="271" w:type="pct"/>
            <w:shd w:val="clear" w:color="auto" w:fill="FFFFFF" w:themeFill="background1"/>
            <w:tcMar>
              <w:top w:w="30" w:type="dxa"/>
              <w:left w:w="45" w:type="dxa"/>
              <w:bottom w:w="30" w:type="dxa"/>
              <w:right w:w="45" w:type="dxa"/>
            </w:tcMar>
            <w:vAlign w:val="center"/>
          </w:tcPr>
          <w:p w14:paraId="589325AE" w14:textId="3A066E7B" w:rsidR="00F204C1" w:rsidRPr="00956F72" w:rsidRDefault="00F204C1" w:rsidP="004825F9">
            <w:pPr>
              <w:spacing w:after="0"/>
              <w:jc w:val="center"/>
              <w:rPr>
                <w:rFonts w:cs="Arial"/>
                <w:sz w:val="20"/>
                <w:szCs w:val="20"/>
              </w:rPr>
            </w:pPr>
            <w:r w:rsidRPr="00956F72">
              <w:rPr>
                <w:rFonts w:cs="Arial"/>
                <w:sz w:val="20"/>
                <w:szCs w:val="20"/>
              </w:rPr>
              <w:t>2024</w:t>
            </w:r>
          </w:p>
        </w:tc>
        <w:tc>
          <w:tcPr>
            <w:tcW w:w="1451" w:type="pct"/>
            <w:shd w:val="clear" w:color="auto" w:fill="FFFFFF" w:themeFill="background1"/>
            <w:tcMar>
              <w:top w:w="30" w:type="dxa"/>
              <w:left w:w="45" w:type="dxa"/>
              <w:bottom w:w="30" w:type="dxa"/>
              <w:right w:w="45" w:type="dxa"/>
            </w:tcMar>
            <w:vAlign w:val="center"/>
          </w:tcPr>
          <w:p w14:paraId="201958CF" w14:textId="23C94798" w:rsidR="00F204C1" w:rsidRPr="00956F72" w:rsidRDefault="00F204C1" w:rsidP="004825F9">
            <w:pPr>
              <w:spacing w:after="0"/>
              <w:jc w:val="both"/>
              <w:rPr>
                <w:rFonts w:cs="Arial"/>
                <w:sz w:val="20"/>
                <w:szCs w:val="20"/>
              </w:rPr>
            </w:pPr>
            <w:r w:rsidRPr="00956F72">
              <w:rPr>
                <w:rFonts w:cs="Arial"/>
                <w:sz w:val="20"/>
                <w:szCs w:val="20"/>
              </w:rPr>
              <w:t>10.1177/0306624X231220011</w:t>
            </w:r>
          </w:p>
        </w:tc>
      </w:tr>
      <w:tr w:rsidR="004825F9" w:rsidRPr="00873B0F" w14:paraId="6EE32CAA" w14:textId="77777777" w:rsidTr="00F204C1">
        <w:trPr>
          <w:trHeight w:val="315"/>
        </w:trPr>
        <w:tc>
          <w:tcPr>
            <w:tcW w:w="561" w:type="pct"/>
            <w:vMerge w:val="restart"/>
            <w:shd w:val="clear" w:color="auto" w:fill="FFFFFF" w:themeFill="background1"/>
            <w:vAlign w:val="center"/>
          </w:tcPr>
          <w:p w14:paraId="3CFCF988" w14:textId="77777777" w:rsidR="004825F9" w:rsidRPr="00873B0F" w:rsidRDefault="004825F9" w:rsidP="008F7DA0">
            <w:pPr>
              <w:spacing w:after="0"/>
              <w:rPr>
                <w:rFonts w:cs="Arial"/>
                <w:sz w:val="20"/>
                <w:szCs w:val="20"/>
              </w:rPr>
            </w:pPr>
            <w:r w:rsidRPr="00873B0F">
              <w:rPr>
                <w:rFonts w:cs="Arial"/>
                <w:sz w:val="20"/>
                <w:szCs w:val="20"/>
              </w:rPr>
              <w:t>Need for social acceptance</w:t>
            </w:r>
          </w:p>
        </w:tc>
        <w:tc>
          <w:tcPr>
            <w:tcW w:w="724" w:type="pct"/>
            <w:tcBorders>
              <w:bottom w:val="single" w:sz="4" w:space="0" w:color="auto"/>
            </w:tcBorders>
            <w:shd w:val="clear" w:color="auto" w:fill="FFFFFF" w:themeFill="background1"/>
            <w:tcMar>
              <w:top w:w="30" w:type="dxa"/>
              <w:left w:w="45" w:type="dxa"/>
              <w:bottom w:w="30" w:type="dxa"/>
              <w:right w:w="45" w:type="dxa"/>
            </w:tcMar>
            <w:vAlign w:val="center"/>
          </w:tcPr>
          <w:p w14:paraId="4FFD9D10" w14:textId="77777777" w:rsidR="004825F9" w:rsidRPr="00873B0F" w:rsidRDefault="004825F9" w:rsidP="008F7DA0">
            <w:pPr>
              <w:spacing w:after="0"/>
              <w:rPr>
                <w:rFonts w:cs="Arial"/>
                <w:sz w:val="20"/>
                <w:szCs w:val="20"/>
              </w:rPr>
            </w:pPr>
            <w:r w:rsidRPr="00873B0F">
              <w:rPr>
                <w:rFonts w:cs="Arial"/>
                <w:sz w:val="20"/>
                <w:szCs w:val="20"/>
              </w:rPr>
              <w:t>Fox and Holt</w:t>
            </w:r>
          </w:p>
        </w:tc>
        <w:tc>
          <w:tcPr>
            <w:tcW w:w="1992" w:type="pct"/>
            <w:gridSpan w:val="2"/>
            <w:tcBorders>
              <w:bottom w:val="single" w:sz="4" w:space="0" w:color="auto"/>
            </w:tcBorders>
            <w:shd w:val="clear" w:color="auto" w:fill="FFFFFF" w:themeFill="background1"/>
            <w:tcMar>
              <w:top w:w="30" w:type="dxa"/>
              <w:left w:w="45" w:type="dxa"/>
              <w:bottom w:w="30" w:type="dxa"/>
              <w:right w:w="45" w:type="dxa"/>
            </w:tcMar>
            <w:vAlign w:val="center"/>
          </w:tcPr>
          <w:p w14:paraId="4F7F53AA" w14:textId="77777777" w:rsidR="004825F9" w:rsidRPr="00873B0F" w:rsidRDefault="004825F9" w:rsidP="008F7DA0">
            <w:pPr>
              <w:spacing w:after="0"/>
              <w:rPr>
                <w:rFonts w:cs="Arial"/>
                <w:sz w:val="20"/>
                <w:szCs w:val="20"/>
              </w:rPr>
            </w:pPr>
            <w:r w:rsidRPr="00873B0F">
              <w:rPr>
                <w:rFonts w:cs="Arial"/>
                <w:sz w:val="20"/>
                <w:szCs w:val="20"/>
              </w:rPr>
              <w:t xml:space="preserve">Use of a </w:t>
            </w:r>
            <w:proofErr w:type="spellStart"/>
            <w:r w:rsidRPr="00873B0F">
              <w:rPr>
                <w:rFonts w:cs="Arial"/>
                <w:sz w:val="20"/>
                <w:szCs w:val="20"/>
              </w:rPr>
              <w:t>Multitheoretic</w:t>
            </w:r>
            <w:proofErr w:type="spellEnd"/>
            <w:r w:rsidRPr="00873B0F">
              <w:rPr>
                <w:rFonts w:cs="Arial"/>
                <w:sz w:val="20"/>
                <w:szCs w:val="20"/>
              </w:rPr>
              <w:t xml:space="preserve"> Model to Understand and Classify Juvenile Computer Hacking </w:t>
            </w:r>
            <w:proofErr w:type="spellStart"/>
            <w:r w:rsidRPr="00873B0F">
              <w:rPr>
                <w:rFonts w:cs="Arial"/>
                <w:sz w:val="20"/>
                <w:szCs w:val="20"/>
              </w:rPr>
              <w:t>Behavior</w:t>
            </w:r>
            <w:proofErr w:type="spellEnd"/>
          </w:p>
        </w:tc>
        <w:tc>
          <w:tcPr>
            <w:tcW w:w="271" w:type="pct"/>
            <w:tcBorders>
              <w:bottom w:val="single" w:sz="4" w:space="0" w:color="auto"/>
            </w:tcBorders>
            <w:shd w:val="clear" w:color="auto" w:fill="FFFFFF" w:themeFill="background1"/>
            <w:tcMar>
              <w:top w:w="30" w:type="dxa"/>
              <w:left w:w="45" w:type="dxa"/>
              <w:bottom w:w="30" w:type="dxa"/>
              <w:right w:w="45" w:type="dxa"/>
            </w:tcMar>
            <w:vAlign w:val="center"/>
          </w:tcPr>
          <w:p w14:paraId="62B98D54" w14:textId="77777777" w:rsidR="004825F9" w:rsidRPr="00873B0F" w:rsidRDefault="004825F9" w:rsidP="008F7DA0">
            <w:pPr>
              <w:spacing w:after="0"/>
              <w:jc w:val="center"/>
              <w:rPr>
                <w:rFonts w:cs="Arial"/>
                <w:sz w:val="20"/>
                <w:szCs w:val="20"/>
              </w:rPr>
            </w:pPr>
            <w:r w:rsidRPr="00873B0F">
              <w:rPr>
                <w:rFonts w:cs="Arial"/>
                <w:sz w:val="20"/>
                <w:szCs w:val="20"/>
              </w:rPr>
              <w:t>2021</w:t>
            </w:r>
          </w:p>
        </w:tc>
        <w:tc>
          <w:tcPr>
            <w:tcW w:w="1451" w:type="pct"/>
            <w:tcBorders>
              <w:bottom w:val="single" w:sz="4" w:space="0" w:color="auto"/>
            </w:tcBorders>
            <w:shd w:val="clear" w:color="auto" w:fill="FFFFFF" w:themeFill="background1"/>
            <w:tcMar>
              <w:top w:w="30" w:type="dxa"/>
              <w:left w:w="45" w:type="dxa"/>
              <w:bottom w:w="30" w:type="dxa"/>
              <w:right w:w="45" w:type="dxa"/>
            </w:tcMar>
            <w:vAlign w:val="center"/>
          </w:tcPr>
          <w:p w14:paraId="036FB0ED" w14:textId="77777777" w:rsidR="004825F9" w:rsidRPr="00873B0F" w:rsidRDefault="004825F9" w:rsidP="008F7DA0">
            <w:pPr>
              <w:spacing w:after="0"/>
              <w:jc w:val="both"/>
              <w:rPr>
                <w:rFonts w:cs="Arial"/>
                <w:sz w:val="20"/>
                <w:szCs w:val="20"/>
              </w:rPr>
            </w:pPr>
            <w:r w:rsidRPr="00873B0F">
              <w:rPr>
                <w:rFonts w:cs="Arial"/>
                <w:sz w:val="20"/>
                <w:szCs w:val="20"/>
              </w:rPr>
              <w:t>10.1177/0093854820969754</w:t>
            </w:r>
          </w:p>
        </w:tc>
      </w:tr>
      <w:tr w:rsidR="004825F9" w:rsidRPr="00873B0F" w14:paraId="024D0ED9" w14:textId="77777777" w:rsidTr="00F204C1">
        <w:trPr>
          <w:trHeight w:val="315"/>
        </w:trPr>
        <w:tc>
          <w:tcPr>
            <w:tcW w:w="561" w:type="pct"/>
            <w:vMerge/>
            <w:shd w:val="clear" w:color="auto" w:fill="FFFFFF" w:themeFill="background1"/>
            <w:vAlign w:val="center"/>
          </w:tcPr>
          <w:p w14:paraId="1C357B48" w14:textId="77777777" w:rsidR="004825F9" w:rsidRPr="00873B0F" w:rsidRDefault="004825F9" w:rsidP="008F7DA0">
            <w:pPr>
              <w:spacing w:after="0"/>
              <w:jc w:val="both"/>
              <w:rPr>
                <w:rFonts w:cs="Arial"/>
                <w:sz w:val="20"/>
                <w:szCs w:val="20"/>
              </w:rPr>
            </w:pPr>
          </w:p>
        </w:tc>
        <w:tc>
          <w:tcPr>
            <w:tcW w:w="724" w:type="pct"/>
            <w:tcBorders>
              <w:bottom w:val="single" w:sz="4" w:space="0" w:color="auto"/>
            </w:tcBorders>
            <w:shd w:val="clear" w:color="auto" w:fill="FFFFFF" w:themeFill="background1"/>
            <w:tcMar>
              <w:top w:w="30" w:type="dxa"/>
              <w:left w:w="45" w:type="dxa"/>
              <w:bottom w:w="30" w:type="dxa"/>
              <w:right w:w="45" w:type="dxa"/>
            </w:tcMar>
            <w:vAlign w:val="center"/>
          </w:tcPr>
          <w:p w14:paraId="4AC74702" w14:textId="77777777" w:rsidR="004825F9" w:rsidRPr="00873B0F" w:rsidRDefault="004825F9" w:rsidP="008F7DA0">
            <w:pPr>
              <w:spacing w:after="0"/>
              <w:rPr>
                <w:rFonts w:cs="Arial"/>
                <w:sz w:val="20"/>
                <w:szCs w:val="20"/>
              </w:rPr>
            </w:pPr>
            <w:r w:rsidRPr="00873B0F">
              <w:rPr>
                <w:rFonts w:cs="Arial"/>
                <w:sz w:val="20"/>
                <w:szCs w:val="20"/>
              </w:rPr>
              <w:t>Holt, Navarro and Clevenger</w:t>
            </w:r>
          </w:p>
        </w:tc>
        <w:tc>
          <w:tcPr>
            <w:tcW w:w="1992" w:type="pct"/>
            <w:gridSpan w:val="2"/>
            <w:tcBorders>
              <w:bottom w:val="single" w:sz="4" w:space="0" w:color="auto"/>
            </w:tcBorders>
            <w:shd w:val="clear" w:color="auto" w:fill="FFFFFF" w:themeFill="background1"/>
            <w:tcMar>
              <w:top w:w="30" w:type="dxa"/>
              <w:left w:w="45" w:type="dxa"/>
              <w:bottom w:w="30" w:type="dxa"/>
              <w:right w:w="45" w:type="dxa"/>
            </w:tcMar>
            <w:vAlign w:val="center"/>
          </w:tcPr>
          <w:p w14:paraId="59FBE700" w14:textId="77777777" w:rsidR="004825F9" w:rsidRPr="00873B0F" w:rsidRDefault="004825F9" w:rsidP="008F7DA0">
            <w:pPr>
              <w:spacing w:after="0"/>
              <w:rPr>
                <w:rFonts w:cs="Arial"/>
                <w:sz w:val="20"/>
                <w:szCs w:val="20"/>
              </w:rPr>
            </w:pPr>
            <w:r w:rsidRPr="00873B0F">
              <w:rPr>
                <w:rFonts w:cs="Arial"/>
                <w:sz w:val="20"/>
                <w:szCs w:val="20"/>
              </w:rPr>
              <w:t xml:space="preserve">Exploring the Moderating Role of Gender in Juvenile Hacking </w:t>
            </w:r>
            <w:proofErr w:type="spellStart"/>
            <w:r w:rsidRPr="00873B0F">
              <w:rPr>
                <w:rFonts w:cs="Arial"/>
                <w:sz w:val="20"/>
                <w:szCs w:val="20"/>
              </w:rPr>
              <w:t>Behaviors</w:t>
            </w:r>
            <w:proofErr w:type="spellEnd"/>
          </w:p>
        </w:tc>
        <w:tc>
          <w:tcPr>
            <w:tcW w:w="271" w:type="pct"/>
            <w:tcBorders>
              <w:bottom w:val="single" w:sz="4" w:space="0" w:color="auto"/>
            </w:tcBorders>
            <w:shd w:val="clear" w:color="auto" w:fill="FFFFFF" w:themeFill="background1"/>
            <w:tcMar>
              <w:top w:w="30" w:type="dxa"/>
              <w:left w:w="45" w:type="dxa"/>
              <w:bottom w:w="30" w:type="dxa"/>
              <w:right w:w="45" w:type="dxa"/>
            </w:tcMar>
            <w:vAlign w:val="center"/>
          </w:tcPr>
          <w:p w14:paraId="2FD9CB95" w14:textId="77777777" w:rsidR="004825F9" w:rsidRPr="00873B0F" w:rsidRDefault="004825F9" w:rsidP="008F7DA0">
            <w:pPr>
              <w:spacing w:after="0"/>
              <w:jc w:val="center"/>
              <w:rPr>
                <w:rFonts w:cs="Arial"/>
                <w:sz w:val="20"/>
                <w:szCs w:val="20"/>
              </w:rPr>
            </w:pPr>
            <w:r w:rsidRPr="00873B0F">
              <w:rPr>
                <w:rFonts w:cs="Arial"/>
                <w:sz w:val="20"/>
                <w:szCs w:val="20"/>
              </w:rPr>
              <w:t>2020</w:t>
            </w:r>
          </w:p>
        </w:tc>
        <w:tc>
          <w:tcPr>
            <w:tcW w:w="1451" w:type="pct"/>
            <w:tcBorders>
              <w:bottom w:val="single" w:sz="4" w:space="0" w:color="auto"/>
            </w:tcBorders>
            <w:shd w:val="clear" w:color="auto" w:fill="FFFFFF" w:themeFill="background1"/>
            <w:tcMar>
              <w:top w:w="30" w:type="dxa"/>
              <w:left w:w="45" w:type="dxa"/>
              <w:bottom w:w="30" w:type="dxa"/>
              <w:right w:w="45" w:type="dxa"/>
            </w:tcMar>
            <w:vAlign w:val="center"/>
          </w:tcPr>
          <w:p w14:paraId="5163F223" w14:textId="77777777" w:rsidR="004825F9" w:rsidRPr="00873B0F" w:rsidRDefault="004825F9" w:rsidP="008F7DA0">
            <w:pPr>
              <w:spacing w:after="0"/>
              <w:jc w:val="both"/>
              <w:rPr>
                <w:rFonts w:cs="Arial"/>
                <w:sz w:val="20"/>
                <w:szCs w:val="20"/>
              </w:rPr>
            </w:pPr>
            <w:r w:rsidRPr="00873B0F">
              <w:rPr>
                <w:rFonts w:cs="Arial"/>
                <w:sz w:val="20"/>
                <w:szCs w:val="20"/>
              </w:rPr>
              <w:t>10.1177/0011128719875697</w:t>
            </w:r>
          </w:p>
        </w:tc>
      </w:tr>
      <w:tr w:rsidR="004825F9" w:rsidRPr="00873B0F" w14:paraId="4106AF6F" w14:textId="77777777" w:rsidTr="00F204C1">
        <w:trPr>
          <w:trHeight w:val="315"/>
        </w:trPr>
        <w:tc>
          <w:tcPr>
            <w:tcW w:w="561" w:type="pct"/>
            <w:vMerge/>
            <w:shd w:val="clear" w:color="auto" w:fill="FFFFFF" w:themeFill="background1"/>
            <w:vAlign w:val="center"/>
          </w:tcPr>
          <w:p w14:paraId="613F3E0C" w14:textId="77777777" w:rsidR="004825F9" w:rsidRPr="00873B0F" w:rsidRDefault="004825F9" w:rsidP="008F7DA0">
            <w:pPr>
              <w:spacing w:after="0"/>
              <w:jc w:val="both"/>
              <w:rPr>
                <w:rFonts w:cs="Arial"/>
                <w:sz w:val="20"/>
                <w:szCs w:val="20"/>
              </w:rPr>
            </w:pPr>
          </w:p>
        </w:tc>
        <w:tc>
          <w:tcPr>
            <w:tcW w:w="724" w:type="pct"/>
            <w:tcBorders>
              <w:bottom w:val="single" w:sz="4" w:space="0" w:color="auto"/>
            </w:tcBorders>
            <w:shd w:val="clear" w:color="auto" w:fill="FFFFFF" w:themeFill="background1"/>
            <w:tcMar>
              <w:top w:w="30" w:type="dxa"/>
              <w:left w:w="45" w:type="dxa"/>
              <w:bottom w:w="30" w:type="dxa"/>
              <w:right w:w="45" w:type="dxa"/>
            </w:tcMar>
            <w:vAlign w:val="center"/>
          </w:tcPr>
          <w:p w14:paraId="523C3A70" w14:textId="77777777" w:rsidR="004825F9" w:rsidRPr="00873B0F" w:rsidRDefault="004825F9" w:rsidP="008F7DA0">
            <w:pPr>
              <w:spacing w:after="0"/>
              <w:rPr>
                <w:rFonts w:cs="Arial"/>
                <w:sz w:val="20"/>
                <w:szCs w:val="20"/>
              </w:rPr>
            </w:pPr>
            <w:r w:rsidRPr="00873B0F">
              <w:rPr>
                <w:rFonts w:cs="Arial"/>
                <w:sz w:val="20"/>
                <w:szCs w:val="20"/>
              </w:rPr>
              <w:t>Kim, Leban and Lee</w:t>
            </w:r>
          </w:p>
        </w:tc>
        <w:tc>
          <w:tcPr>
            <w:tcW w:w="1992" w:type="pct"/>
            <w:gridSpan w:val="2"/>
            <w:tcBorders>
              <w:bottom w:val="single" w:sz="4" w:space="0" w:color="auto"/>
            </w:tcBorders>
            <w:shd w:val="clear" w:color="auto" w:fill="FFFFFF" w:themeFill="background1"/>
            <w:tcMar>
              <w:top w:w="30" w:type="dxa"/>
              <w:left w:w="45" w:type="dxa"/>
              <w:bottom w:w="30" w:type="dxa"/>
              <w:right w:w="45" w:type="dxa"/>
            </w:tcMar>
            <w:vAlign w:val="center"/>
          </w:tcPr>
          <w:p w14:paraId="6B9AB0A1" w14:textId="77777777" w:rsidR="004825F9" w:rsidRPr="00873B0F" w:rsidRDefault="004825F9" w:rsidP="008F7DA0">
            <w:pPr>
              <w:spacing w:after="0"/>
              <w:rPr>
                <w:rFonts w:cs="Arial"/>
                <w:sz w:val="20"/>
                <w:szCs w:val="20"/>
              </w:rPr>
            </w:pPr>
            <w:r w:rsidRPr="00873B0F">
              <w:rPr>
                <w:rFonts w:cs="Arial"/>
                <w:sz w:val="20"/>
                <w:szCs w:val="20"/>
              </w:rPr>
              <w:t>Theoretical Explanations of the Development of Youth Hacking</w:t>
            </w:r>
          </w:p>
        </w:tc>
        <w:tc>
          <w:tcPr>
            <w:tcW w:w="271" w:type="pct"/>
            <w:tcBorders>
              <w:bottom w:val="single" w:sz="4" w:space="0" w:color="auto"/>
            </w:tcBorders>
            <w:shd w:val="clear" w:color="auto" w:fill="FFFFFF" w:themeFill="background1"/>
            <w:tcMar>
              <w:top w:w="30" w:type="dxa"/>
              <w:left w:w="45" w:type="dxa"/>
              <w:bottom w:w="30" w:type="dxa"/>
              <w:right w:w="45" w:type="dxa"/>
            </w:tcMar>
            <w:vAlign w:val="center"/>
          </w:tcPr>
          <w:p w14:paraId="2876F771" w14:textId="77777777" w:rsidR="004825F9" w:rsidRPr="00873B0F" w:rsidRDefault="004825F9" w:rsidP="008F7DA0">
            <w:pPr>
              <w:spacing w:after="0"/>
              <w:jc w:val="center"/>
              <w:rPr>
                <w:rFonts w:cs="Arial"/>
                <w:sz w:val="20"/>
                <w:szCs w:val="20"/>
              </w:rPr>
            </w:pPr>
            <w:r w:rsidRPr="00873B0F">
              <w:rPr>
                <w:rFonts w:cs="Arial"/>
                <w:sz w:val="20"/>
                <w:szCs w:val="20"/>
              </w:rPr>
              <w:t>2024</w:t>
            </w:r>
          </w:p>
        </w:tc>
        <w:tc>
          <w:tcPr>
            <w:tcW w:w="1451" w:type="pct"/>
            <w:tcBorders>
              <w:bottom w:val="single" w:sz="4" w:space="0" w:color="auto"/>
            </w:tcBorders>
            <w:shd w:val="clear" w:color="auto" w:fill="FFFFFF" w:themeFill="background1"/>
            <w:tcMar>
              <w:top w:w="30" w:type="dxa"/>
              <w:left w:w="45" w:type="dxa"/>
              <w:bottom w:w="30" w:type="dxa"/>
              <w:right w:w="45" w:type="dxa"/>
            </w:tcMar>
            <w:vAlign w:val="center"/>
          </w:tcPr>
          <w:p w14:paraId="76FF73B4" w14:textId="77777777" w:rsidR="004825F9" w:rsidRPr="00873B0F" w:rsidRDefault="004825F9" w:rsidP="008F7DA0">
            <w:pPr>
              <w:spacing w:after="0"/>
              <w:jc w:val="both"/>
              <w:rPr>
                <w:rFonts w:cs="Arial"/>
                <w:sz w:val="20"/>
                <w:szCs w:val="20"/>
              </w:rPr>
            </w:pPr>
            <w:r w:rsidRPr="00873B0F">
              <w:rPr>
                <w:rFonts w:cs="Arial"/>
                <w:sz w:val="20"/>
                <w:szCs w:val="20"/>
              </w:rPr>
              <w:t>10.1177/00111287221115639</w:t>
            </w:r>
          </w:p>
        </w:tc>
      </w:tr>
      <w:tr w:rsidR="004825F9" w:rsidRPr="00873B0F" w14:paraId="282BF989" w14:textId="77777777" w:rsidTr="00F204C1">
        <w:trPr>
          <w:trHeight w:val="315"/>
        </w:trPr>
        <w:tc>
          <w:tcPr>
            <w:tcW w:w="561" w:type="pct"/>
            <w:vMerge/>
            <w:tcBorders>
              <w:bottom w:val="single" w:sz="4" w:space="0" w:color="auto"/>
            </w:tcBorders>
            <w:shd w:val="clear" w:color="auto" w:fill="FFFFFF" w:themeFill="background1"/>
            <w:vAlign w:val="center"/>
          </w:tcPr>
          <w:p w14:paraId="388516A8" w14:textId="77777777" w:rsidR="004825F9" w:rsidRPr="00873B0F" w:rsidRDefault="004825F9" w:rsidP="008F7DA0">
            <w:pPr>
              <w:spacing w:after="0"/>
              <w:jc w:val="both"/>
              <w:rPr>
                <w:rFonts w:cs="Arial"/>
                <w:sz w:val="20"/>
                <w:szCs w:val="20"/>
              </w:rPr>
            </w:pPr>
          </w:p>
        </w:tc>
        <w:tc>
          <w:tcPr>
            <w:tcW w:w="724" w:type="pct"/>
            <w:tcBorders>
              <w:bottom w:val="single" w:sz="4" w:space="0" w:color="auto"/>
            </w:tcBorders>
            <w:shd w:val="clear" w:color="auto" w:fill="FFFFFF" w:themeFill="background1"/>
            <w:tcMar>
              <w:top w:w="30" w:type="dxa"/>
              <w:left w:w="45" w:type="dxa"/>
              <w:bottom w:w="30" w:type="dxa"/>
              <w:right w:w="45" w:type="dxa"/>
            </w:tcMar>
            <w:vAlign w:val="center"/>
          </w:tcPr>
          <w:p w14:paraId="64C302FF" w14:textId="77777777" w:rsidR="004825F9" w:rsidRPr="00873B0F" w:rsidRDefault="004825F9" w:rsidP="008F7DA0">
            <w:pPr>
              <w:spacing w:after="0"/>
              <w:rPr>
                <w:rFonts w:cs="Arial"/>
                <w:sz w:val="20"/>
                <w:szCs w:val="20"/>
              </w:rPr>
            </w:pPr>
            <w:r w:rsidRPr="00873B0F">
              <w:rPr>
                <w:rFonts w:cs="Arial"/>
                <w:sz w:val="20"/>
                <w:szCs w:val="20"/>
              </w:rPr>
              <w:t>Lee and Holt</w:t>
            </w:r>
          </w:p>
        </w:tc>
        <w:tc>
          <w:tcPr>
            <w:tcW w:w="1992" w:type="pct"/>
            <w:gridSpan w:val="2"/>
            <w:tcBorders>
              <w:bottom w:val="single" w:sz="4" w:space="0" w:color="auto"/>
            </w:tcBorders>
            <w:shd w:val="clear" w:color="auto" w:fill="FFFFFF" w:themeFill="background1"/>
            <w:tcMar>
              <w:top w:w="30" w:type="dxa"/>
              <w:left w:w="45" w:type="dxa"/>
              <w:bottom w:w="30" w:type="dxa"/>
              <w:right w:w="45" w:type="dxa"/>
            </w:tcMar>
            <w:vAlign w:val="center"/>
          </w:tcPr>
          <w:p w14:paraId="2856D3EB" w14:textId="77777777" w:rsidR="004825F9" w:rsidRPr="00873B0F" w:rsidRDefault="004825F9" w:rsidP="008F7DA0">
            <w:pPr>
              <w:spacing w:after="0"/>
              <w:rPr>
                <w:rFonts w:cs="Arial"/>
                <w:sz w:val="20"/>
                <w:szCs w:val="20"/>
              </w:rPr>
            </w:pPr>
            <w:r w:rsidRPr="00873B0F">
              <w:rPr>
                <w:rFonts w:cs="Arial"/>
                <w:sz w:val="20"/>
                <w:szCs w:val="20"/>
              </w:rPr>
              <w:t xml:space="preserve">Assessing the Factors Associated </w:t>
            </w:r>
            <w:proofErr w:type="gramStart"/>
            <w:r w:rsidRPr="00873B0F">
              <w:rPr>
                <w:rFonts w:cs="Arial"/>
                <w:sz w:val="20"/>
                <w:szCs w:val="20"/>
              </w:rPr>
              <w:t>With</w:t>
            </w:r>
            <w:proofErr w:type="gramEnd"/>
            <w:r w:rsidRPr="00873B0F">
              <w:rPr>
                <w:rFonts w:cs="Arial"/>
                <w:sz w:val="20"/>
                <w:szCs w:val="20"/>
              </w:rPr>
              <w:t xml:space="preserve"> the Detection of Juvenile Hacking </w:t>
            </w:r>
            <w:proofErr w:type="spellStart"/>
            <w:r w:rsidRPr="00873B0F">
              <w:rPr>
                <w:rFonts w:cs="Arial"/>
                <w:sz w:val="20"/>
                <w:szCs w:val="20"/>
              </w:rPr>
              <w:t>Behaviors</w:t>
            </w:r>
            <w:proofErr w:type="spellEnd"/>
          </w:p>
        </w:tc>
        <w:tc>
          <w:tcPr>
            <w:tcW w:w="271" w:type="pct"/>
            <w:tcBorders>
              <w:bottom w:val="single" w:sz="4" w:space="0" w:color="auto"/>
            </w:tcBorders>
            <w:shd w:val="clear" w:color="auto" w:fill="FFFFFF" w:themeFill="background1"/>
            <w:tcMar>
              <w:top w:w="30" w:type="dxa"/>
              <w:left w:w="45" w:type="dxa"/>
              <w:bottom w:w="30" w:type="dxa"/>
              <w:right w:w="45" w:type="dxa"/>
            </w:tcMar>
            <w:vAlign w:val="center"/>
          </w:tcPr>
          <w:p w14:paraId="260CABB3" w14:textId="77777777" w:rsidR="004825F9" w:rsidRPr="00873B0F" w:rsidRDefault="004825F9" w:rsidP="008F7DA0">
            <w:pPr>
              <w:spacing w:after="0"/>
              <w:jc w:val="center"/>
              <w:rPr>
                <w:rFonts w:cs="Arial"/>
                <w:sz w:val="20"/>
                <w:szCs w:val="20"/>
              </w:rPr>
            </w:pPr>
            <w:r w:rsidRPr="00873B0F">
              <w:rPr>
                <w:rFonts w:cs="Arial"/>
                <w:sz w:val="20"/>
                <w:szCs w:val="20"/>
              </w:rPr>
              <w:t>2020</w:t>
            </w:r>
          </w:p>
        </w:tc>
        <w:tc>
          <w:tcPr>
            <w:tcW w:w="1451" w:type="pct"/>
            <w:tcBorders>
              <w:bottom w:val="single" w:sz="4" w:space="0" w:color="auto"/>
            </w:tcBorders>
            <w:shd w:val="clear" w:color="auto" w:fill="FFFFFF" w:themeFill="background1"/>
            <w:tcMar>
              <w:top w:w="30" w:type="dxa"/>
              <w:left w:w="45" w:type="dxa"/>
              <w:bottom w:w="30" w:type="dxa"/>
              <w:right w:w="45" w:type="dxa"/>
            </w:tcMar>
            <w:vAlign w:val="center"/>
          </w:tcPr>
          <w:p w14:paraId="4F23B6E3" w14:textId="77777777" w:rsidR="004825F9" w:rsidRPr="00873B0F" w:rsidRDefault="004825F9" w:rsidP="008F7DA0">
            <w:pPr>
              <w:spacing w:after="0"/>
              <w:jc w:val="both"/>
              <w:rPr>
                <w:rFonts w:cs="Arial"/>
                <w:sz w:val="20"/>
                <w:szCs w:val="20"/>
              </w:rPr>
            </w:pPr>
            <w:r w:rsidRPr="00873B0F">
              <w:rPr>
                <w:rFonts w:cs="Arial"/>
                <w:sz w:val="20"/>
                <w:szCs w:val="20"/>
              </w:rPr>
              <w:t>10.3389/fpsyg.2020.00840</w:t>
            </w:r>
          </w:p>
        </w:tc>
      </w:tr>
      <w:tr w:rsidR="004825F9" w:rsidRPr="00873B0F" w14:paraId="4CE0AB44" w14:textId="77777777" w:rsidTr="00F204C1">
        <w:trPr>
          <w:trHeight w:val="315"/>
        </w:trPr>
        <w:tc>
          <w:tcPr>
            <w:tcW w:w="561" w:type="pct"/>
            <w:vMerge w:val="restart"/>
            <w:shd w:val="clear" w:color="auto" w:fill="FFFFFF" w:themeFill="background1"/>
            <w:vAlign w:val="center"/>
          </w:tcPr>
          <w:p w14:paraId="517B964D" w14:textId="77777777" w:rsidR="004825F9" w:rsidRPr="00873B0F" w:rsidRDefault="004825F9" w:rsidP="008F7DA0">
            <w:pPr>
              <w:spacing w:after="0"/>
              <w:rPr>
                <w:rFonts w:cs="Arial"/>
                <w:sz w:val="20"/>
                <w:szCs w:val="20"/>
              </w:rPr>
            </w:pPr>
            <w:r w:rsidRPr="00873B0F">
              <w:rPr>
                <w:rFonts w:cs="Arial"/>
                <w:sz w:val="20"/>
                <w:szCs w:val="20"/>
              </w:rPr>
              <w:t>Weak social bonds</w:t>
            </w:r>
          </w:p>
        </w:tc>
        <w:tc>
          <w:tcPr>
            <w:tcW w:w="724" w:type="pct"/>
            <w:tcBorders>
              <w:bottom w:val="single" w:sz="4" w:space="0" w:color="auto"/>
            </w:tcBorders>
            <w:shd w:val="clear" w:color="auto" w:fill="FFFFFF" w:themeFill="background1"/>
            <w:tcMar>
              <w:top w:w="30" w:type="dxa"/>
              <w:left w:w="45" w:type="dxa"/>
              <w:bottom w:w="30" w:type="dxa"/>
              <w:right w:w="45" w:type="dxa"/>
            </w:tcMar>
            <w:vAlign w:val="center"/>
          </w:tcPr>
          <w:p w14:paraId="0D41EB1B" w14:textId="77777777" w:rsidR="004825F9" w:rsidRPr="00873B0F" w:rsidRDefault="004825F9" w:rsidP="008F7DA0">
            <w:pPr>
              <w:spacing w:after="0"/>
              <w:rPr>
                <w:rFonts w:cs="Arial"/>
                <w:sz w:val="20"/>
                <w:szCs w:val="20"/>
              </w:rPr>
            </w:pPr>
            <w:r w:rsidRPr="00873B0F">
              <w:rPr>
                <w:rFonts w:cs="Arial"/>
                <w:sz w:val="20"/>
                <w:szCs w:val="20"/>
              </w:rPr>
              <w:t>Aiken et al.</w:t>
            </w:r>
          </w:p>
        </w:tc>
        <w:tc>
          <w:tcPr>
            <w:tcW w:w="1992" w:type="pct"/>
            <w:gridSpan w:val="2"/>
            <w:tcBorders>
              <w:bottom w:val="single" w:sz="4" w:space="0" w:color="auto"/>
            </w:tcBorders>
            <w:shd w:val="clear" w:color="auto" w:fill="FFFFFF" w:themeFill="background1"/>
            <w:tcMar>
              <w:top w:w="30" w:type="dxa"/>
              <w:left w:w="45" w:type="dxa"/>
              <w:bottom w:w="30" w:type="dxa"/>
              <w:right w:w="45" w:type="dxa"/>
            </w:tcMar>
            <w:vAlign w:val="center"/>
          </w:tcPr>
          <w:p w14:paraId="34E52A33" w14:textId="77777777" w:rsidR="004825F9" w:rsidRPr="00873B0F" w:rsidRDefault="004825F9" w:rsidP="008F7DA0">
            <w:pPr>
              <w:spacing w:after="0"/>
              <w:rPr>
                <w:rFonts w:cs="Arial"/>
                <w:sz w:val="20"/>
                <w:szCs w:val="20"/>
              </w:rPr>
            </w:pPr>
            <w:r w:rsidRPr="00873B0F">
              <w:rPr>
                <w:rFonts w:cs="Arial"/>
                <w:sz w:val="20"/>
                <w:szCs w:val="20"/>
              </w:rPr>
              <w:t>Intention to Hack? Applying the Theory of Planned Behaviour to Youth Criminal Hacking</w:t>
            </w:r>
          </w:p>
        </w:tc>
        <w:tc>
          <w:tcPr>
            <w:tcW w:w="271" w:type="pct"/>
            <w:tcBorders>
              <w:bottom w:val="single" w:sz="4" w:space="0" w:color="auto"/>
            </w:tcBorders>
            <w:shd w:val="clear" w:color="auto" w:fill="FFFFFF" w:themeFill="background1"/>
            <w:tcMar>
              <w:top w:w="30" w:type="dxa"/>
              <w:left w:w="45" w:type="dxa"/>
              <w:bottom w:w="30" w:type="dxa"/>
              <w:right w:w="45" w:type="dxa"/>
            </w:tcMar>
            <w:vAlign w:val="center"/>
          </w:tcPr>
          <w:p w14:paraId="5690B3A1" w14:textId="77777777" w:rsidR="004825F9" w:rsidRPr="00873B0F" w:rsidRDefault="004825F9" w:rsidP="008F7DA0">
            <w:pPr>
              <w:spacing w:after="0"/>
              <w:jc w:val="center"/>
              <w:rPr>
                <w:rFonts w:cs="Arial"/>
                <w:sz w:val="20"/>
                <w:szCs w:val="20"/>
              </w:rPr>
            </w:pPr>
            <w:r w:rsidRPr="00873B0F">
              <w:rPr>
                <w:rFonts w:cs="Arial"/>
                <w:sz w:val="20"/>
                <w:szCs w:val="20"/>
              </w:rPr>
              <w:t>2024</w:t>
            </w:r>
          </w:p>
        </w:tc>
        <w:tc>
          <w:tcPr>
            <w:tcW w:w="1451" w:type="pct"/>
            <w:tcBorders>
              <w:bottom w:val="single" w:sz="4" w:space="0" w:color="auto"/>
            </w:tcBorders>
            <w:shd w:val="clear" w:color="auto" w:fill="FFFFFF" w:themeFill="background1"/>
            <w:tcMar>
              <w:top w:w="30" w:type="dxa"/>
              <w:left w:w="45" w:type="dxa"/>
              <w:bottom w:w="30" w:type="dxa"/>
              <w:right w:w="45" w:type="dxa"/>
            </w:tcMar>
            <w:vAlign w:val="center"/>
          </w:tcPr>
          <w:p w14:paraId="0847FDCF" w14:textId="77777777" w:rsidR="004825F9" w:rsidRPr="00873B0F" w:rsidRDefault="004825F9" w:rsidP="008F7DA0">
            <w:pPr>
              <w:spacing w:after="0"/>
              <w:jc w:val="both"/>
              <w:rPr>
                <w:rFonts w:cs="Arial"/>
                <w:sz w:val="20"/>
                <w:szCs w:val="20"/>
              </w:rPr>
            </w:pPr>
            <w:r w:rsidRPr="00873B0F">
              <w:rPr>
                <w:rFonts w:cs="Arial"/>
                <w:sz w:val="20"/>
                <w:szCs w:val="20"/>
              </w:rPr>
              <w:t>10.3390/forensicsci4010003</w:t>
            </w:r>
          </w:p>
        </w:tc>
      </w:tr>
      <w:tr w:rsidR="004825F9" w:rsidRPr="00873B0F" w14:paraId="166075EA" w14:textId="77777777" w:rsidTr="00F204C1">
        <w:trPr>
          <w:trHeight w:val="315"/>
        </w:trPr>
        <w:tc>
          <w:tcPr>
            <w:tcW w:w="561" w:type="pct"/>
            <w:vMerge/>
            <w:shd w:val="clear" w:color="auto" w:fill="FFFFFF" w:themeFill="background1"/>
            <w:vAlign w:val="center"/>
          </w:tcPr>
          <w:p w14:paraId="62172AF7" w14:textId="77777777" w:rsidR="004825F9" w:rsidRPr="00873B0F" w:rsidRDefault="004825F9" w:rsidP="008F7DA0">
            <w:pPr>
              <w:spacing w:after="0"/>
              <w:jc w:val="both"/>
              <w:rPr>
                <w:rFonts w:cs="Arial"/>
                <w:sz w:val="20"/>
                <w:szCs w:val="20"/>
              </w:rPr>
            </w:pPr>
          </w:p>
        </w:tc>
        <w:tc>
          <w:tcPr>
            <w:tcW w:w="724" w:type="pct"/>
            <w:tcBorders>
              <w:bottom w:val="single" w:sz="4" w:space="0" w:color="auto"/>
            </w:tcBorders>
            <w:shd w:val="clear" w:color="auto" w:fill="FFFFFF" w:themeFill="background1"/>
            <w:tcMar>
              <w:top w:w="30" w:type="dxa"/>
              <w:left w:w="45" w:type="dxa"/>
              <w:bottom w:w="30" w:type="dxa"/>
              <w:right w:w="45" w:type="dxa"/>
            </w:tcMar>
            <w:vAlign w:val="center"/>
          </w:tcPr>
          <w:p w14:paraId="2DD828B6" w14:textId="77777777" w:rsidR="004825F9" w:rsidRPr="00873B0F" w:rsidRDefault="004825F9" w:rsidP="008F7DA0">
            <w:pPr>
              <w:spacing w:after="0"/>
              <w:rPr>
                <w:rFonts w:cs="Arial"/>
                <w:sz w:val="20"/>
                <w:szCs w:val="20"/>
              </w:rPr>
            </w:pPr>
            <w:r w:rsidRPr="00873B0F">
              <w:rPr>
                <w:rFonts w:cs="Arial"/>
                <w:sz w:val="20"/>
                <w:szCs w:val="20"/>
              </w:rPr>
              <w:t>Guo and Wang</w:t>
            </w:r>
          </w:p>
        </w:tc>
        <w:tc>
          <w:tcPr>
            <w:tcW w:w="1992" w:type="pct"/>
            <w:gridSpan w:val="2"/>
            <w:tcBorders>
              <w:bottom w:val="single" w:sz="4" w:space="0" w:color="auto"/>
            </w:tcBorders>
            <w:shd w:val="clear" w:color="auto" w:fill="FFFFFF" w:themeFill="background1"/>
            <w:tcMar>
              <w:top w:w="30" w:type="dxa"/>
              <w:left w:w="45" w:type="dxa"/>
              <w:bottom w:w="30" w:type="dxa"/>
              <w:right w:w="45" w:type="dxa"/>
            </w:tcMar>
            <w:vAlign w:val="center"/>
          </w:tcPr>
          <w:p w14:paraId="589EA5EF" w14:textId="77777777" w:rsidR="004825F9" w:rsidRPr="00873B0F" w:rsidRDefault="004825F9" w:rsidP="008F7DA0">
            <w:pPr>
              <w:spacing w:after="0"/>
              <w:rPr>
                <w:rFonts w:cs="Arial"/>
                <w:sz w:val="20"/>
                <w:szCs w:val="20"/>
              </w:rPr>
            </w:pPr>
            <w:r w:rsidRPr="00873B0F">
              <w:rPr>
                <w:rFonts w:cs="Arial"/>
                <w:sz w:val="20"/>
                <w:szCs w:val="20"/>
              </w:rPr>
              <w:t>Investigating predictors of juvenile traditional and/or cyber offense using machine learning by constructing a decision support system</w:t>
            </w:r>
          </w:p>
        </w:tc>
        <w:tc>
          <w:tcPr>
            <w:tcW w:w="271" w:type="pct"/>
            <w:tcBorders>
              <w:bottom w:val="single" w:sz="4" w:space="0" w:color="auto"/>
            </w:tcBorders>
            <w:shd w:val="clear" w:color="auto" w:fill="FFFFFF" w:themeFill="background1"/>
            <w:tcMar>
              <w:top w:w="30" w:type="dxa"/>
              <w:left w:w="45" w:type="dxa"/>
              <w:bottom w:w="30" w:type="dxa"/>
              <w:right w:w="45" w:type="dxa"/>
            </w:tcMar>
            <w:vAlign w:val="center"/>
          </w:tcPr>
          <w:p w14:paraId="5950972B" w14:textId="77777777" w:rsidR="004825F9" w:rsidRPr="00873B0F" w:rsidRDefault="004825F9" w:rsidP="008F7DA0">
            <w:pPr>
              <w:spacing w:after="0"/>
              <w:jc w:val="center"/>
              <w:rPr>
                <w:rFonts w:cs="Arial"/>
                <w:sz w:val="20"/>
                <w:szCs w:val="20"/>
              </w:rPr>
            </w:pPr>
            <w:r w:rsidRPr="00873B0F">
              <w:rPr>
                <w:rFonts w:cs="Arial"/>
                <w:sz w:val="20"/>
                <w:szCs w:val="20"/>
              </w:rPr>
              <w:t>2024</w:t>
            </w:r>
          </w:p>
        </w:tc>
        <w:tc>
          <w:tcPr>
            <w:tcW w:w="1451" w:type="pct"/>
            <w:tcBorders>
              <w:bottom w:val="single" w:sz="4" w:space="0" w:color="auto"/>
            </w:tcBorders>
            <w:shd w:val="clear" w:color="auto" w:fill="FFFFFF" w:themeFill="background1"/>
            <w:tcMar>
              <w:top w:w="30" w:type="dxa"/>
              <w:left w:w="45" w:type="dxa"/>
              <w:bottom w:w="30" w:type="dxa"/>
              <w:right w:w="45" w:type="dxa"/>
            </w:tcMar>
            <w:vAlign w:val="center"/>
          </w:tcPr>
          <w:p w14:paraId="03C42231" w14:textId="77777777" w:rsidR="004825F9" w:rsidRPr="00873B0F" w:rsidRDefault="004825F9" w:rsidP="008F7DA0">
            <w:pPr>
              <w:spacing w:after="0"/>
              <w:jc w:val="both"/>
              <w:rPr>
                <w:rFonts w:cs="Arial"/>
                <w:sz w:val="20"/>
                <w:szCs w:val="20"/>
              </w:rPr>
            </w:pPr>
            <w:r w:rsidRPr="00873B0F">
              <w:rPr>
                <w:rFonts w:cs="Arial"/>
                <w:sz w:val="20"/>
                <w:szCs w:val="20"/>
              </w:rPr>
              <w:t>10.1016/j.chb.2023.108079</w:t>
            </w:r>
          </w:p>
        </w:tc>
      </w:tr>
      <w:tr w:rsidR="004825F9" w:rsidRPr="00873B0F" w14:paraId="1B683E79" w14:textId="77777777" w:rsidTr="00F204C1">
        <w:trPr>
          <w:trHeight w:val="315"/>
        </w:trPr>
        <w:tc>
          <w:tcPr>
            <w:tcW w:w="561" w:type="pct"/>
            <w:vMerge/>
            <w:shd w:val="clear" w:color="auto" w:fill="FFFFFF" w:themeFill="background1"/>
            <w:vAlign w:val="center"/>
          </w:tcPr>
          <w:p w14:paraId="0D9849C2" w14:textId="77777777" w:rsidR="004825F9" w:rsidRPr="00873B0F" w:rsidRDefault="004825F9" w:rsidP="008F7DA0">
            <w:pPr>
              <w:spacing w:after="0"/>
              <w:jc w:val="both"/>
              <w:rPr>
                <w:rFonts w:cs="Arial"/>
                <w:sz w:val="20"/>
                <w:szCs w:val="20"/>
              </w:rPr>
            </w:pPr>
          </w:p>
        </w:tc>
        <w:tc>
          <w:tcPr>
            <w:tcW w:w="724" w:type="pct"/>
            <w:tcBorders>
              <w:bottom w:val="single" w:sz="4" w:space="0" w:color="auto"/>
            </w:tcBorders>
            <w:shd w:val="clear" w:color="auto" w:fill="FFFFFF" w:themeFill="background1"/>
            <w:tcMar>
              <w:top w:w="30" w:type="dxa"/>
              <w:left w:w="45" w:type="dxa"/>
              <w:bottom w:w="30" w:type="dxa"/>
              <w:right w:w="45" w:type="dxa"/>
            </w:tcMar>
            <w:vAlign w:val="center"/>
          </w:tcPr>
          <w:p w14:paraId="26525059" w14:textId="77777777" w:rsidR="004825F9" w:rsidRPr="00873B0F" w:rsidRDefault="004825F9" w:rsidP="008F7DA0">
            <w:pPr>
              <w:spacing w:after="0"/>
              <w:rPr>
                <w:rFonts w:cs="Arial"/>
                <w:sz w:val="20"/>
                <w:szCs w:val="20"/>
              </w:rPr>
            </w:pPr>
            <w:r w:rsidRPr="00873B0F">
              <w:rPr>
                <w:rFonts w:cs="Arial"/>
                <w:sz w:val="20"/>
                <w:szCs w:val="20"/>
              </w:rPr>
              <w:t>Kim, Leban and Lee</w:t>
            </w:r>
          </w:p>
        </w:tc>
        <w:tc>
          <w:tcPr>
            <w:tcW w:w="1992" w:type="pct"/>
            <w:gridSpan w:val="2"/>
            <w:tcBorders>
              <w:bottom w:val="single" w:sz="4" w:space="0" w:color="auto"/>
            </w:tcBorders>
            <w:shd w:val="clear" w:color="auto" w:fill="FFFFFF" w:themeFill="background1"/>
            <w:tcMar>
              <w:top w:w="30" w:type="dxa"/>
              <w:left w:w="45" w:type="dxa"/>
              <w:bottom w:w="30" w:type="dxa"/>
              <w:right w:w="45" w:type="dxa"/>
            </w:tcMar>
            <w:vAlign w:val="center"/>
          </w:tcPr>
          <w:p w14:paraId="3EE13B00" w14:textId="77777777" w:rsidR="004825F9" w:rsidRPr="00873B0F" w:rsidRDefault="004825F9" w:rsidP="008F7DA0">
            <w:pPr>
              <w:spacing w:after="0"/>
              <w:rPr>
                <w:rFonts w:cs="Arial"/>
                <w:sz w:val="20"/>
                <w:szCs w:val="20"/>
              </w:rPr>
            </w:pPr>
            <w:r w:rsidRPr="00873B0F">
              <w:rPr>
                <w:rFonts w:cs="Arial"/>
                <w:sz w:val="20"/>
                <w:szCs w:val="20"/>
              </w:rPr>
              <w:t>Theoretical Explanations of the Development of Youth Hacking</w:t>
            </w:r>
          </w:p>
        </w:tc>
        <w:tc>
          <w:tcPr>
            <w:tcW w:w="271" w:type="pct"/>
            <w:tcBorders>
              <w:bottom w:val="single" w:sz="4" w:space="0" w:color="auto"/>
            </w:tcBorders>
            <w:shd w:val="clear" w:color="auto" w:fill="FFFFFF" w:themeFill="background1"/>
            <w:tcMar>
              <w:top w:w="30" w:type="dxa"/>
              <w:left w:w="45" w:type="dxa"/>
              <w:bottom w:w="30" w:type="dxa"/>
              <w:right w:w="45" w:type="dxa"/>
            </w:tcMar>
            <w:vAlign w:val="center"/>
          </w:tcPr>
          <w:p w14:paraId="61A15294" w14:textId="77777777" w:rsidR="004825F9" w:rsidRPr="00873B0F" w:rsidRDefault="004825F9" w:rsidP="008F7DA0">
            <w:pPr>
              <w:spacing w:after="0"/>
              <w:jc w:val="center"/>
              <w:rPr>
                <w:rFonts w:cs="Arial"/>
                <w:sz w:val="20"/>
                <w:szCs w:val="20"/>
              </w:rPr>
            </w:pPr>
            <w:r w:rsidRPr="00873B0F">
              <w:rPr>
                <w:rFonts w:cs="Arial"/>
                <w:sz w:val="20"/>
                <w:szCs w:val="20"/>
              </w:rPr>
              <w:t>2024</w:t>
            </w:r>
          </w:p>
        </w:tc>
        <w:tc>
          <w:tcPr>
            <w:tcW w:w="1451" w:type="pct"/>
            <w:tcBorders>
              <w:bottom w:val="single" w:sz="4" w:space="0" w:color="auto"/>
            </w:tcBorders>
            <w:shd w:val="clear" w:color="auto" w:fill="FFFFFF" w:themeFill="background1"/>
            <w:tcMar>
              <w:top w:w="30" w:type="dxa"/>
              <w:left w:w="45" w:type="dxa"/>
              <w:bottom w:w="30" w:type="dxa"/>
              <w:right w:w="45" w:type="dxa"/>
            </w:tcMar>
            <w:vAlign w:val="center"/>
          </w:tcPr>
          <w:p w14:paraId="04E9E0F8" w14:textId="77777777" w:rsidR="004825F9" w:rsidRPr="00873B0F" w:rsidRDefault="004825F9" w:rsidP="008F7DA0">
            <w:pPr>
              <w:spacing w:after="0"/>
              <w:jc w:val="both"/>
              <w:rPr>
                <w:rFonts w:cs="Arial"/>
                <w:sz w:val="20"/>
                <w:szCs w:val="20"/>
              </w:rPr>
            </w:pPr>
            <w:r w:rsidRPr="00873B0F">
              <w:rPr>
                <w:rFonts w:cs="Arial"/>
                <w:sz w:val="20"/>
                <w:szCs w:val="20"/>
              </w:rPr>
              <w:t>10.1177/00111287221115639</w:t>
            </w:r>
          </w:p>
        </w:tc>
      </w:tr>
      <w:tr w:rsidR="004825F9" w:rsidRPr="00873B0F" w14:paraId="24DAAD82" w14:textId="77777777" w:rsidTr="00F204C1">
        <w:trPr>
          <w:trHeight w:val="315"/>
        </w:trPr>
        <w:tc>
          <w:tcPr>
            <w:tcW w:w="561" w:type="pct"/>
            <w:vMerge/>
            <w:tcBorders>
              <w:bottom w:val="single" w:sz="4" w:space="0" w:color="auto"/>
            </w:tcBorders>
            <w:shd w:val="clear" w:color="auto" w:fill="FFFFFF" w:themeFill="background1"/>
            <w:vAlign w:val="center"/>
          </w:tcPr>
          <w:p w14:paraId="09315A2A" w14:textId="77777777" w:rsidR="004825F9" w:rsidRPr="00873B0F" w:rsidRDefault="004825F9" w:rsidP="008F7DA0">
            <w:pPr>
              <w:spacing w:after="0"/>
              <w:jc w:val="both"/>
              <w:rPr>
                <w:rFonts w:cs="Arial"/>
                <w:sz w:val="20"/>
                <w:szCs w:val="20"/>
              </w:rPr>
            </w:pPr>
          </w:p>
        </w:tc>
        <w:tc>
          <w:tcPr>
            <w:tcW w:w="724" w:type="pct"/>
            <w:tcBorders>
              <w:bottom w:val="single" w:sz="4" w:space="0" w:color="auto"/>
            </w:tcBorders>
            <w:shd w:val="clear" w:color="auto" w:fill="FFFFFF" w:themeFill="background1"/>
            <w:tcMar>
              <w:top w:w="30" w:type="dxa"/>
              <w:left w:w="45" w:type="dxa"/>
              <w:bottom w:w="30" w:type="dxa"/>
              <w:right w:w="45" w:type="dxa"/>
            </w:tcMar>
            <w:vAlign w:val="center"/>
          </w:tcPr>
          <w:p w14:paraId="455CA532" w14:textId="77777777" w:rsidR="004825F9" w:rsidRPr="00873B0F" w:rsidRDefault="004825F9" w:rsidP="008F7DA0">
            <w:pPr>
              <w:spacing w:after="0"/>
              <w:rPr>
                <w:rFonts w:cs="Arial"/>
                <w:sz w:val="20"/>
                <w:szCs w:val="20"/>
              </w:rPr>
            </w:pPr>
            <w:r w:rsidRPr="00873B0F">
              <w:rPr>
                <w:rFonts w:cs="Arial"/>
                <w:sz w:val="20"/>
                <w:szCs w:val="20"/>
              </w:rPr>
              <w:t>Lee and Holt</w:t>
            </w:r>
          </w:p>
        </w:tc>
        <w:tc>
          <w:tcPr>
            <w:tcW w:w="1992" w:type="pct"/>
            <w:gridSpan w:val="2"/>
            <w:tcBorders>
              <w:bottom w:val="single" w:sz="4" w:space="0" w:color="auto"/>
            </w:tcBorders>
            <w:shd w:val="clear" w:color="auto" w:fill="FFFFFF" w:themeFill="background1"/>
            <w:tcMar>
              <w:top w:w="30" w:type="dxa"/>
              <w:left w:w="45" w:type="dxa"/>
              <w:bottom w:w="30" w:type="dxa"/>
              <w:right w:w="45" w:type="dxa"/>
            </w:tcMar>
            <w:vAlign w:val="center"/>
          </w:tcPr>
          <w:p w14:paraId="0E3A41E3" w14:textId="77777777" w:rsidR="004825F9" w:rsidRPr="00873B0F" w:rsidRDefault="004825F9" w:rsidP="008F7DA0">
            <w:pPr>
              <w:spacing w:after="0"/>
              <w:rPr>
                <w:rFonts w:cs="Arial"/>
                <w:sz w:val="20"/>
                <w:szCs w:val="20"/>
              </w:rPr>
            </w:pPr>
            <w:r w:rsidRPr="00873B0F">
              <w:rPr>
                <w:rFonts w:cs="Arial"/>
                <w:sz w:val="20"/>
                <w:szCs w:val="20"/>
              </w:rPr>
              <w:t xml:space="preserve">Assessing the Factors Associated </w:t>
            </w:r>
            <w:proofErr w:type="gramStart"/>
            <w:r w:rsidRPr="00873B0F">
              <w:rPr>
                <w:rFonts w:cs="Arial"/>
                <w:sz w:val="20"/>
                <w:szCs w:val="20"/>
              </w:rPr>
              <w:t>With</w:t>
            </w:r>
            <w:proofErr w:type="gramEnd"/>
            <w:r w:rsidRPr="00873B0F">
              <w:rPr>
                <w:rFonts w:cs="Arial"/>
                <w:sz w:val="20"/>
                <w:szCs w:val="20"/>
              </w:rPr>
              <w:t xml:space="preserve"> the Detection of Juvenile Hacking </w:t>
            </w:r>
            <w:proofErr w:type="spellStart"/>
            <w:r w:rsidRPr="00873B0F">
              <w:rPr>
                <w:rFonts w:cs="Arial"/>
                <w:sz w:val="20"/>
                <w:szCs w:val="20"/>
              </w:rPr>
              <w:t>Behaviors</w:t>
            </w:r>
            <w:proofErr w:type="spellEnd"/>
          </w:p>
        </w:tc>
        <w:tc>
          <w:tcPr>
            <w:tcW w:w="271" w:type="pct"/>
            <w:tcBorders>
              <w:bottom w:val="single" w:sz="4" w:space="0" w:color="auto"/>
            </w:tcBorders>
            <w:shd w:val="clear" w:color="auto" w:fill="FFFFFF" w:themeFill="background1"/>
            <w:tcMar>
              <w:top w:w="30" w:type="dxa"/>
              <w:left w:w="45" w:type="dxa"/>
              <w:bottom w:w="30" w:type="dxa"/>
              <w:right w:w="45" w:type="dxa"/>
            </w:tcMar>
            <w:vAlign w:val="center"/>
          </w:tcPr>
          <w:p w14:paraId="6BFE6952" w14:textId="77777777" w:rsidR="004825F9" w:rsidRPr="00873B0F" w:rsidRDefault="004825F9" w:rsidP="008F7DA0">
            <w:pPr>
              <w:spacing w:after="0"/>
              <w:jc w:val="center"/>
              <w:rPr>
                <w:rFonts w:cs="Arial"/>
                <w:sz w:val="20"/>
                <w:szCs w:val="20"/>
              </w:rPr>
            </w:pPr>
            <w:r w:rsidRPr="00873B0F">
              <w:rPr>
                <w:rFonts w:cs="Arial"/>
                <w:sz w:val="20"/>
                <w:szCs w:val="20"/>
              </w:rPr>
              <w:t>2020</w:t>
            </w:r>
          </w:p>
        </w:tc>
        <w:tc>
          <w:tcPr>
            <w:tcW w:w="1451" w:type="pct"/>
            <w:tcBorders>
              <w:bottom w:val="single" w:sz="4" w:space="0" w:color="auto"/>
            </w:tcBorders>
            <w:shd w:val="clear" w:color="auto" w:fill="FFFFFF" w:themeFill="background1"/>
            <w:tcMar>
              <w:top w:w="30" w:type="dxa"/>
              <w:left w:w="45" w:type="dxa"/>
              <w:bottom w:w="30" w:type="dxa"/>
              <w:right w:w="45" w:type="dxa"/>
            </w:tcMar>
            <w:vAlign w:val="center"/>
          </w:tcPr>
          <w:p w14:paraId="1A1B500C" w14:textId="77777777" w:rsidR="004825F9" w:rsidRPr="00873B0F" w:rsidRDefault="004825F9" w:rsidP="008F7DA0">
            <w:pPr>
              <w:spacing w:after="0"/>
              <w:jc w:val="both"/>
              <w:rPr>
                <w:rFonts w:cs="Arial"/>
                <w:sz w:val="20"/>
                <w:szCs w:val="20"/>
              </w:rPr>
            </w:pPr>
            <w:r w:rsidRPr="00873B0F">
              <w:rPr>
                <w:rFonts w:cs="Arial"/>
                <w:sz w:val="20"/>
                <w:szCs w:val="20"/>
              </w:rPr>
              <w:t>10.3389/fpsyg.2020.00840</w:t>
            </w:r>
          </w:p>
        </w:tc>
      </w:tr>
    </w:tbl>
    <w:p w14:paraId="10653E2E" w14:textId="7F33599F" w:rsidR="00B53462" w:rsidRDefault="00B53462" w:rsidP="00B53462">
      <w:pPr>
        <w:pStyle w:val="Heading2"/>
      </w:pPr>
      <w:r>
        <w:t>Copyright Statement</w:t>
      </w:r>
    </w:p>
    <w:p w14:paraId="78B87C67" w14:textId="0D01A450" w:rsidR="001D7306" w:rsidRPr="00240A04" w:rsidRDefault="00397E61" w:rsidP="00240A04">
      <w:pPr>
        <w:spacing w:before="120" w:after="120" w:line="360" w:lineRule="auto"/>
        <w:jc w:val="both"/>
        <w:rPr>
          <w:rFonts w:eastAsia="Times New Roman" w:cs="Times New Roman"/>
          <w:lang w:eastAsia="en-GB"/>
        </w:rPr>
      </w:pPr>
      <w:r w:rsidRPr="00E1530F">
        <w:rPr>
          <w:rFonts w:eastAsia="Times New Roman" w:cs="Arial"/>
          <w:color w:val="212529"/>
          <w:shd w:val="clear" w:color="auto" w:fill="FFFFFF"/>
          <w:lang w:eastAsia="en-GB"/>
        </w:rPr>
        <w:t>©</w:t>
      </w:r>
      <w:r w:rsidR="00B52F07" w:rsidRPr="00B52F07">
        <w:t xml:space="preserve"> </w:t>
      </w:r>
      <w:r w:rsidR="00B52F07" w:rsidRPr="00B52F07">
        <w:rPr>
          <w:rFonts w:eastAsia="Times New Roman" w:cs="Arial"/>
          <w:color w:val="212529"/>
          <w:shd w:val="clear" w:color="auto" w:fill="FFFFFF"/>
          <w:lang w:eastAsia="en-GB"/>
        </w:rPr>
        <w:t>Antonina Savka</w:t>
      </w:r>
      <w:r w:rsidRPr="00E1530F">
        <w:rPr>
          <w:rFonts w:eastAsia="Times New Roman" w:cs="Arial"/>
          <w:color w:val="212529"/>
          <w:shd w:val="clear" w:color="auto" w:fill="FFFFFF"/>
          <w:lang w:eastAsia="en-GB"/>
        </w:rPr>
        <w:t xml:space="preserve">. This article is licensed under a </w:t>
      </w:r>
      <w:hyperlink r:id="rId9" w:history="1">
        <w:r w:rsidRPr="00B53462">
          <w:rPr>
            <w:rStyle w:val="Hyperlink"/>
            <w:rFonts w:eastAsia="Times New Roman" w:cs="Arial"/>
            <w:shd w:val="clear" w:color="auto" w:fill="FFFFFF"/>
            <w:lang w:eastAsia="en-GB"/>
          </w:rPr>
          <w:t>Creative Commons Attribution 4.0 International Licence (CC BY)</w:t>
        </w:r>
      </w:hyperlink>
      <w:r w:rsidRPr="00E1530F">
        <w:rPr>
          <w:rFonts w:eastAsia="Times New Roman" w:cs="Arial"/>
          <w:color w:val="212529"/>
          <w:shd w:val="clear" w:color="auto" w:fill="FFFFFF"/>
          <w:lang w:eastAsia="en-GB"/>
        </w:rPr>
        <w:t>.</w:t>
      </w:r>
    </w:p>
    <w:sectPr w:rsidR="001D7306" w:rsidRPr="00240A04" w:rsidSect="00664D82">
      <w:headerReference w:type="default"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7DE0C" w14:textId="77777777" w:rsidR="00851DCF" w:rsidRDefault="00851DCF" w:rsidP="002B247D">
      <w:pPr>
        <w:spacing w:after="0" w:line="240" w:lineRule="auto"/>
      </w:pPr>
      <w:r>
        <w:separator/>
      </w:r>
    </w:p>
  </w:endnote>
  <w:endnote w:type="continuationSeparator" w:id="0">
    <w:p w14:paraId="2A5A5487" w14:textId="77777777" w:rsidR="00851DCF" w:rsidRDefault="00851DCF"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52BA49E4" w:rsidR="00BE6334" w:rsidRPr="00990D5E" w:rsidRDefault="00BE6334">
        <w:pPr>
          <w:pStyle w:val="Footer"/>
          <w:jc w:val="center"/>
          <w:rPr>
            <w:sz w:val="20"/>
            <w:szCs w:val="20"/>
          </w:rPr>
        </w:pPr>
        <w:r w:rsidRPr="00990D5E">
          <w:rPr>
            <w:noProof/>
            <w:sz w:val="20"/>
            <w:szCs w:val="20"/>
          </w:rPr>
          <w:t xml:space="preserve">This article is </w:t>
        </w:r>
        <w:r w:rsidR="00B53462">
          <w:rPr>
            <w:noProof/>
            <w:sz w:val="20"/>
            <w:szCs w:val="20"/>
          </w:rPr>
          <w:t xml:space="preserve">licensed </w:t>
        </w:r>
        <w:hyperlink r:id="rId1" w:history="1">
          <w:r w:rsidRPr="00B53462">
            <w:rPr>
              <w:rStyle w:val="Hyperlink"/>
              <w:noProof/>
              <w:sz w:val="20"/>
              <w:szCs w:val="20"/>
            </w:rPr>
            <w:t>CC BY</w:t>
          </w:r>
          <w:r w:rsidR="00B53462" w:rsidRPr="00B53462">
            <w:rPr>
              <w:rStyle w:val="Hyperlink"/>
              <w:noProof/>
              <w:sz w:val="20"/>
              <w:szCs w:val="20"/>
            </w:rPr>
            <w:t xml:space="preserve"> 4.0</w:t>
          </w:r>
        </w:hyperlink>
        <w:r w:rsidRPr="00990D5E">
          <w:rPr>
            <w:noProof/>
            <w:sz w:val="20"/>
            <w:szCs w:val="20"/>
          </w:rPr>
          <w:t xml:space="preserve"> (</w:t>
        </w:r>
        <w:r w:rsidR="00B52F07" w:rsidRPr="00B52F07">
          <w:rPr>
            <w:noProof/>
            <w:sz w:val="20"/>
            <w:szCs w:val="20"/>
          </w:rPr>
          <w:t>Antonina Savka</w:t>
        </w:r>
        <w:r w:rsidRPr="00990D5E">
          <w:rPr>
            <w:noProof/>
            <w:sz w:val="20"/>
            <w:szCs w:val="20"/>
          </w:rPr>
          <w:t>)</w:t>
        </w:r>
        <w:r w:rsidRPr="00990D5E">
          <w:rPr>
            <w:noProof/>
            <w:sz w:val="20"/>
            <w:szCs w:val="20"/>
          </w:rPr>
          <w:tab/>
        </w:r>
        <w:r w:rsidRPr="00990D5E">
          <w:rPr>
            <w:noProof/>
            <w:sz w:val="20"/>
            <w:szCs w:val="20"/>
          </w:rPr>
          <w:tab/>
          <w:t xml:space="preserve">Essex Student Journal, </w:t>
        </w:r>
        <w:r w:rsidR="00B52F07">
          <w:rPr>
            <w:noProof/>
            <w:sz w:val="20"/>
            <w:szCs w:val="20"/>
          </w:rPr>
          <w:t>2025</w:t>
        </w:r>
        <w:r w:rsidR="00990D5E">
          <w:rPr>
            <w:noProof/>
            <w:sz w:val="20"/>
            <w:szCs w:val="20"/>
          </w:rPr>
          <w:t>, Vol</w:t>
        </w:r>
        <w:r w:rsidRPr="00990D5E">
          <w:rPr>
            <w:noProof/>
            <w:sz w:val="20"/>
            <w:szCs w:val="20"/>
          </w:rPr>
          <w:t>.</w:t>
        </w:r>
        <w:r w:rsidR="00B52F07">
          <w:rPr>
            <w:noProof/>
            <w:sz w:val="20"/>
            <w:szCs w:val="20"/>
          </w:rPr>
          <w:t xml:space="preserve"> 17(1)</w:t>
        </w:r>
      </w:p>
    </w:sdtContent>
  </w:sdt>
  <w:p w14:paraId="793C577F" w14:textId="4A80D708" w:rsidR="00BE6334" w:rsidRPr="00990D5E" w:rsidRDefault="00BE6334">
    <w:pPr>
      <w:pStyle w:val="Footer"/>
      <w:rPr>
        <w:sz w:val="20"/>
        <w:szCs w:val="20"/>
      </w:rPr>
    </w:pPr>
    <w:r w:rsidRPr="00990D5E">
      <w:rPr>
        <w:sz w:val="20"/>
        <w:szCs w:val="20"/>
      </w:rPr>
      <w:t xml:space="preserve">DOI: </w:t>
    </w:r>
    <w:hyperlink r:id="rId2" w:history="1">
      <w:r w:rsidR="00B52F07" w:rsidRPr="00006F39">
        <w:rPr>
          <w:rStyle w:val="Hyperlink"/>
          <w:sz w:val="20"/>
          <w:szCs w:val="20"/>
        </w:rPr>
        <w:t>https://doi.org/10.5526/esj.42</w:t>
      </w:r>
      <w:r w:rsidR="00B52F07" w:rsidRPr="00006F39">
        <w:rPr>
          <w:rStyle w:val="Hyperlink"/>
          <w:sz w:val="20"/>
          <w:szCs w:val="20"/>
        </w:rPr>
        <w:t>8</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71506AF6" w:rsidR="00BE6334" w:rsidRPr="00990D5E" w:rsidRDefault="00A55EA2" w:rsidP="00A55EA2">
        <w:pPr>
          <w:pStyle w:val="Footer"/>
          <w:jc w:val="center"/>
          <w:rPr>
            <w:sz w:val="20"/>
            <w:szCs w:val="20"/>
          </w:rPr>
        </w:pPr>
        <w:r>
          <w:rPr>
            <w:noProof/>
            <w:sz w:val="20"/>
            <w:szCs w:val="20"/>
          </w:rPr>
          <w:tab/>
        </w:r>
        <w:r>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21318" w14:textId="77777777" w:rsidR="00851DCF" w:rsidRDefault="00851DCF" w:rsidP="002B247D">
      <w:pPr>
        <w:spacing w:after="0" w:line="240" w:lineRule="auto"/>
      </w:pPr>
      <w:r>
        <w:separator/>
      </w:r>
    </w:p>
  </w:footnote>
  <w:footnote w:type="continuationSeparator" w:id="0">
    <w:p w14:paraId="2D44A213" w14:textId="77777777" w:rsidR="00851DCF" w:rsidRDefault="00851DCF"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D3E8" w14:textId="3B333B64" w:rsidR="002B247D" w:rsidRPr="00E8491C" w:rsidRDefault="00E8491C" w:rsidP="00E8491C">
    <w:pPr>
      <w:pStyle w:val="Header"/>
    </w:pPr>
    <w:r w:rsidRPr="00E8491C">
      <w:t>Primary drivers for teenagers’ illegal hacking, as evidenced by criminological literature from the past five years</w:t>
    </w:r>
    <w:r w:rsidR="00CB7E63" w:rsidRPr="00CB7E63">
      <w:rPr>
        <w:lang w:val="en-IE"/>
      </w:rPr>
      <w:t>: A systematic literature review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8D3E3" w14:textId="575759F4" w:rsidR="00575297" w:rsidRPr="00575297" w:rsidRDefault="00575297">
    <w:pPr>
      <w:pStyle w:val="Header"/>
      <w:rPr>
        <w:i/>
        <w:iCs/>
      </w:rPr>
    </w:pPr>
    <w:r w:rsidRPr="003C4F9B">
      <w:rPr>
        <w:i/>
        <w:iCs/>
      </w:rPr>
      <w:t>This page will be removed before publication.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0366C5"/>
    <w:multiLevelType w:val="hybridMultilevel"/>
    <w:tmpl w:val="B8146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A258E4"/>
    <w:multiLevelType w:val="multilevel"/>
    <w:tmpl w:val="DFBE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932728">
    <w:abstractNumId w:val="2"/>
  </w:num>
  <w:num w:numId="2" w16cid:durableId="700589557">
    <w:abstractNumId w:val="3"/>
  </w:num>
  <w:num w:numId="3" w16cid:durableId="198671331">
    <w:abstractNumId w:val="0"/>
  </w:num>
  <w:num w:numId="4" w16cid:durableId="700472989">
    <w:abstractNumId w:val="4"/>
  </w:num>
  <w:num w:numId="5" w16cid:durableId="134837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02A71"/>
    <w:rsid w:val="00017AE4"/>
    <w:rsid w:val="000278A2"/>
    <w:rsid w:val="00033736"/>
    <w:rsid w:val="00042216"/>
    <w:rsid w:val="00057F3F"/>
    <w:rsid w:val="00066760"/>
    <w:rsid w:val="00070B27"/>
    <w:rsid w:val="00082008"/>
    <w:rsid w:val="00083282"/>
    <w:rsid w:val="00092C26"/>
    <w:rsid w:val="00094E2A"/>
    <w:rsid w:val="000B6A5C"/>
    <w:rsid w:val="000D2706"/>
    <w:rsid w:val="000D7121"/>
    <w:rsid w:val="00130454"/>
    <w:rsid w:val="001463E9"/>
    <w:rsid w:val="00146B7A"/>
    <w:rsid w:val="00154016"/>
    <w:rsid w:val="00154D9A"/>
    <w:rsid w:val="00157D09"/>
    <w:rsid w:val="0017023E"/>
    <w:rsid w:val="001717B4"/>
    <w:rsid w:val="00190D55"/>
    <w:rsid w:val="00192270"/>
    <w:rsid w:val="001A75B2"/>
    <w:rsid w:val="001D3F1B"/>
    <w:rsid w:val="001D7306"/>
    <w:rsid w:val="001F5446"/>
    <w:rsid w:val="002023BB"/>
    <w:rsid w:val="002167D1"/>
    <w:rsid w:val="00221F4A"/>
    <w:rsid w:val="0022204C"/>
    <w:rsid w:val="00226312"/>
    <w:rsid w:val="00227499"/>
    <w:rsid w:val="002409B9"/>
    <w:rsid w:val="00240A04"/>
    <w:rsid w:val="00240FC1"/>
    <w:rsid w:val="00257689"/>
    <w:rsid w:val="00296311"/>
    <w:rsid w:val="002B247D"/>
    <w:rsid w:val="002C2942"/>
    <w:rsid w:val="002C4464"/>
    <w:rsid w:val="002C7AC5"/>
    <w:rsid w:val="002D1EAC"/>
    <w:rsid w:val="002D5C51"/>
    <w:rsid w:val="002E1AF3"/>
    <w:rsid w:val="002E3823"/>
    <w:rsid w:val="002F5A07"/>
    <w:rsid w:val="00305011"/>
    <w:rsid w:val="003130ED"/>
    <w:rsid w:val="00313E93"/>
    <w:rsid w:val="00325E64"/>
    <w:rsid w:val="00327AD6"/>
    <w:rsid w:val="00331418"/>
    <w:rsid w:val="003367C2"/>
    <w:rsid w:val="00336B41"/>
    <w:rsid w:val="003519B7"/>
    <w:rsid w:val="003521F6"/>
    <w:rsid w:val="0035767C"/>
    <w:rsid w:val="00372024"/>
    <w:rsid w:val="00374289"/>
    <w:rsid w:val="0038483A"/>
    <w:rsid w:val="00386E37"/>
    <w:rsid w:val="00397E61"/>
    <w:rsid w:val="003B31A1"/>
    <w:rsid w:val="003B6FF4"/>
    <w:rsid w:val="003F3860"/>
    <w:rsid w:val="004171CE"/>
    <w:rsid w:val="004216EB"/>
    <w:rsid w:val="00421F41"/>
    <w:rsid w:val="00480604"/>
    <w:rsid w:val="004825F9"/>
    <w:rsid w:val="00494F8B"/>
    <w:rsid w:val="004A3621"/>
    <w:rsid w:val="004C1D26"/>
    <w:rsid w:val="004C4DF9"/>
    <w:rsid w:val="004E6443"/>
    <w:rsid w:val="004F69B5"/>
    <w:rsid w:val="00510904"/>
    <w:rsid w:val="0052450F"/>
    <w:rsid w:val="005364B0"/>
    <w:rsid w:val="00575297"/>
    <w:rsid w:val="005967E9"/>
    <w:rsid w:val="005A5736"/>
    <w:rsid w:val="005A5902"/>
    <w:rsid w:val="005A6CA0"/>
    <w:rsid w:val="005B28E4"/>
    <w:rsid w:val="005B39B8"/>
    <w:rsid w:val="005B4648"/>
    <w:rsid w:val="005B549F"/>
    <w:rsid w:val="005B6E76"/>
    <w:rsid w:val="005D1014"/>
    <w:rsid w:val="005E24FE"/>
    <w:rsid w:val="005F5041"/>
    <w:rsid w:val="00634126"/>
    <w:rsid w:val="00637440"/>
    <w:rsid w:val="00642356"/>
    <w:rsid w:val="00642814"/>
    <w:rsid w:val="006552C8"/>
    <w:rsid w:val="00663DE4"/>
    <w:rsid w:val="00664D82"/>
    <w:rsid w:val="00682B0B"/>
    <w:rsid w:val="00684229"/>
    <w:rsid w:val="0068577B"/>
    <w:rsid w:val="006909F0"/>
    <w:rsid w:val="006A66A3"/>
    <w:rsid w:val="006B461B"/>
    <w:rsid w:val="006C501B"/>
    <w:rsid w:val="006D26DF"/>
    <w:rsid w:val="006E3FF0"/>
    <w:rsid w:val="006F47C9"/>
    <w:rsid w:val="006F7358"/>
    <w:rsid w:val="006F7A47"/>
    <w:rsid w:val="00715CD8"/>
    <w:rsid w:val="00717FAB"/>
    <w:rsid w:val="00724239"/>
    <w:rsid w:val="00737741"/>
    <w:rsid w:val="00743157"/>
    <w:rsid w:val="007466C6"/>
    <w:rsid w:val="00751C98"/>
    <w:rsid w:val="007554C9"/>
    <w:rsid w:val="00756096"/>
    <w:rsid w:val="00767D16"/>
    <w:rsid w:val="007B0B3B"/>
    <w:rsid w:val="007B2F6E"/>
    <w:rsid w:val="007D18F2"/>
    <w:rsid w:val="007D3D54"/>
    <w:rsid w:val="00805E40"/>
    <w:rsid w:val="00826601"/>
    <w:rsid w:val="0084310E"/>
    <w:rsid w:val="00851DCF"/>
    <w:rsid w:val="00857210"/>
    <w:rsid w:val="00860203"/>
    <w:rsid w:val="00860531"/>
    <w:rsid w:val="00873B0F"/>
    <w:rsid w:val="008A419B"/>
    <w:rsid w:val="008A4B6D"/>
    <w:rsid w:val="008B663C"/>
    <w:rsid w:val="008D702F"/>
    <w:rsid w:val="008E394F"/>
    <w:rsid w:val="00910B85"/>
    <w:rsid w:val="00910CD5"/>
    <w:rsid w:val="00911038"/>
    <w:rsid w:val="009119E1"/>
    <w:rsid w:val="00915648"/>
    <w:rsid w:val="009255DE"/>
    <w:rsid w:val="00930090"/>
    <w:rsid w:val="0094339F"/>
    <w:rsid w:val="00944B65"/>
    <w:rsid w:val="00953D48"/>
    <w:rsid w:val="009543C7"/>
    <w:rsid w:val="0095584D"/>
    <w:rsid w:val="00956F72"/>
    <w:rsid w:val="00971ACC"/>
    <w:rsid w:val="0098687A"/>
    <w:rsid w:val="00990D5E"/>
    <w:rsid w:val="009976F3"/>
    <w:rsid w:val="009A0883"/>
    <w:rsid w:val="009B79DA"/>
    <w:rsid w:val="009C10A8"/>
    <w:rsid w:val="009C2621"/>
    <w:rsid w:val="009C277E"/>
    <w:rsid w:val="009C592F"/>
    <w:rsid w:val="009E26F7"/>
    <w:rsid w:val="009E46A9"/>
    <w:rsid w:val="009F487C"/>
    <w:rsid w:val="009F4D27"/>
    <w:rsid w:val="00A02EF4"/>
    <w:rsid w:val="00A10993"/>
    <w:rsid w:val="00A34103"/>
    <w:rsid w:val="00A3652D"/>
    <w:rsid w:val="00A50C1E"/>
    <w:rsid w:val="00A516B6"/>
    <w:rsid w:val="00A538B5"/>
    <w:rsid w:val="00A55EA2"/>
    <w:rsid w:val="00A57F57"/>
    <w:rsid w:val="00A83D87"/>
    <w:rsid w:val="00AA7066"/>
    <w:rsid w:val="00AB0003"/>
    <w:rsid w:val="00AB200E"/>
    <w:rsid w:val="00AB427D"/>
    <w:rsid w:val="00AB50DB"/>
    <w:rsid w:val="00AC3353"/>
    <w:rsid w:val="00AC4266"/>
    <w:rsid w:val="00AD2700"/>
    <w:rsid w:val="00AD6492"/>
    <w:rsid w:val="00AE7CA1"/>
    <w:rsid w:val="00AF449C"/>
    <w:rsid w:val="00B01ACE"/>
    <w:rsid w:val="00B05498"/>
    <w:rsid w:val="00B07C63"/>
    <w:rsid w:val="00B322FB"/>
    <w:rsid w:val="00B33C98"/>
    <w:rsid w:val="00B3488B"/>
    <w:rsid w:val="00B45D8B"/>
    <w:rsid w:val="00B46256"/>
    <w:rsid w:val="00B52F07"/>
    <w:rsid w:val="00B53462"/>
    <w:rsid w:val="00B77266"/>
    <w:rsid w:val="00B822D1"/>
    <w:rsid w:val="00BA14D7"/>
    <w:rsid w:val="00BB5D5D"/>
    <w:rsid w:val="00BC0C64"/>
    <w:rsid w:val="00BD1EC1"/>
    <w:rsid w:val="00BE3A62"/>
    <w:rsid w:val="00BE6334"/>
    <w:rsid w:val="00BF525D"/>
    <w:rsid w:val="00C0704A"/>
    <w:rsid w:val="00C07F32"/>
    <w:rsid w:val="00C40680"/>
    <w:rsid w:val="00C4128C"/>
    <w:rsid w:val="00C6163C"/>
    <w:rsid w:val="00C74E9F"/>
    <w:rsid w:val="00C804A0"/>
    <w:rsid w:val="00C923D7"/>
    <w:rsid w:val="00CA0E3E"/>
    <w:rsid w:val="00CA1D6B"/>
    <w:rsid w:val="00CA304B"/>
    <w:rsid w:val="00CB755E"/>
    <w:rsid w:val="00CB7E63"/>
    <w:rsid w:val="00CC5E84"/>
    <w:rsid w:val="00CC6E81"/>
    <w:rsid w:val="00CF5C0C"/>
    <w:rsid w:val="00D0745C"/>
    <w:rsid w:val="00D15CE9"/>
    <w:rsid w:val="00D35A7A"/>
    <w:rsid w:val="00D361B5"/>
    <w:rsid w:val="00D430AF"/>
    <w:rsid w:val="00D505B8"/>
    <w:rsid w:val="00D61818"/>
    <w:rsid w:val="00D64A83"/>
    <w:rsid w:val="00D65B67"/>
    <w:rsid w:val="00D67575"/>
    <w:rsid w:val="00D73A6B"/>
    <w:rsid w:val="00D76687"/>
    <w:rsid w:val="00D83BE9"/>
    <w:rsid w:val="00DA17F1"/>
    <w:rsid w:val="00DB1B2D"/>
    <w:rsid w:val="00DC08C6"/>
    <w:rsid w:val="00DD1181"/>
    <w:rsid w:val="00DE5C58"/>
    <w:rsid w:val="00DF250D"/>
    <w:rsid w:val="00E25B9C"/>
    <w:rsid w:val="00E27033"/>
    <w:rsid w:val="00E355F6"/>
    <w:rsid w:val="00E52DC5"/>
    <w:rsid w:val="00E61399"/>
    <w:rsid w:val="00E83B86"/>
    <w:rsid w:val="00E8491C"/>
    <w:rsid w:val="00E8792E"/>
    <w:rsid w:val="00E94F35"/>
    <w:rsid w:val="00E95735"/>
    <w:rsid w:val="00EA4848"/>
    <w:rsid w:val="00EC3AD3"/>
    <w:rsid w:val="00ED039A"/>
    <w:rsid w:val="00ED6AEC"/>
    <w:rsid w:val="00F204C1"/>
    <w:rsid w:val="00F266F6"/>
    <w:rsid w:val="00F2768A"/>
    <w:rsid w:val="00F376A2"/>
    <w:rsid w:val="00F539C7"/>
    <w:rsid w:val="00F71D35"/>
    <w:rsid w:val="00F71FBE"/>
    <w:rsid w:val="00FA4E0A"/>
    <w:rsid w:val="00FB65CB"/>
    <w:rsid w:val="00FC7635"/>
    <w:rsid w:val="00FC77AB"/>
    <w:rsid w:val="00FD21AE"/>
    <w:rsid w:val="00FD53EB"/>
    <w:rsid w:val="00FE1138"/>
    <w:rsid w:val="00FE534F"/>
    <w:rsid w:val="00FF3200"/>
    <w:rsid w:val="043F50B3"/>
    <w:rsid w:val="095AE28A"/>
    <w:rsid w:val="21BBCBC4"/>
    <w:rsid w:val="43EC381A"/>
    <w:rsid w:val="49302807"/>
    <w:rsid w:val="56406891"/>
    <w:rsid w:val="68CA38FC"/>
    <w:rsid w:val="6C974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docId w15:val="{D1885092-956B-4F4B-8471-112B1A38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qFormat/>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 w:type="paragraph" w:customStyle="1" w:styleId="HarvardBody">
    <w:name w:val="Harvard Body"/>
    <w:basedOn w:val="Normal"/>
    <w:qFormat/>
    <w:rsid w:val="009543C7"/>
    <w:pPr>
      <w:spacing w:after="0" w:line="480" w:lineRule="auto"/>
      <w:ind w:firstLine="720"/>
      <w:jc w:val="both"/>
    </w:pPr>
    <w:rPr>
      <w:rFonts w:ascii="Arial" w:eastAsia="Times New Roman" w:hAnsi="Arial" w:cs="Arial"/>
      <w:sz w:val="24"/>
      <w:szCs w:val="24"/>
      <w:lang w:val="en-IE" w:eastAsia="en-GB"/>
    </w:rPr>
  </w:style>
  <w:style w:type="table" w:styleId="TableGrid">
    <w:name w:val="Table Grid"/>
    <w:basedOn w:val="TableNormal"/>
    <w:uiPriority w:val="39"/>
    <w:rsid w:val="005B4648"/>
    <w:pPr>
      <w:spacing w:after="0" w:line="240" w:lineRule="auto"/>
    </w:pPr>
    <w:rPr>
      <w:kern w:val="2"/>
      <w:sz w:val="24"/>
      <w:szCs w:val="24"/>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Reference">
    <w:name w:val="APA Reference"/>
    <w:basedOn w:val="Normal"/>
    <w:qFormat/>
    <w:rsid w:val="00257689"/>
    <w:pPr>
      <w:spacing w:after="0" w:line="480" w:lineRule="auto"/>
      <w:ind w:left="720" w:hanging="720"/>
    </w:pPr>
    <w:rPr>
      <w:rFonts w:ascii="Times New Roman" w:eastAsia="Times New Roman" w:hAnsi="Times New Roman" w:cs="Times New Roman"/>
      <w:sz w:val="24"/>
      <w:szCs w:val="24"/>
      <w:lang w:val="en-IE" w:eastAsia="en-GB"/>
    </w:rPr>
  </w:style>
  <w:style w:type="paragraph" w:styleId="Caption">
    <w:name w:val="caption"/>
    <w:basedOn w:val="Normal"/>
    <w:next w:val="Normal"/>
    <w:uiPriority w:val="35"/>
    <w:unhideWhenUsed/>
    <w:qFormat/>
    <w:rsid w:val="005A5736"/>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4.0/deed.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doi.org/10.5526/esj.428" TargetMode="External"/><Relationship Id="rId1" Type="http://schemas.openxmlformats.org/officeDocument/2006/relationships/hyperlink" Target="https://creativecommons.org/licenses/by/4.0/dee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5996</Words>
  <Characters>34180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drivers for teenagers’ illegal hacking, as evidenced by criminological literature from the past five years: A systematic literature review</dc:title>
  <dc:subject/>
  <dc:creator>Antonina Savka</dc:creator>
  <cp:keywords/>
  <dc:description/>
  <cp:lastModifiedBy>Crago, Hannah R</cp:lastModifiedBy>
  <cp:revision>2</cp:revision>
  <dcterms:created xsi:type="dcterms:W3CDTF">2025-10-21T13:29:00Z</dcterms:created>
  <dcterms:modified xsi:type="dcterms:W3CDTF">2025-10-21T13:29:00Z</dcterms:modified>
</cp:coreProperties>
</file>