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2281ECB8" w:rsidR="00A538B5" w:rsidRPr="00A538B5" w:rsidRDefault="00261006" w:rsidP="00B322FB">
      <w:pPr>
        <w:pBdr>
          <w:bottom w:val="single" w:sz="4" w:space="1" w:color="auto"/>
        </w:pBdr>
        <w:tabs>
          <w:tab w:val="right" w:pos="9026"/>
        </w:tabs>
        <w:spacing w:after="160"/>
        <w:rPr>
          <w:i/>
        </w:rPr>
      </w:pPr>
      <w:r>
        <w:rPr>
          <w:i/>
        </w:rPr>
        <w:t>Essay</w:t>
      </w:r>
    </w:p>
    <w:p w14:paraId="19BBC0D1" w14:textId="328599DD" w:rsidR="00E355F6" w:rsidRPr="005478AB" w:rsidRDefault="00261006" w:rsidP="005478AB">
      <w:pPr>
        <w:pStyle w:val="Title"/>
        <w:rPr>
          <w:rFonts w:ascii="Sylfaen" w:hAnsi="Sylfaen"/>
          <w:sz w:val="48"/>
          <w:szCs w:val="48"/>
        </w:rPr>
      </w:pPr>
      <w:bookmarkStart w:id="0" w:name="_Hlk183421085"/>
      <w:r w:rsidRPr="005478AB">
        <w:rPr>
          <w:rFonts w:ascii="Sylfaen" w:hAnsi="Sylfaen"/>
          <w:sz w:val="48"/>
          <w:szCs w:val="48"/>
        </w:rPr>
        <w:t xml:space="preserve">The Green </w:t>
      </w:r>
      <w:r w:rsidR="0080507C" w:rsidRPr="005478AB">
        <w:rPr>
          <w:rFonts w:ascii="Sylfaen" w:hAnsi="Sylfaen"/>
          <w:sz w:val="48"/>
          <w:szCs w:val="48"/>
        </w:rPr>
        <w:t>I</w:t>
      </w:r>
      <w:r w:rsidRPr="005478AB">
        <w:rPr>
          <w:rFonts w:ascii="Sylfaen" w:hAnsi="Sylfaen"/>
          <w:sz w:val="48"/>
          <w:szCs w:val="48"/>
        </w:rPr>
        <w:t xml:space="preserve">ndustrial </w:t>
      </w:r>
      <w:r w:rsidR="0080507C" w:rsidRPr="005478AB">
        <w:rPr>
          <w:rFonts w:ascii="Sylfaen" w:hAnsi="Sylfaen"/>
          <w:sz w:val="48"/>
          <w:szCs w:val="48"/>
        </w:rPr>
        <w:t>R</w:t>
      </w:r>
      <w:r w:rsidRPr="005478AB">
        <w:rPr>
          <w:rFonts w:ascii="Sylfaen" w:hAnsi="Sylfaen"/>
          <w:sz w:val="48"/>
          <w:szCs w:val="48"/>
        </w:rPr>
        <w:t xml:space="preserve">evolution and the </w:t>
      </w:r>
      <w:r w:rsidR="0080507C" w:rsidRPr="005478AB">
        <w:rPr>
          <w:rFonts w:ascii="Sylfaen" w:hAnsi="Sylfaen"/>
          <w:sz w:val="48"/>
          <w:szCs w:val="48"/>
        </w:rPr>
        <w:t>F</w:t>
      </w:r>
      <w:r w:rsidRPr="005478AB">
        <w:rPr>
          <w:rFonts w:ascii="Sylfaen" w:hAnsi="Sylfaen"/>
          <w:sz w:val="48"/>
          <w:szCs w:val="48"/>
        </w:rPr>
        <w:t xml:space="preserve">uture of </w:t>
      </w:r>
      <w:r w:rsidR="0080507C" w:rsidRPr="005478AB">
        <w:rPr>
          <w:rFonts w:ascii="Sylfaen" w:hAnsi="Sylfaen"/>
          <w:sz w:val="48"/>
          <w:szCs w:val="48"/>
        </w:rPr>
        <w:t>S</w:t>
      </w:r>
      <w:r w:rsidRPr="005478AB">
        <w:rPr>
          <w:rFonts w:ascii="Sylfaen" w:hAnsi="Sylfaen"/>
          <w:sz w:val="48"/>
          <w:szCs w:val="48"/>
        </w:rPr>
        <w:t xml:space="preserve">teel </w:t>
      </w:r>
      <w:r w:rsidR="0080507C" w:rsidRPr="005478AB">
        <w:rPr>
          <w:rFonts w:ascii="Sylfaen" w:hAnsi="Sylfaen"/>
          <w:sz w:val="48"/>
          <w:szCs w:val="48"/>
        </w:rPr>
        <w:t>P</w:t>
      </w:r>
      <w:r w:rsidRPr="005478AB">
        <w:rPr>
          <w:rFonts w:ascii="Sylfaen" w:hAnsi="Sylfaen"/>
          <w:sz w:val="48"/>
          <w:szCs w:val="48"/>
        </w:rPr>
        <w:t>roduction</w:t>
      </w:r>
      <w:r w:rsidR="00695F35" w:rsidRPr="005478AB">
        <w:rPr>
          <w:rFonts w:ascii="Sylfaen" w:hAnsi="Sylfaen"/>
          <w:sz w:val="48"/>
          <w:szCs w:val="48"/>
        </w:rPr>
        <w:t>:</w:t>
      </w:r>
      <w:r w:rsidRPr="005478AB">
        <w:rPr>
          <w:rFonts w:ascii="Sylfaen" w:hAnsi="Sylfaen"/>
          <w:sz w:val="48"/>
          <w:szCs w:val="48"/>
        </w:rPr>
        <w:t xml:space="preserve"> </w:t>
      </w:r>
      <w:r w:rsidR="0080507C" w:rsidRPr="005478AB">
        <w:rPr>
          <w:rFonts w:ascii="Sylfaen" w:hAnsi="Sylfaen"/>
          <w:sz w:val="48"/>
          <w:szCs w:val="48"/>
        </w:rPr>
        <w:t>U</w:t>
      </w:r>
      <w:r w:rsidRPr="005478AB">
        <w:rPr>
          <w:rFonts w:ascii="Sylfaen" w:hAnsi="Sylfaen"/>
          <w:sz w:val="48"/>
          <w:szCs w:val="48"/>
        </w:rPr>
        <w:t>sing the</w:t>
      </w:r>
      <w:r w:rsidR="00BB1D6F" w:rsidRPr="005478AB">
        <w:rPr>
          <w:rFonts w:ascii="Sylfaen" w:hAnsi="Sylfaen"/>
          <w:sz w:val="48"/>
          <w:szCs w:val="48"/>
        </w:rPr>
        <w:t xml:space="preserve"> </w:t>
      </w:r>
      <w:r w:rsidR="0080507C" w:rsidRPr="005478AB">
        <w:rPr>
          <w:rFonts w:ascii="Sylfaen" w:hAnsi="Sylfaen"/>
          <w:sz w:val="48"/>
          <w:szCs w:val="48"/>
        </w:rPr>
        <w:t>I</w:t>
      </w:r>
      <w:r w:rsidRPr="005478AB">
        <w:rPr>
          <w:rFonts w:ascii="Sylfaen" w:hAnsi="Sylfaen"/>
          <w:sz w:val="48"/>
          <w:szCs w:val="48"/>
        </w:rPr>
        <w:t>nnovative Sheffield Cell</w:t>
      </w:r>
    </w:p>
    <w:bookmarkEnd w:id="0"/>
    <w:p w14:paraId="0736152B" w14:textId="63F3383F" w:rsidR="00240FC1" w:rsidRPr="00331418" w:rsidRDefault="0081121F" w:rsidP="00B322FB">
      <w:pPr>
        <w:spacing w:after="160" w:line="360" w:lineRule="auto"/>
      </w:pPr>
      <w:r w:rsidRPr="0081121F">
        <w:t>Daniel Steven Harris</w:t>
      </w:r>
      <w:r w:rsidR="005D26B7">
        <w:t xml:space="preserve"> </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5478AB" w:rsidRDefault="00331418" w:rsidP="005478AB">
      <w:pPr>
        <w:pStyle w:val="Heading2"/>
      </w:pPr>
      <w:r w:rsidRPr="005478AB">
        <w:t>Abstract</w:t>
      </w:r>
    </w:p>
    <w:p w14:paraId="2942E703" w14:textId="77777777" w:rsidR="00E115AE" w:rsidRPr="00E115AE" w:rsidRDefault="00E115AE" w:rsidP="00E115AE">
      <w:r w:rsidRPr="00E115AE">
        <w:t xml:space="preserve">This essay examines a hypothetical innovative technology denominated the </w:t>
      </w:r>
      <w:r w:rsidRPr="00E115AE">
        <w:rPr>
          <w:i/>
          <w:iCs/>
        </w:rPr>
        <w:t>Sheffield Cell</w:t>
      </w:r>
      <w:r w:rsidRPr="00E115AE">
        <w:t xml:space="preserve">, based on bioremediation for the extraction of iron ions from iron ore. This essay will discuss the aerotolerant metalloenzyme Hydrogenase and its ability to split dihydrogen, consecutively releasing electrons within a biochemical cell. The electron transport protein </w:t>
      </w:r>
      <w:proofErr w:type="spellStart"/>
      <w:r w:rsidRPr="00E115AE">
        <w:t>MtrCAB</w:t>
      </w:r>
      <w:proofErr w:type="spellEnd"/>
      <w:r w:rsidRPr="00E115AE">
        <w:t xml:space="preserve"> will be investigated, along with its mechanisms and capacity in transferring electrons across a synthetic membrane, contributing to the purification of iron. Furthermore, cellulose containing biomaterials, proton-exchange, and oxygen permeable Perovskite oxides are explored for their potential uses in synthetic membrane design, and their role in compartmentalisation. Additionally, each of the protein structures will be reviewed to fully understand their properties and functions in bioremediation.</w:t>
      </w:r>
    </w:p>
    <w:p w14:paraId="304B452F" w14:textId="5AAC04EF" w:rsidR="00EF351C" w:rsidRPr="00C14209" w:rsidRDefault="00E115AE" w:rsidP="00E115AE">
      <w:r w:rsidRPr="00E115AE">
        <w:t xml:space="preserve">To realise the capabilities of the </w:t>
      </w:r>
      <w:r w:rsidRPr="00E115AE">
        <w:rPr>
          <w:i/>
          <w:iCs/>
        </w:rPr>
        <w:t>Sheffield Cell</w:t>
      </w:r>
      <w:r w:rsidRPr="00E115AE">
        <w:t xml:space="preserve">, this essay combines a variety of disciplines such as membrane synthesis, ion transfer via electrochemical differences, and recombinant protein production. Accordingly, this essay offers a better understanding into the varied disciplines of biochemical sciences and how they can be combined to produce a functional innovative product. Overall, biotechnology in the form described above can reduce the need for high energy input,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E115AE">
        <w:t xml:space="preserve"> emissions, and overall cost to current large scale iron processing facilities</w:t>
      </w:r>
      <w:r w:rsidR="00EF351C" w:rsidRPr="00C14209">
        <w:t xml:space="preserve">. </w:t>
      </w:r>
    </w:p>
    <w:p w14:paraId="37B73D13" w14:textId="2CA193BB" w:rsidR="002B247D" w:rsidRPr="00261006" w:rsidRDefault="00240FC1" w:rsidP="005478AB">
      <w:r w:rsidRPr="00261006">
        <w:rPr>
          <w:rStyle w:val="Heading1Char"/>
          <w:color w:val="auto"/>
          <w:sz w:val="22"/>
        </w:rPr>
        <w:t>Keywords:</w:t>
      </w:r>
      <w:r w:rsidRPr="00261006">
        <w:t xml:space="preserve">  </w:t>
      </w:r>
      <w:r w:rsidR="00261006" w:rsidRPr="00261006">
        <w:t xml:space="preserve">British steel industry, </w:t>
      </w:r>
      <w:r w:rsidR="00E115AE">
        <w:t>g</w:t>
      </w:r>
      <w:r w:rsidR="00261006" w:rsidRPr="00261006">
        <w:t xml:space="preserve">reenhouse gas emissions, </w:t>
      </w:r>
      <w:r w:rsidR="00E115AE">
        <w:t>i</w:t>
      </w:r>
      <w:r w:rsidR="00261006" w:rsidRPr="00261006">
        <w:t xml:space="preserve">ron production, </w:t>
      </w:r>
      <w:r w:rsidR="00E115AE">
        <w:t>h</w:t>
      </w:r>
      <w:r w:rsidR="00261006" w:rsidRPr="00261006">
        <w:t>ydrogenases,</w:t>
      </w:r>
      <w:r w:rsidR="004A775A">
        <w:t xml:space="preserve"> </w:t>
      </w:r>
      <w:r w:rsidR="00E115AE">
        <w:t>m</w:t>
      </w:r>
      <w:r w:rsidR="004A775A">
        <w:t>etalloenzymes,</w:t>
      </w:r>
      <w:r w:rsidR="00261006" w:rsidRPr="00261006">
        <w:t xml:space="preserve"> </w:t>
      </w:r>
      <w:r w:rsidR="00E115AE">
        <w:t>e</w:t>
      </w:r>
      <w:r w:rsidR="00261006" w:rsidRPr="00261006">
        <w:t xml:space="preserve">lectron transport chain, </w:t>
      </w:r>
      <w:proofErr w:type="spellStart"/>
      <w:r w:rsidR="00261006" w:rsidRPr="00261006">
        <w:t>MtrCAB</w:t>
      </w:r>
      <w:proofErr w:type="spellEnd"/>
      <w:r w:rsidR="00261006" w:rsidRPr="00261006">
        <w:t xml:space="preserve"> </w:t>
      </w:r>
      <w:r w:rsidR="00BB1D6F" w:rsidRPr="00261006">
        <w:t xml:space="preserve">proteins, </w:t>
      </w:r>
      <w:r w:rsidR="00E115AE">
        <w:t>s</w:t>
      </w:r>
      <w:r w:rsidR="00BB1D6F" w:rsidRPr="00261006">
        <w:t>ynthetic</w:t>
      </w:r>
      <w:r w:rsidR="00261006" w:rsidRPr="00261006">
        <w:t xml:space="preserve"> membranes, Sheffield cell</w:t>
      </w:r>
      <w:r w:rsidR="00912FF7">
        <w:t xml:space="preserve">, </w:t>
      </w:r>
      <w:r w:rsidR="00E115AE">
        <w:t>b</w:t>
      </w:r>
      <w:r w:rsidR="00912FF7">
        <w:t>iomaterials</w:t>
      </w:r>
      <w:r w:rsidR="00356322">
        <w:t xml:space="preserve">, </w:t>
      </w:r>
      <w:r w:rsidR="00E115AE">
        <w:t>b</w:t>
      </w:r>
      <w:r w:rsidR="00356322">
        <w:t>ioremediation</w:t>
      </w:r>
      <w:r w:rsidR="00261006" w:rsidRPr="00261006">
        <w:t>.</w:t>
      </w:r>
    </w:p>
    <w:p w14:paraId="5CEC8B74" w14:textId="3E17646C" w:rsidR="00313E93" w:rsidRPr="00261006" w:rsidRDefault="095AE28A" w:rsidP="005478AB">
      <w:r w:rsidRPr="005478AB">
        <w:rPr>
          <w:b/>
          <w:bCs/>
        </w:rPr>
        <w:t>Date of Submission:</w:t>
      </w:r>
      <w:r w:rsidRPr="00261006">
        <w:t xml:space="preserve"> </w:t>
      </w:r>
      <w:r w:rsidR="0081121F">
        <w:t>21</w:t>
      </w:r>
      <w:r w:rsidRPr="00261006">
        <w:t>.</w:t>
      </w:r>
      <w:r w:rsidR="0081121F">
        <w:t>08</w:t>
      </w:r>
      <w:r w:rsidRPr="00261006">
        <w:t>.</w:t>
      </w:r>
      <w:r w:rsidR="0081121F">
        <w:t>2024</w:t>
      </w:r>
      <w:r w:rsidR="00313E93" w:rsidRPr="00261006">
        <w:tab/>
      </w:r>
      <w:r w:rsidR="00313E93" w:rsidRPr="00261006">
        <w:tab/>
      </w:r>
      <w:r w:rsidR="00313E93" w:rsidRPr="00261006">
        <w:tab/>
      </w:r>
      <w:r w:rsidRPr="005478AB">
        <w:rPr>
          <w:b/>
          <w:bCs/>
        </w:rPr>
        <w:t>Date of Acceptance:</w:t>
      </w:r>
      <w:r w:rsidRPr="00261006">
        <w:t xml:space="preserve"> </w:t>
      </w:r>
      <w:r w:rsidR="0081121F">
        <w:t>11</w:t>
      </w:r>
      <w:r w:rsidRPr="00261006">
        <w:t>.</w:t>
      </w:r>
      <w:r w:rsidR="0081121F">
        <w:t>11</w:t>
      </w:r>
      <w:r w:rsidRPr="00261006">
        <w:t>.</w:t>
      </w:r>
      <w:r w:rsidR="0081121F">
        <w:t>2024</w:t>
      </w:r>
    </w:p>
    <w:p w14:paraId="55306EC3" w14:textId="03F9DA56" w:rsidR="095AE28A" w:rsidRPr="00261006" w:rsidRDefault="095AE28A" w:rsidP="00CF5C0C"/>
    <w:p w14:paraId="52D13D17" w14:textId="347205C2" w:rsidR="00A10993" w:rsidRPr="005478AB" w:rsidRDefault="00261006" w:rsidP="005478AB">
      <w:pPr>
        <w:pStyle w:val="Heading2"/>
      </w:pPr>
      <w:r w:rsidRPr="005478AB">
        <w:t>Introduction</w:t>
      </w:r>
      <w:r w:rsidR="007C7D32" w:rsidRPr="005478AB">
        <w:t xml:space="preserve"> </w:t>
      </w:r>
    </w:p>
    <w:p w14:paraId="7D92B267" w14:textId="26D458AC" w:rsidR="005B185D" w:rsidRPr="005B185D" w:rsidRDefault="005B185D" w:rsidP="005B185D">
      <w:r w:rsidRPr="005B185D">
        <w:t>The British steel industry represents 26% of total UK greenhouse gas emissions, making it the 3</w:t>
      </w:r>
      <w:r w:rsidRPr="005B185D">
        <w:rPr>
          <w:vertAlign w:val="superscript"/>
        </w:rPr>
        <w:t>rd</w:t>
      </w:r>
      <w:r w:rsidRPr="005B185D">
        <w:t xml:space="preserve"> largest industrial emitter of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5B185D">
        <w:t xml:space="preserve"> due to high energy consumption (Ambrosio-Albalá </w:t>
      </w:r>
      <w:r w:rsidRPr="005B185D">
        <w:rPr>
          <w:i/>
          <w:iCs/>
        </w:rPr>
        <w:t xml:space="preserve">et al., </w:t>
      </w:r>
      <w:r w:rsidRPr="005B185D">
        <w:t xml:space="preserve">2023). </w:t>
      </w:r>
      <w:r w:rsidRPr="005B185D">
        <w:lastRenderedPageBreak/>
        <w:t xml:space="preserve">Reducing energy consumption and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5B185D">
        <w:t xml:space="preserve"> emitted in the steel industry must be at the forefront if our nation is to become carbon neutral by 2050 (Knight and Walker, 2022).</w:t>
      </w:r>
    </w:p>
    <w:p w14:paraId="7FD30815" w14:textId="287F3E46" w:rsidR="005B185D" w:rsidRPr="005B185D" w:rsidRDefault="005B185D" w:rsidP="005B185D">
      <w:r w:rsidRPr="005B185D">
        <w:t xml:space="preserve">My proposal creates an adapted biochemical cell, sharing similarities to a hydrogen fuel cell, for the </w:t>
      </w:r>
      <w:r w:rsidR="00787DA4" w:rsidRPr="00787DA4">
        <w:t>reduction</w:t>
      </w:r>
      <w:r w:rsidRPr="005B185D">
        <w:t xml:space="preserve"> of iron oxides instead of the more commonly seen electricity production. Within its framework, the novel cell contains a membrane bound hydrogenases for the splitting of dihydrogen into its consecutive protons and electrons. Once split, the electrons are free to cross a synthetic membrane, facilitated by membrane bound </w:t>
      </w:r>
      <w:proofErr w:type="spellStart"/>
      <w:r w:rsidRPr="005B185D">
        <w:t>MtrCAB</w:t>
      </w:r>
      <w:proofErr w:type="spellEnd"/>
      <w:r w:rsidRPr="005B185D">
        <w:t xml:space="preserve"> proteins promoting the reduction of iron oxides.</w:t>
      </w:r>
    </w:p>
    <w:p w14:paraId="5DEA18C5" w14:textId="77777777" w:rsidR="005B185D" w:rsidRPr="005B185D" w:rsidRDefault="005B185D" w:rsidP="005B185D">
      <w:r w:rsidRPr="005B185D">
        <w:t xml:space="preserve">The Hydrogenase and </w:t>
      </w:r>
      <w:proofErr w:type="spellStart"/>
      <w:r w:rsidRPr="005B185D">
        <w:t>MtrCAB</w:t>
      </w:r>
      <w:proofErr w:type="spellEnd"/>
      <w:r w:rsidRPr="005B185D">
        <w:t xml:space="preserve"> proteins in the biochemical cell will be examined thoroughly throughout this essay, giving insights into their structure and function. Equally important will be the reasonings and applications of the proteins’ integration into a practical biochemical cell (hereafter the ‘Sheffield Cell’).    </w:t>
      </w:r>
    </w:p>
    <w:p w14:paraId="362BADB3" w14:textId="18E1BB1F" w:rsidR="00CE1717" w:rsidRPr="005478AB" w:rsidRDefault="005B185D" w:rsidP="005478AB">
      <w:pPr>
        <w:rPr>
          <w:i/>
        </w:rPr>
      </w:pPr>
      <w:r w:rsidRPr="005B185D">
        <w:t xml:space="preserve">Consequently, this biotechnology will result in pure iron as a product for industrial purposes, and water as a waste byproduct for further recycling as a coolant during iron manufacturing. The aim is to create an innovative product which reduces </w:t>
      </w:r>
      <m:oMath>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xml:space="preserve"> </m:t>
        </m:r>
      </m:oMath>
      <w:r w:rsidRPr="005B185D">
        <w:t>emissions and creates a circular economy</w:t>
      </w:r>
      <w:r w:rsidR="00473D11" w:rsidRPr="005478AB">
        <w:t>.</w:t>
      </w:r>
    </w:p>
    <w:p w14:paraId="6AB39F1E" w14:textId="3CD07277" w:rsidR="00A10993" w:rsidRPr="005478AB" w:rsidRDefault="00261006" w:rsidP="005478AB">
      <w:pPr>
        <w:pStyle w:val="Heading2"/>
      </w:pPr>
      <w:r w:rsidRPr="005478AB">
        <w:t>Aim</w:t>
      </w:r>
      <w:r w:rsidR="00CB6138" w:rsidRPr="005478AB">
        <w:t xml:space="preserve"> of the proposal</w:t>
      </w:r>
    </w:p>
    <w:p w14:paraId="5DD37705" w14:textId="3DEB87FE" w:rsidR="00261006" w:rsidRPr="005478AB" w:rsidRDefault="00C039C2" w:rsidP="005478AB">
      <w:r w:rsidRPr="005478AB">
        <w:t>R</w:t>
      </w:r>
      <w:r w:rsidR="00261006" w:rsidRPr="005478AB">
        <w:t xml:space="preserve">eleasing </w:t>
      </w:r>
      <m:oMath>
        <m:sSup>
          <m:sSupPr>
            <m:ctrlPr>
              <w:rPr>
                <w:rFonts w:ascii="Cambria Math" w:hAnsi="Cambria Math"/>
                <w:kern w:val="2"/>
                <w14:ligatures w14:val="standardContextual"/>
              </w:rPr>
            </m:ctrlPr>
          </m:sSupPr>
          <m:e>
            <m:r>
              <m:rPr>
                <m:sty m:val="p"/>
              </m:rPr>
              <w:rPr>
                <w:rFonts w:ascii="Cambria Math" w:hAnsi="Cambria Math"/>
              </w:rPr>
              <m:t>Fe</m:t>
            </m:r>
          </m:e>
          <m:sup>
            <m:r>
              <m:rPr>
                <m:sty m:val="p"/>
              </m:rPr>
              <w:rPr>
                <w:rFonts w:ascii="Cambria Math" w:hAnsi="Cambria Math"/>
              </w:rPr>
              <m:t>3+</m:t>
            </m:r>
          </m:sup>
        </m:sSup>
      </m:oMath>
      <w:r w:rsidR="00261006" w:rsidRPr="005478AB">
        <w:t xml:space="preserve"> without producing </w:t>
      </w:r>
      <m:oMath>
        <m:sSub>
          <m:sSubPr>
            <m:ctrlPr>
              <w:rPr>
                <w:rFonts w:ascii="Cambria Math" w:hAnsi="Cambria Math"/>
                <w:kern w:val="2"/>
                <w14:ligatures w14:val="standardContextual"/>
              </w:rPr>
            </m:ctrlPr>
          </m:sSubPr>
          <m:e>
            <m:r>
              <m:rPr>
                <m:sty m:val="p"/>
              </m:rPr>
              <w:rPr>
                <w:rFonts w:ascii="Cambria Math" w:hAnsi="Cambria Math"/>
              </w:rPr>
              <m:t>CO</m:t>
            </m:r>
          </m:e>
          <m:sub>
            <m:r>
              <m:rPr>
                <m:sty m:val="p"/>
              </m:rPr>
              <w:rPr>
                <w:rFonts w:ascii="Cambria Math" w:hAnsi="Cambria Math"/>
              </w:rPr>
              <m:t>2</m:t>
            </m:r>
          </m:sub>
        </m:sSub>
      </m:oMath>
      <w:r w:rsidR="00D53E1A" w:rsidRPr="005478AB">
        <w:t xml:space="preserve"> emissions,</w:t>
      </w:r>
      <w:r w:rsidR="00261006" w:rsidRPr="005478AB">
        <w:t xml:space="preserve"> and </w:t>
      </w:r>
      <w:r w:rsidR="00F43063" w:rsidRPr="005478AB">
        <w:t>lowering</w:t>
      </w:r>
      <w:r w:rsidR="00D53E1A" w:rsidRPr="005478AB">
        <w:t xml:space="preserve"> the</w:t>
      </w:r>
      <w:r w:rsidR="00261006" w:rsidRPr="005478AB">
        <w:t xml:space="preserve"> energy consumption</w:t>
      </w:r>
      <w:r w:rsidR="005026E6" w:rsidRPr="005478AB">
        <w:t xml:space="preserve"> needed</w:t>
      </w:r>
      <w:r w:rsidR="00261006" w:rsidRPr="005478AB">
        <w:t xml:space="preserve">, in the form of extreme heat, due to fossil fuel combustion. </w:t>
      </w:r>
    </w:p>
    <w:p w14:paraId="1489DF60" w14:textId="6AF70DE9" w:rsidR="00261006" w:rsidRPr="005B185D" w:rsidRDefault="00000000" w:rsidP="00DB16AF">
      <w:pPr>
        <w:rPr>
          <w:rFonts w:eastAsiaTheme="minorEastAsia"/>
        </w:rPr>
      </w:pPr>
      <m:oMathPara>
        <m:oMathParaPr>
          <m:jc m:val="left"/>
        </m:oMathParaPr>
        <m:oMath>
          <m:sSub>
            <m:sSubPr>
              <m:ctrlPr>
                <w:rPr>
                  <w:rFonts w:ascii="Cambria Math" w:eastAsiaTheme="minorEastAsia" w:hAnsi="Cambria Math"/>
                  <w:kern w:val="2"/>
                  <w14:ligatures w14:val="standardContextual"/>
                </w:rPr>
              </m:ctrlPr>
            </m:sSubPr>
            <m:e>
              <m:r>
                <m:rPr>
                  <m:sty m:val="p"/>
                </m:rPr>
                <w:rPr>
                  <w:rFonts w:ascii="Cambria Math" w:eastAsiaTheme="minorEastAsia" w:hAnsi="Cambria Math"/>
                </w:rPr>
                <m:t>6H</m:t>
              </m:r>
            </m:e>
            <m:sub>
              <m:r>
                <m:rPr>
                  <m:sty m:val="p"/>
                </m:rPr>
                <w:rPr>
                  <w:rFonts w:ascii="Cambria Math" w:eastAsiaTheme="minorEastAsia" w:hAnsi="Cambria Math"/>
                </w:rPr>
                <m:t>2</m:t>
              </m:r>
            </m:sub>
          </m:sSub>
          <m:r>
            <m:rPr>
              <m:sty m:val="p"/>
            </m:rPr>
            <w:rPr>
              <w:rFonts w:ascii="Cambria Math" w:hAnsi="Cambria Math"/>
            </w:rPr>
            <m:t>→12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+12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oMath>
      </m:oMathPara>
    </w:p>
    <w:p w14:paraId="084B1037" w14:textId="1033CF0C" w:rsidR="00261006" w:rsidRPr="005B185D" w:rsidRDefault="005B185D" w:rsidP="00DB16AF">
      <w:pPr>
        <w:rPr>
          <w:rFonts w:eastAsiaTheme="minorEastAsia"/>
        </w:rPr>
      </w:pPr>
      <m:oMath>
        <m:r>
          <m:rPr>
            <m:sty m:val="p"/>
          </m:rPr>
          <w:rPr>
            <w:rFonts w:ascii="Cambria Math" w:hAnsi="Cambria Math"/>
          </w:rPr>
          <m:t>2</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Fe</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3</m:t>
            </m:r>
          </m:sub>
        </m:sSub>
      </m:oMath>
      <w:r w:rsidR="00261006" w:rsidRPr="005B185D">
        <w:rPr>
          <w:rFonts w:eastAsiaTheme="minorEastAsia"/>
        </w:rPr>
        <w:t xml:space="preserve"> </w:t>
      </w:r>
      <m:oMath>
        <m:r>
          <m:rPr>
            <m:sty m:val="p"/>
          </m:rPr>
          <w:rPr>
            <w:rFonts w:ascii="Cambria Math" w:eastAsiaTheme="minorEastAsia" w:hAnsi="Cambria Math"/>
          </w:rPr>
          <m:t>→4Fe+3</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r>
          <m:rPr>
            <m:sty m:val="p"/>
          </m:rPr>
          <w:rPr>
            <w:rFonts w:ascii="Cambria Math" w:eastAsiaTheme="minorEastAsia" w:hAnsi="Cambria Math"/>
          </w:rPr>
          <m:t>+12</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m:t>
            </m:r>
          </m:sup>
        </m:sSup>
      </m:oMath>
    </w:p>
    <w:p w14:paraId="42B9B325" w14:textId="1A6D1094" w:rsidR="00261006" w:rsidRPr="005B185D" w:rsidRDefault="00000000" w:rsidP="00DB16AF">
      <w:pPr>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3O</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12H</m:t>
              </m:r>
            </m:e>
            <m:sup>
              <m:r>
                <m:rPr>
                  <m:sty m:val="p"/>
                </m:rPr>
                <w:rPr>
                  <w:rFonts w:ascii="Cambria Math" w:eastAsiaTheme="minorEastAsia" w:hAnsi="Cambria Math"/>
                </w:rPr>
                <m:t>+</m:t>
              </m:r>
            </m:sup>
          </m:sSup>
          <m:r>
            <m:rPr>
              <m:sty m:val="p"/>
            </m:rPr>
            <w:rPr>
              <w:rFonts w:ascii="Cambria Math" w:eastAsiaTheme="minorEastAsia" w:hAnsi="Cambria Math"/>
            </w:rPr>
            <m:t>+12</m:t>
          </m:r>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m:t>
              </m:r>
            </m:sup>
          </m:sSup>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6H</m:t>
              </m:r>
            </m:e>
            <m:sub>
              <m:r>
                <m:rPr>
                  <m:sty m:val="p"/>
                </m:rPr>
                <w:rPr>
                  <w:rFonts w:ascii="Cambria Math" w:eastAsiaTheme="minorEastAsia" w:hAnsi="Cambria Math"/>
                </w:rPr>
                <m:t>2</m:t>
              </m:r>
            </m:sub>
          </m:sSub>
          <m:r>
            <m:rPr>
              <m:sty m:val="p"/>
            </m:rPr>
            <w:rPr>
              <w:rFonts w:ascii="Cambria Math" w:eastAsiaTheme="minorEastAsia" w:hAnsi="Cambria Math"/>
            </w:rPr>
            <m:t>O</m:t>
          </m:r>
        </m:oMath>
      </m:oMathPara>
    </w:p>
    <w:p w14:paraId="3688451F" w14:textId="6F72A2A0" w:rsidR="009D2CEA" w:rsidRPr="005B185D" w:rsidRDefault="00261006" w:rsidP="00DB16AF">
      <w:pPr>
        <w:jc w:val="both"/>
        <w:rPr>
          <w:rFonts w:eastAsiaTheme="minorEastAsia"/>
        </w:rPr>
      </w:pPr>
      <w:r w:rsidRPr="005B185D">
        <w:rPr>
          <w:rFonts w:eastAsiaTheme="minorEastAsia"/>
          <w:i/>
          <w:iCs/>
        </w:rPr>
        <w:t>Figure 1</w:t>
      </w:r>
      <w:r w:rsidRPr="005B185D">
        <w:rPr>
          <w:rFonts w:eastAsiaTheme="minorEastAsia"/>
        </w:rPr>
        <w:t xml:space="preserve">: </w:t>
      </w:r>
      <w:r w:rsidR="00203A86" w:rsidRPr="005B185D">
        <w:rPr>
          <w:rFonts w:eastAsiaTheme="minorEastAsia"/>
        </w:rPr>
        <w:t>E</w:t>
      </w:r>
      <w:r w:rsidRPr="005B185D">
        <w:rPr>
          <w:rFonts w:eastAsiaTheme="minorEastAsia"/>
        </w:rPr>
        <w:t xml:space="preserve">quations related to the Sheffield </w:t>
      </w:r>
      <w:r w:rsidR="00F80755" w:rsidRPr="005B185D">
        <w:rPr>
          <w:rFonts w:eastAsiaTheme="minorEastAsia"/>
        </w:rPr>
        <w:t>C</w:t>
      </w:r>
      <w:r w:rsidRPr="005B185D">
        <w:rPr>
          <w:rFonts w:eastAsiaTheme="minorEastAsia"/>
        </w:rPr>
        <w:t>ell</w:t>
      </w:r>
    </w:p>
    <w:p w14:paraId="730A7EA2" w14:textId="77777777" w:rsidR="00DB16AF" w:rsidRPr="00DC0DF9" w:rsidRDefault="00DB16AF" w:rsidP="00DB16AF"/>
    <w:p w14:paraId="37691FEA" w14:textId="29475BB1" w:rsidR="00990D5E" w:rsidRPr="00DC0DF9" w:rsidRDefault="00695F35" w:rsidP="00DC0DF9">
      <w:pPr>
        <w:pStyle w:val="Heading2"/>
      </w:pPr>
      <w:r w:rsidRPr="00DC0DF9">
        <w:t xml:space="preserve">The </w:t>
      </w:r>
      <w:r w:rsidR="005B185D">
        <w:t>S</w:t>
      </w:r>
      <w:r w:rsidRPr="00DC0DF9">
        <w:t xml:space="preserve">tructure and </w:t>
      </w:r>
      <w:r w:rsidR="005B185D">
        <w:t>F</w:t>
      </w:r>
      <w:r w:rsidRPr="00DC0DF9">
        <w:t>unction</w:t>
      </w:r>
      <w:r w:rsidR="00BB1D6F" w:rsidRPr="00DC0DF9">
        <w:t xml:space="preserve"> of the Sheffield Cell</w:t>
      </w:r>
    </w:p>
    <w:p w14:paraId="0E440F16" w14:textId="77777777" w:rsidR="0052380E" w:rsidRPr="0052380E" w:rsidRDefault="0052380E" w:rsidP="0052380E">
      <w:r w:rsidRPr="0052380E">
        <w:t xml:space="preserve">Hydrogenases are metalloenzymes catalysing the reaction of dihydrogen into 2 protons and 2 electrons (Lubitz </w:t>
      </w:r>
      <w:r w:rsidRPr="0052380E">
        <w:rPr>
          <w:i/>
          <w:iCs/>
        </w:rPr>
        <w:t>et al.,</w:t>
      </w:r>
      <w:r w:rsidRPr="0052380E">
        <w:t xml:space="preserve"> 2014). They have a diverse set of active sites, containing either </w:t>
      </w:r>
      <w:r w:rsidRPr="0052380E">
        <w:rPr>
          <w:i/>
          <w:iCs/>
        </w:rPr>
        <w:t>[Fe]</w:t>
      </w:r>
      <w:r w:rsidRPr="0052380E">
        <w:t xml:space="preserve"> commonly observed within archaea,</w:t>
      </w:r>
      <w:r w:rsidRPr="0052380E">
        <w:rPr>
          <w:i/>
          <w:iCs/>
        </w:rPr>
        <w:t xml:space="preserve"> [</w:t>
      </w:r>
      <w:proofErr w:type="spellStart"/>
      <w:r w:rsidRPr="0052380E">
        <w:rPr>
          <w:i/>
          <w:iCs/>
        </w:rPr>
        <w:t>FeFe</w:t>
      </w:r>
      <w:proofErr w:type="spellEnd"/>
      <w:r w:rsidRPr="0052380E">
        <w:rPr>
          <w:i/>
          <w:iCs/>
        </w:rPr>
        <w:t>]</w:t>
      </w:r>
      <w:r w:rsidRPr="0052380E">
        <w:t xml:space="preserve"> the only active site seen in eukaryotic hydrogenases, or </w:t>
      </w:r>
      <w:r w:rsidRPr="0052380E">
        <w:rPr>
          <w:i/>
          <w:iCs/>
        </w:rPr>
        <w:t>[</w:t>
      </w:r>
      <w:proofErr w:type="spellStart"/>
      <w:r w:rsidRPr="0052380E">
        <w:rPr>
          <w:i/>
          <w:iCs/>
        </w:rPr>
        <w:t>NiFe</w:t>
      </w:r>
      <w:proofErr w:type="spellEnd"/>
      <w:r w:rsidRPr="0052380E">
        <w:rPr>
          <w:i/>
          <w:iCs/>
        </w:rPr>
        <w:t>]</w:t>
      </w:r>
      <w:r w:rsidRPr="0052380E">
        <w:t xml:space="preserve"> found in archaea and prokaryotes such as cyanobacteria (</w:t>
      </w:r>
      <w:proofErr w:type="spellStart"/>
      <w:r w:rsidRPr="0052380E">
        <w:t>Pathy</w:t>
      </w:r>
      <w:proofErr w:type="spellEnd"/>
      <w:r w:rsidRPr="0052380E">
        <w:t xml:space="preserve"> </w:t>
      </w:r>
      <w:r w:rsidRPr="0052380E">
        <w:rPr>
          <w:i/>
          <w:iCs/>
        </w:rPr>
        <w:t>et al.,</w:t>
      </w:r>
      <w:r w:rsidRPr="0052380E">
        <w:t xml:space="preserve"> 2022). The </w:t>
      </w:r>
      <w:r w:rsidRPr="0052380E">
        <w:rPr>
          <w:i/>
          <w:iCs/>
        </w:rPr>
        <w:t>[</w:t>
      </w:r>
      <w:proofErr w:type="spellStart"/>
      <w:r w:rsidRPr="0052380E">
        <w:rPr>
          <w:i/>
          <w:iCs/>
        </w:rPr>
        <w:t>NiFe</w:t>
      </w:r>
      <w:proofErr w:type="spellEnd"/>
      <w:r w:rsidRPr="0052380E">
        <w:rPr>
          <w:i/>
          <w:iCs/>
        </w:rPr>
        <w:t>]</w:t>
      </w:r>
      <w:r w:rsidRPr="0052380E">
        <w:t xml:space="preserve"> hydrogenases in particular feature oxygen resilience characteristics within aerobic environments, making them a prime candidate for the Sheffield Cell in standard conditions (</w:t>
      </w:r>
      <w:proofErr w:type="spellStart"/>
      <w:r w:rsidRPr="0052380E">
        <w:t>Shomura</w:t>
      </w:r>
      <w:proofErr w:type="spellEnd"/>
      <w:r w:rsidRPr="0052380E">
        <w:t xml:space="preserve"> </w:t>
      </w:r>
      <w:r w:rsidRPr="0052380E">
        <w:rPr>
          <w:i/>
          <w:iCs/>
        </w:rPr>
        <w:t>et al.,</w:t>
      </w:r>
      <w:r w:rsidRPr="0052380E">
        <w:t xml:space="preserve"> 2011). The structure of </w:t>
      </w:r>
      <w:r w:rsidRPr="0052380E">
        <w:rPr>
          <w:i/>
          <w:iCs/>
        </w:rPr>
        <w:t>[</w:t>
      </w:r>
      <w:proofErr w:type="spellStart"/>
      <w:r w:rsidRPr="0052380E">
        <w:rPr>
          <w:i/>
          <w:iCs/>
        </w:rPr>
        <w:t>NiFe</w:t>
      </w:r>
      <w:proofErr w:type="spellEnd"/>
      <w:r w:rsidRPr="0052380E">
        <w:rPr>
          <w:i/>
          <w:iCs/>
        </w:rPr>
        <w:t>]</w:t>
      </w:r>
      <w:r w:rsidRPr="0052380E">
        <w:t xml:space="preserve"> hydrogenase constitutes a dimer protein, consisting of a large </w:t>
      </w:r>
      <w:proofErr w:type="spellStart"/>
      <w:r w:rsidRPr="0052380E">
        <w:t>HoxG</w:t>
      </w:r>
      <w:proofErr w:type="spellEnd"/>
      <w:r w:rsidRPr="0052380E">
        <w:t xml:space="preserve"> and smaller </w:t>
      </w:r>
      <w:proofErr w:type="spellStart"/>
      <w:r w:rsidRPr="0052380E">
        <w:t>HoxK</w:t>
      </w:r>
      <w:proofErr w:type="spellEnd"/>
      <w:r w:rsidRPr="0052380E">
        <w:t xml:space="preserve"> subunit (Lubitz </w:t>
      </w:r>
      <w:r w:rsidRPr="0052380E">
        <w:rPr>
          <w:i/>
          <w:iCs/>
        </w:rPr>
        <w:t>et al.,</w:t>
      </w:r>
      <w:r w:rsidRPr="0052380E">
        <w:t xml:space="preserve"> 2014). What is more, a cytochrome b is affiliated with the </w:t>
      </w:r>
      <w:r w:rsidRPr="0052380E">
        <w:rPr>
          <w:i/>
          <w:iCs/>
        </w:rPr>
        <w:t>[</w:t>
      </w:r>
      <w:proofErr w:type="spellStart"/>
      <w:r w:rsidRPr="0052380E">
        <w:rPr>
          <w:i/>
          <w:iCs/>
        </w:rPr>
        <w:t>NiFe</w:t>
      </w:r>
      <w:proofErr w:type="spellEnd"/>
      <w:r w:rsidRPr="0052380E">
        <w:rPr>
          <w:i/>
          <w:iCs/>
        </w:rPr>
        <w:t xml:space="preserve">] </w:t>
      </w:r>
      <w:r w:rsidRPr="0052380E">
        <w:t xml:space="preserve">hydrogenase, aiding in the movement of electrons into the electron transport chain of </w:t>
      </w:r>
      <w:r w:rsidRPr="0052380E">
        <w:lastRenderedPageBreak/>
        <w:t xml:space="preserve">the host bacteria – this model is represented by the </w:t>
      </w:r>
      <w:proofErr w:type="spellStart"/>
      <w:r w:rsidRPr="0052380E">
        <w:t>MtrCAB</w:t>
      </w:r>
      <w:proofErr w:type="spellEnd"/>
      <w:r w:rsidRPr="0052380E">
        <w:t xml:space="preserve"> complex for the electrons transport mechanism (Lubitz </w:t>
      </w:r>
      <w:r w:rsidRPr="0052380E">
        <w:rPr>
          <w:i/>
          <w:iCs/>
        </w:rPr>
        <w:t>et al.,</w:t>
      </w:r>
      <w:r w:rsidRPr="0052380E">
        <w:t xml:space="preserve"> 2014).</w:t>
      </w:r>
    </w:p>
    <w:p w14:paraId="64038293" w14:textId="25F368EC" w:rsidR="0052380E" w:rsidRPr="0052380E" w:rsidRDefault="0052380E" w:rsidP="0052380E">
      <w:proofErr w:type="spellStart"/>
      <w:r w:rsidRPr="0052380E">
        <w:t>HoxG</w:t>
      </w:r>
      <w:proofErr w:type="spellEnd"/>
      <w:r w:rsidRPr="0052380E">
        <w:t xml:space="preserve"> is the larger of the subunits responsible for the catalytic splitting of dihydrogen, inside the </w:t>
      </w:r>
      <w:proofErr w:type="spellStart"/>
      <w:r w:rsidRPr="0052380E">
        <w:t>dinuclear</w:t>
      </w:r>
      <w:proofErr w:type="spellEnd"/>
      <w:r w:rsidRPr="0052380E">
        <w:t xml:space="preserve"> </w:t>
      </w:r>
      <w:r w:rsidRPr="0052380E">
        <w:rPr>
          <w:i/>
          <w:iCs/>
        </w:rPr>
        <w:t>[Ni-Fe]</w:t>
      </w:r>
      <w:r w:rsidRPr="0052380E">
        <w:t xml:space="preserve"> active site (Lubitz </w:t>
      </w:r>
      <w:r w:rsidRPr="0052380E">
        <w:rPr>
          <w:i/>
          <w:iCs/>
        </w:rPr>
        <w:t>et al.,</w:t>
      </w:r>
      <w:r w:rsidRPr="0052380E">
        <w:t xml:space="preserve"> 2014). </w:t>
      </w:r>
      <w:proofErr w:type="spellStart"/>
      <w:r w:rsidRPr="0052380E">
        <w:t>Coordinately</w:t>
      </w:r>
      <w:proofErr w:type="spellEnd"/>
      <w:r w:rsidRPr="0052380E">
        <w:t xml:space="preserve"> bound to its active site are </w:t>
      </w:r>
      <w:r w:rsidRPr="0052380E">
        <w:rPr>
          <w:i/>
          <w:iCs/>
        </w:rPr>
        <w:t>CO</w:t>
      </w:r>
      <w:r w:rsidRPr="0052380E">
        <w:t xml:space="preserve"> and two </w:t>
      </w:r>
      <w:r w:rsidRPr="0052380E">
        <w:rPr>
          <w:i/>
          <w:iCs/>
        </w:rPr>
        <w:t>CN-</w:t>
      </w:r>
      <w:r w:rsidRPr="0052380E">
        <w:t xml:space="preserve"> ligands, leaving a vacant catalytic site for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52380E">
        <w:t xml:space="preserve"> incorporation between the </w:t>
      </w:r>
      <w:r w:rsidRPr="0052380E">
        <w:rPr>
          <w:i/>
          <w:iCs/>
        </w:rPr>
        <w:t>Ni</w:t>
      </w:r>
      <w:r w:rsidRPr="0052380E">
        <w:t xml:space="preserve"> and </w:t>
      </w:r>
      <w:r w:rsidRPr="0052380E">
        <w:rPr>
          <w:i/>
          <w:iCs/>
        </w:rPr>
        <w:t>Fe</w:t>
      </w:r>
      <w:r w:rsidRPr="0052380E">
        <w:t xml:space="preserve"> (Lubitz </w:t>
      </w:r>
      <w:r w:rsidRPr="0052380E">
        <w:rPr>
          <w:i/>
          <w:iCs/>
        </w:rPr>
        <w:t>et al.,</w:t>
      </w:r>
      <w:r w:rsidRPr="0052380E">
        <w:t xml:space="preserve"> 2014). Further stabilisation is initiated by cysteines 80,84,546 &amp; 549 of the </w:t>
      </w:r>
      <w:r w:rsidRPr="0052380E">
        <w:rPr>
          <w:i/>
          <w:iCs/>
        </w:rPr>
        <w:t>Ni</w:t>
      </w:r>
      <w:r w:rsidRPr="0052380E">
        <w:t xml:space="preserve">, and cysteines 84 &amp; 549 </w:t>
      </w:r>
      <w:proofErr w:type="spellStart"/>
      <w:r w:rsidRPr="0052380E">
        <w:t>coordinately</w:t>
      </w:r>
      <w:proofErr w:type="spellEnd"/>
      <w:r w:rsidRPr="0052380E">
        <w:t xml:space="preserve"> bound to the </w:t>
      </w:r>
      <w:r w:rsidRPr="0052380E">
        <w:rPr>
          <w:i/>
          <w:iCs/>
        </w:rPr>
        <w:t>Fe</w:t>
      </w:r>
      <w:r w:rsidRPr="0052380E">
        <w:t xml:space="preserve"> (Higuchi, et al., 1997), whilst additional proximal amino acids are nestled in the protein structure as follows: arginine, serine, glutamate, and a distal amino acid histidine (</w:t>
      </w:r>
      <w:proofErr w:type="spellStart"/>
      <w:r w:rsidRPr="0052380E">
        <w:t>Fontecilla</w:t>
      </w:r>
      <w:proofErr w:type="spellEnd"/>
      <w:r w:rsidRPr="0052380E">
        <w:t xml:space="preserve">-Camps </w:t>
      </w:r>
      <w:r w:rsidRPr="0052380E">
        <w:rPr>
          <w:i/>
          <w:iCs/>
        </w:rPr>
        <w:t>et al.,</w:t>
      </w:r>
      <w:r w:rsidRPr="0052380E">
        <w:t xml:space="preserve"> 2007). </w:t>
      </w:r>
    </w:p>
    <w:p w14:paraId="75B53B75" w14:textId="66F7E5B5" w:rsidR="0052380E" w:rsidRPr="0052380E" w:rsidRDefault="0052380E" w:rsidP="0052380E">
      <w:r w:rsidRPr="0052380E">
        <w:t xml:space="preserve">There are two contributing factors to the catalytic potential of the active site of </w:t>
      </w:r>
      <w:r w:rsidRPr="0052380E">
        <w:rPr>
          <w:i/>
          <w:iCs/>
        </w:rPr>
        <w:t>[</w:t>
      </w:r>
      <w:proofErr w:type="spellStart"/>
      <w:r w:rsidRPr="0052380E">
        <w:rPr>
          <w:i/>
          <w:iCs/>
        </w:rPr>
        <w:t>NiFe</w:t>
      </w:r>
      <w:proofErr w:type="spellEnd"/>
      <w:r w:rsidRPr="0052380E">
        <w:rPr>
          <w:i/>
          <w:iCs/>
        </w:rPr>
        <w:t>]</w:t>
      </w:r>
      <w:r w:rsidRPr="0052380E">
        <w:t xml:space="preserve"> hydrogenase. First, the central conformation of the </w:t>
      </w:r>
      <w:r w:rsidRPr="0052380E">
        <w:rPr>
          <w:i/>
          <w:iCs/>
        </w:rPr>
        <w:t>[Ni-Fe]</w:t>
      </w:r>
      <w:r w:rsidRPr="0052380E">
        <w:t xml:space="preserve"> complex bound to dihydrogen forms a distorted unfavourable square planer conformation, due to the near 90-degree bond angle (Fritsch et al., 2011). Second, instrumental to the catalytic potential, the electron disparity experienced by the dihydrogen and active site complex lowers the pH of the active site below physiological conditions. The splitting of dihydrogen is potentially aided by like charge encounters of the protons from the dihydrogen and arginine (</w:t>
      </w:r>
      <w:proofErr w:type="spellStart"/>
      <w:r w:rsidRPr="0052380E">
        <w:t>pKa</w:t>
      </w:r>
      <w:proofErr w:type="spellEnd"/>
      <w:r w:rsidRPr="0052380E">
        <w:t xml:space="preserve"> 10, and therefore protonated), and unfavourable conformational environment of the active site/substrate complex. This results in steric hindrance and decreased molecular stability (</w:t>
      </w:r>
      <w:proofErr w:type="spellStart"/>
      <w:r w:rsidRPr="0052380E">
        <w:t>Fontecilla</w:t>
      </w:r>
      <w:proofErr w:type="spellEnd"/>
      <w:r w:rsidRPr="0052380E">
        <w:t xml:space="preserve">-Camps </w:t>
      </w:r>
      <w:r w:rsidRPr="0052380E">
        <w:rPr>
          <w:i/>
          <w:iCs/>
        </w:rPr>
        <w:t>et al.,</w:t>
      </w:r>
      <w:r w:rsidRPr="0052380E">
        <w:t xml:space="preserve"> 2007). Once the splitting of dihydrogen has occurred and expulsion of protons from </w:t>
      </w:r>
      <w:proofErr w:type="spellStart"/>
      <w:r w:rsidRPr="0052380E">
        <w:t>HoxG</w:t>
      </w:r>
      <w:proofErr w:type="spellEnd"/>
      <w:r w:rsidRPr="0052380E">
        <w:t xml:space="preserve"> via the </w:t>
      </w:r>
      <m:oMath>
        <m:sSup>
          <m:sSupPr>
            <m:ctrlPr>
              <w:rPr>
                <w:rFonts w:ascii="Cambria Math" w:hAnsi="Cambria Math"/>
                <w:i/>
              </w:rPr>
            </m:ctrlPr>
          </m:sSupPr>
          <m:e>
            <m:r>
              <w:rPr>
                <w:rFonts w:ascii="Cambria Math" w:hAnsi="Cambria Math"/>
              </w:rPr>
              <m:t>Mg</m:t>
            </m:r>
          </m:e>
          <m:sup>
            <m:r>
              <w:rPr>
                <w:rFonts w:ascii="Cambria Math" w:hAnsi="Cambria Math"/>
              </w:rPr>
              <m:t>2+</m:t>
            </m:r>
          </m:sup>
        </m:sSup>
      </m:oMath>
      <w:r w:rsidRPr="0052380E">
        <w:t xml:space="preserve"> pathway has commenced, the electrons are free to pass further into the small subunit HoxK (Higuchi, </w:t>
      </w:r>
      <w:r w:rsidRPr="0052380E">
        <w:rPr>
          <w:i/>
          <w:iCs/>
        </w:rPr>
        <w:t>et al.,</w:t>
      </w:r>
      <w:r w:rsidRPr="0052380E">
        <w:t xml:space="preserve"> 1997). </w:t>
      </w:r>
      <w:proofErr w:type="spellStart"/>
      <w:r w:rsidRPr="0052380E">
        <w:t>HoxK</w:t>
      </w:r>
      <w:proofErr w:type="spellEnd"/>
      <w:r w:rsidRPr="0052380E">
        <w:t xml:space="preserve"> is the site of electron transport via the three </w:t>
      </w:r>
      <w:r w:rsidRPr="0052380E">
        <w:rPr>
          <w:i/>
          <w:iCs/>
        </w:rPr>
        <w:t>[Fe-S]</w:t>
      </w:r>
      <w:r w:rsidRPr="0052380E">
        <w:t xml:space="preserve"> clusters (Fritsch </w:t>
      </w:r>
      <w:r w:rsidRPr="0052380E">
        <w:rPr>
          <w:i/>
          <w:iCs/>
        </w:rPr>
        <w:t>et al.,</w:t>
      </w:r>
      <w:r w:rsidRPr="0052380E">
        <w:t xml:space="preserve"> 2011), presented in the following order: </w:t>
      </w:r>
    </w:p>
    <w:p w14:paraId="44B6F396" w14:textId="77777777" w:rsidR="0052380E" w:rsidRPr="0052380E" w:rsidRDefault="0052380E" w:rsidP="0052380E">
      <w:r w:rsidRPr="0052380E">
        <w:t xml:space="preserve">Proximal [4Fe-3S] coordinated by 6 cysteine residues, </w:t>
      </w:r>
      <w:proofErr w:type="spellStart"/>
      <w:r w:rsidRPr="0052380E">
        <w:t>Cys</w:t>
      </w:r>
      <w:proofErr w:type="spellEnd"/>
      <w:r w:rsidRPr="0052380E">
        <w:t xml:space="preserve"> 149, </w:t>
      </w:r>
      <w:proofErr w:type="spellStart"/>
      <w:r w:rsidRPr="0052380E">
        <w:t>Cys</w:t>
      </w:r>
      <w:proofErr w:type="spellEnd"/>
      <w:r w:rsidRPr="0052380E">
        <w:t xml:space="preserve"> 120, </w:t>
      </w:r>
      <w:proofErr w:type="spellStart"/>
      <w:r w:rsidRPr="0052380E">
        <w:t>Cys</w:t>
      </w:r>
      <w:proofErr w:type="spellEnd"/>
      <w:r w:rsidRPr="0052380E">
        <w:t xml:space="preserve"> 115, </w:t>
      </w:r>
      <w:proofErr w:type="spellStart"/>
      <w:r w:rsidRPr="0052380E">
        <w:t>Cys</w:t>
      </w:r>
      <w:proofErr w:type="spellEnd"/>
      <w:r w:rsidRPr="0052380E">
        <w:t xml:space="preserve"> 17, </w:t>
      </w:r>
      <w:proofErr w:type="spellStart"/>
      <w:r w:rsidRPr="0052380E">
        <w:t>Cys</w:t>
      </w:r>
      <w:proofErr w:type="spellEnd"/>
      <w:r w:rsidRPr="0052380E">
        <w:t xml:space="preserve"> 19, </w:t>
      </w:r>
      <w:proofErr w:type="spellStart"/>
      <w:r w:rsidRPr="0052380E">
        <w:t>Cys</w:t>
      </w:r>
      <w:proofErr w:type="spellEnd"/>
      <w:r w:rsidRPr="0052380E">
        <w:t xml:space="preserve"> 20   </w:t>
      </w:r>
    </w:p>
    <w:p w14:paraId="39AB938A" w14:textId="77777777" w:rsidR="0052380E" w:rsidRPr="0052380E" w:rsidRDefault="0052380E" w:rsidP="0052380E">
      <w:r w:rsidRPr="0052380E">
        <w:t xml:space="preserve">Medial [3Fe-4S] coordinated by 3 cysteine residues, </w:t>
      </w:r>
      <w:proofErr w:type="spellStart"/>
      <w:r w:rsidRPr="0052380E">
        <w:t>Cys</w:t>
      </w:r>
      <w:proofErr w:type="spellEnd"/>
      <w:r w:rsidRPr="0052380E">
        <w:t xml:space="preserve"> 230, </w:t>
      </w:r>
      <w:proofErr w:type="spellStart"/>
      <w:r w:rsidRPr="0052380E">
        <w:t>Cys</w:t>
      </w:r>
      <w:proofErr w:type="spellEnd"/>
      <w:r w:rsidRPr="0052380E">
        <w:t xml:space="preserve"> 249, </w:t>
      </w:r>
      <w:proofErr w:type="spellStart"/>
      <w:r w:rsidRPr="0052380E">
        <w:t>Cys</w:t>
      </w:r>
      <w:proofErr w:type="spellEnd"/>
      <w:r w:rsidRPr="0052380E">
        <w:t xml:space="preserve"> 252</w:t>
      </w:r>
    </w:p>
    <w:p w14:paraId="0647EB01" w14:textId="77777777" w:rsidR="0052380E" w:rsidRPr="0052380E" w:rsidRDefault="0052380E" w:rsidP="0052380E">
      <w:r w:rsidRPr="0052380E">
        <w:t xml:space="preserve">Distal [4Fe-4S] coordinated by 3 cysteine residues and a histidine residue, </w:t>
      </w:r>
      <w:proofErr w:type="spellStart"/>
      <w:r w:rsidRPr="0052380E">
        <w:t>Cys</w:t>
      </w:r>
      <w:proofErr w:type="spellEnd"/>
      <w:r w:rsidRPr="0052380E">
        <w:t xml:space="preserve"> 215, </w:t>
      </w:r>
      <w:proofErr w:type="spellStart"/>
      <w:r w:rsidRPr="0052380E">
        <w:t>Cys</w:t>
      </w:r>
      <w:proofErr w:type="spellEnd"/>
      <w:r w:rsidRPr="0052380E">
        <w:t xml:space="preserve"> 221, </w:t>
      </w:r>
      <w:proofErr w:type="spellStart"/>
      <w:r w:rsidRPr="0052380E">
        <w:t>Cys</w:t>
      </w:r>
      <w:proofErr w:type="spellEnd"/>
      <w:r w:rsidRPr="0052380E">
        <w:t xml:space="preserve"> 190, His 187</w:t>
      </w:r>
      <w:r w:rsidRPr="0052380E">
        <w:rPr>
          <w:i/>
          <w:iCs/>
        </w:rPr>
        <w:t xml:space="preserve"> </w:t>
      </w:r>
      <w:r w:rsidRPr="0052380E">
        <w:t xml:space="preserve">(Fritsch </w:t>
      </w:r>
      <w:r w:rsidRPr="0052380E">
        <w:rPr>
          <w:i/>
          <w:iCs/>
        </w:rPr>
        <w:t>et al.,</w:t>
      </w:r>
      <w:r w:rsidRPr="0052380E">
        <w:t xml:space="preserve"> 2011)</w:t>
      </w:r>
    </w:p>
    <w:p w14:paraId="100F3EFD" w14:textId="77777777" w:rsidR="0052380E" w:rsidRPr="0052380E" w:rsidRDefault="0052380E" w:rsidP="0052380E">
      <w:r w:rsidRPr="0052380E">
        <w:t xml:space="preserve">Lastly, an important aspect of the </w:t>
      </w:r>
      <w:proofErr w:type="spellStart"/>
      <w:r w:rsidRPr="0052380E">
        <w:t>HoxK</w:t>
      </w:r>
      <w:proofErr w:type="spellEnd"/>
      <w:r w:rsidRPr="0052380E">
        <w:t xml:space="preserve"> is the carboxy terminal alpha helical secondary structure, acting as the embedment site to the host cell membrane, as well as the connection site for the cytochrome b electron carrier (</w:t>
      </w:r>
      <w:proofErr w:type="spellStart"/>
      <w:r w:rsidRPr="0052380E">
        <w:t>Fontecilla</w:t>
      </w:r>
      <w:proofErr w:type="spellEnd"/>
      <w:r w:rsidRPr="0052380E">
        <w:t xml:space="preserve">-Camps </w:t>
      </w:r>
      <w:r w:rsidRPr="0052380E">
        <w:rPr>
          <w:i/>
          <w:iCs/>
        </w:rPr>
        <w:t>et al.,</w:t>
      </w:r>
      <w:r w:rsidRPr="0052380E">
        <w:t xml:space="preserve"> 2007). When deciphering between hydrogenases, the oxygen tolerance of </w:t>
      </w:r>
      <w:r w:rsidRPr="0052380E">
        <w:rPr>
          <w:i/>
          <w:iCs/>
        </w:rPr>
        <w:t>[Ni-Fe],</w:t>
      </w:r>
      <w:r w:rsidRPr="0052380E">
        <w:t xml:space="preserve"> plus its natural position within the periplasmic membrane, offers promising applications during artificial membrane insertion. The oxygen tolerance is proposed, although not yet fully understood, to reflect the composition of the </w:t>
      </w:r>
      <w:r w:rsidRPr="0052380E">
        <w:rPr>
          <w:i/>
          <w:iCs/>
        </w:rPr>
        <w:t>[4Fe-3S]</w:t>
      </w:r>
      <w:r w:rsidRPr="0052380E">
        <w:t xml:space="preserve"> structures within the small subunit of the enzyme (</w:t>
      </w:r>
      <w:proofErr w:type="spellStart"/>
      <w:r w:rsidRPr="0052380E">
        <w:t>Shomura</w:t>
      </w:r>
      <w:proofErr w:type="spellEnd"/>
      <w:r w:rsidRPr="0052380E">
        <w:t xml:space="preserve"> </w:t>
      </w:r>
      <w:r w:rsidRPr="0052380E">
        <w:rPr>
          <w:i/>
          <w:iCs/>
        </w:rPr>
        <w:t>et al.,</w:t>
      </w:r>
      <w:r w:rsidRPr="0052380E">
        <w:t xml:space="preserve"> 2011). The clusters differ from other standard hydrogenases containing a </w:t>
      </w:r>
      <w:r w:rsidRPr="0052380E">
        <w:rPr>
          <w:i/>
          <w:iCs/>
        </w:rPr>
        <w:t>[4Fe-4S]</w:t>
      </w:r>
      <w:r w:rsidRPr="0052380E">
        <w:t xml:space="preserve"> in that they facilitate four coordinated cysteine amino acids, opposed to the Proximal </w:t>
      </w:r>
      <w:r w:rsidRPr="0052380E">
        <w:rPr>
          <w:i/>
          <w:iCs/>
        </w:rPr>
        <w:t>[4Fe-3S]</w:t>
      </w:r>
      <w:r w:rsidRPr="0052380E">
        <w:t xml:space="preserve"> </w:t>
      </w:r>
      <w:r w:rsidRPr="0052380E">
        <w:rPr>
          <w:i/>
          <w:iCs/>
        </w:rPr>
        <w:t>[</w:t>
      </w:r>
      <w:proofErr w:type="spellStart"/>
      <w:r w:rsidRPr="0052380E">
        <w:rPr>
          <w:i/>
          <w:iCs/>
        </w:rPr>
        <w:t>NiFe</w:t>
      </w:r>
      <w:proofErr w:type="spellEnd"/>
      <w:r w:rsidRPr="0052380E">
        <w:rPr>
          <w:i/>
          <w:iCs/>
        </w:rPr>
        <w:t>]</w:t>
      </w:r>
      <w:r w:rsidRPr="0052380E">
        <w:t xml:space="preserve"> hydrogenase bound by six cysteines. The six cysteines further fabricate the distorted conformation of the Proximal </w:t>
      </w:r>
      <w:r w:rsidRPr="0052380E">
        <w:rPr>
          <w:i/>
          <w:iCs/>
        </w:rPr>
        <w:t>[4Fe-3S]</w:t>
      </w:r>
      <w:r w:rsidRPr="0052380E">
        <w:t xml:space="preserve">, </w:t>
      </w:r>
      <w:r w:rsidRPr="0052380E">
        <w:lastRenderedPageBreak/>
        <w:t xml:space="preserve">manifested by the additional </w:t>
      </w:r>
      <w:proofErr w:type="spellStart"/>
      <w:r w:rsidRPr="0052380E">
        <w:t>Cys</w:t>
      </w:r>
      <w:proofErr w:type="spellEnd"/>
      <w:r w:rsidRPr="0052380E">
        <w:t xml:space="preserve"> 120 &amp; 19 (Fritsch </w:t>
      </w:r>
      <w:r w:rsidRPr="0052380E">
        <w:rPr>
          <w:i/>
          <w:iCs/>
        </w:rPr>
        <w:t>et al.,</w:t>
      </w:r>
      <w:r w:rsidRPr="0052380E">
        <w:t xml:space="preserve"> 2011). Furthermore, it has been suggested that the additional cysteines may aid in the oxygen tolerance within the membrane bound </w:t>
      </w:r>
      <w:r w:rsidRPr="0052380E">
        <w:rPr>
          <w:i/>
          <w:iCs/>
        </w:rPr>
        <w:t>[</w:t>
      </w:r>
      <w:proofErr w:type="spellStart"/>
      <w:r w:rsidRPr="0052380E">
        <w:rPr>
          <w:i/>
          <w:iCs/>
        </w:rPr>
        <w:t>NiFe</w:t>
      </w:r>
      <w:proofErr w:type="spellEnd"/>
      <w:r w:rsidRPr="0052380E">
        <w:rPr>
          <w:i/>
          <w:iCs/>
        </w:rPr>
        <w:t>]</w:t>
      </w:r>
      <w:r w:rsidRPr="0052380E">
        <w:t xml:space="preserve"> hydrogenase (MBH) (Fritsch </w:t>
      </w:r>
      <w:r w:rsidRPr="0052380E">
        <w:rPr>
          <w:i/>
          <w:iCs/>
        </w:rPr>
        <w:t>et al.,</w:t>
      </w:r>
      <w:r w:rsidRPr="0052380E">
        <w:t xml:space="preserve"> 2011).   </w:t>
      </w:r>
    </w:p>
    <w:p w14:paraId="33F0172C" w14:textId="4CCD4CAA" w:rsidR="0052380E" w:rsidRPr="0052380E" w:rsidRDefault="0052380E" w:rsidP="0052380E">
      <w:proofErr w:type="spellStart"/>
      <w:r w:rsidRPr="0052380E">
        <w:t>MtrCAB</w:t>
      </w:r>
      <w:proofErr w:type="spellEnd"/>
      <w:r w:rsidRPr="0052380E">
        <w:t xml:space="preserve"> is a </w:t>
      </w:r>
      <w:r w:rsidRPr="0052380E">
        <w:rPr>
          <w:i/>
          <w:iCs/>
        </w:rPr>
        <w:t>Shewanella</w:t>
      </w:r>
      <w:r w:rsidRPr="0052380E">
        <w:t xml:space="preserve"> </w:t>
      </w:r>
      <w:proofErr w:type="spellStart"/>
      <w:r w:rsidRPr="0052380E">
        <w:rPr>
          <w:i/>
          <w:iCs/>
        </w:rPr>
        <w:t>oneidensis</w:t>
      </w:r>
      <w:proofErr w:type="spellEnd"/>
      <w:r w:rsidRPr="0052380E">
        <w:t xml:space="preserve"> membrane bound electron transport protein consisting of the subunits </w:t>
      </w:r>
      <w:proofErr w:type="spellStart"/>
      <w:r w:rsidRPr="0052380E">
        <w:t>MtrC</w:t>
      </w:r>
      <w:proofErr w:type="spellEnd"/>
      <w:r w:rsidRPr="0052380E">
        <w:t xml:space="preserve">, </w:t>
      </w:r>
      <w:proofErr w:type="spellStart"/>
      <w:r w:rsidRPr="0052380E">
        <w:t>MtrA</w:t>
      </w:r>
      <w:proofErr w:type="spellEnd"/>
      <w:r w:rsidRPr="0052380E">
        <w:t xml:space="preserve"> and </w:t>
      </w:r>
      <w:proofErr w:type="spellStart"/>
      <w:r w:rsidRPr="0052380E">
        <w:t>MtrB</w:t>
      </w:r>
      <w:proofErr w:type="spellEnd"/>
      <w:r w:rsidRPr="0052380E">
        <w:t xml:space="preserve"> (Edwards </w:t>
      </w:r>
      <w:r w:rsidRPr="0052380E">
        <w:rPr>
          <w:i/>
          <w:iCs/>
        </w:rPr>
        <w:t>et al.,</w:t>
      </w:r>
      <w:r w:rsidRPr="0052380E">
        <w:t xml:space="preserve"> 2020). The </w:t>
      </w:r>
      <w:proofErr w:type="spellStart"/>
      <w:r w:rsidRPr="0052380E">
        <w:t>MtrA</w:t>
      </w:r>
      <w:proofErr w:type="spellEnd"/>
      <w:r w:rsidRPr="0052380E">
        <w:t xml:space="preserve"> unit is situated within the periplasmic region harbouring the </w:t>
      </w:r>
      <w:proofErr w:type="spellStart"/>
      <w:r w:rsidRPr="0052380E">
        <w:t>decaheme</w:t>
      </w:r>
      <w:proofErr w:type="spellEnd"/>
      <w:r w:rsidRPr="0052380E">
        <w:t xml:space="preserve"> c-type cytochromes matrix – accommodated by the beta barrel conformation of </w:t>
      </w:r>
      <w:proofErr w:type="spellStart"/>
      <w:r w:rsidRPr="0052380E">
        <w:t>MtrB</w:t>
      </w:r>
      <w:proofErr w:type="spellEnd"/>
      <w:r w:rsidRPr="0052380E">
        <w:t xml:space="preserve">, further encased in the outer membrane (Edwards </w:t>
      </w:r>
      <w:r w:rsidRPr="0052380E">
        <w:rPr>
          <w:i/>
          <w:iCs/>
        </w:rPr>
        <w:t>et al.,</w:t>
      </w:r>
      <w:r w:rsidRPr="0052380E">
        <w:t xml:space="preserve"> 2020). The final unit </w:t>
      </w:r>
      <w:proofErr w:type="spellStart"/>
      <w:r w:rsidRPr="0052380E">
        <w:t>MtrC</w:t>
      </w:r>
      <w:proofErr w:type="spellEnd"/>
      <w:r w:rsidRPr="0052380E">
        <w:t xml:space="preserve"> protrudes into the outer membrane, hosting the terminal </w:t>
      </w:r>
      <w:proofErr w:type="spellStart"/>
      <w:r w:rsidRPr="0052380E">
        <w:t>decaheme</w:t>
      </w:r>
      <w:proofErr w:type="spellEnd"/>
      <w:r w:rsidRPr="0052380E">
        <w:t xml:space="preserve"> c-type cytochromes complex (</w:t>
      </w:r>
      <w:proofErr w:type="spellStart"/>
      <w:r w:rsidRPr="0052380E">
        <w:t>Bretschger</w:t>
      </w:r>
      <w:proofErr w:type="spellEnd"/>
      <w:r w:rsidRPr="0052380E">
        <w:t xml:space="preserve"> </w:t>
      </w:r>
      <w:r w:rsidRPr="0052380E">
        <w:rPr>
          <w:i/>
          <w:iCs/>
        </w:rPr>
        <w:t>et al.,</w:t>
      </w:r>
      <w:r w:rsidRPr="0052380E">
        <w:t xml:space="preserve"> 2007</w:t>
      </w:r>
      <w:r>
        <w:t xml:space="preserve">; </w:t>
      </w:r>
      <w:r w:rsidRPr="0052380E">
        <w:t xml:space="preserve">Edwards </w:t>
      </w:r>
      <w:r w:rsidRPr="0052380E">
        <w:rPr>
          <w:i/>
          <w:iCs/>
        </w:rPr>
        <w:t>et al.,</w:t>
      </w:r>
      <w:r w:rsidRPr="0052380E">
        <w:t xml:space="preserve"> 2020). It has been suggested that either the </w:t>
      </w:r>
      <w:proofErr w:type="spellStart"/>
      <w:r w:rsidRPr="0052380E">
        <w:t>heme</w:t>
      </w:r>
      <w:proofErr w:type="spellEnd"/>
      <w:r w:rsidRPr="0052380E">
        <w:t xml:space="preserve"> 10 or 5 are responsible for the electron transfer to the extracellular substrate (Edwards </w:t>
      </w:r>
      <w:r w:rsidRPr="0052380E">
        <w:rPr>
          <w:i/>
          <w:iCs/>
        </w:rPr>
        <w:t>et al.,</w:t>
      </w:r>
      <w:r w:rsidRPr="0052380E">
        <w:t xml:space="preserve"> 2018), although the exact mechanism has not yet been finalised, the protein’s electron transport actions are known. </w:t>
      </w:r>
    </w:p>
    <w:p w14:paraId="1CB5D3B8" w14:textId="77777777" w:rsidR="0052380E" w:rsidRPr="0052380E" w:rsidRDefault="0052380E" w:rsidP="0052380E">
      <w:r w:rsidRPr="0052380E">
        <w:t xml:space="preserve">The Sheffield Cell consists of multiple membranes throughout the system, two of which will have proteins encompassed into the framework. Techniques such as electrical current destabilisation of the membrane, or the addition of a detergent for slow removal of </w:t>
      </w:r>
      <w:proofErr w:type="spellStart"/>
      <w:r w:rsidRPr="0052380E">
        <w:t>biobeads</w:t>
      </w:r>
      <w:proofErr w:type="spellEnd"/>
      <w:r w:rsidRPr="0052380E">
        <w:t xml:space="preserve"> are both favoured for protein insertion (Bruns and </w:t>
      </w:r>
      <w:proofErr w:type="spellStart"/>
      <w:r w:rsidRPr="0052380E">
        <w:t>Kilbinger</w:t>
      </w:r>
      <w:proofErr w:type="spellEnd"/>
      <w:r w:rsidRPr="0052380E">
        <w:t xml:space="preserve">, 2017). Additionally, the construction of a porous membrane using a solid frame support for the insertion of </w:t>
      </w:r>
      <w:proofErr w:type="spellStart"/>
      <w:r w:rsidRPr="0052380E">
        <w:t>MtrCAB</w:t>
      </w:r>
      <w:proofErr w:type="spellEnd"/>
      <w:r w:rsidRPr="0052380E">
        <w:t xml:space="preserve"> may provide greater applicational success (Bruns and </w:t>
      </w:r>
      <w:proofErr w:type="spellStart"/>
      <w:r w:rsidRPr="0052380E">
        <w:t>Kilbinger</w:t>
      </w:r>
      <w:proofErr w:type="spellEnd"/>
      <w:r w:rsidRPr="0052380E">
        <w:t xml:space="preserve">, 2017). Furthermore, the Langmuir-Blodgett &amp; Langmuir-Schaefer (LB/LS) methods linking the ‘grafting to’ principle of polymerisation, involving a step-by-step process of chain precipitation, coinciding with the inclosing of MBH might be better suited (Bruns and </w:t>
      </w:r>
      <w:proofErr w:type="spellStart"/>
      <w:r w:rsidRPr="0052380E">
        <w:t>Kilbinger</w:t>
      </w:r>
      <w:proofErr w:type="spellEnd"/>
      <w:r w:rsidRPr="0052380E">
        <w:t xml:space="preserve">, 2017). Regardless, each protein membrane insertion mechanism would need efficient experimentation to decipher the most desirable insertion technique.  </w:t>
      </w:r>
    </w:p>
    <w:p w14:paraId="32361BB3" w14:textId="3D915105" w:rsidR="00261006" w:rsidRPr="00EA148F" w:rsidRDefault="0052380E" w:rsidP="0052380E">
      <w:r w:rsidRPr="0052380E">
        <w:t xml:space="preserve">For successful ion transfer and controlled reactions throughout the Sheffield cell, a proton-exchange electrolyte membrane and an oxygen permeable membrane preventing </w:t>
      </w:r>
      <m:oMath>
        <m:sSup>
          <m:sSupPr>
            <m:ctrlPr>
              <w:rPr>
                <w:rFonts w:ascii="Cambria Math" w:hAnsi="Cambria Math"/>
                <w:i/>
                <w:iCs/>
              </w:rPr>
            </m:ctrlPr>
          </m:sSupPr>
          <m:e>
            <m:r>
              <w:rPr>
                <w:rFonts w:ascii="Cambria Math" w:hAnsi="Cambria Math"/>
              </w:rPr>
              <m:t>Fe</m:t>
            </m:r>
          </m:e>
          <m:sup>
            <m:r>
              <w:rPr>
                <w:rFonts w:ascii="Cambria Math" w:hAnsi="Cambria Math"/>
              </w:rPr>
              <m:t>3+</m:t>
            </m:r>
          </m:sup>
        </m:sSup>
      </m:oMath>
      <w:r w:rsidRPr="0052380E">
        <w:rPr>
          <w:i/>
          <w:iCs/>
        </w:rPr>
        <w:t xml:space="preserve"> </w:t>
      </w:r>
      <w:r w:rsidRPr="0052380E">
        <w:t>ion leakage would be required. Although still within its infancy, a possible proton-exchange membrane (PEM) could be synthesised using cellulose (</w:t>
      </w:r>
      <w:proofErr w:type="spellStart"/>
      <w:r w:rsidRPr="0052380E">
        <w:t>Selyanchyn</w:t>
      </w:r>
      <w:proofErr w:type="spellEnd"/>
      <w:r w:rsidRPr="0052380E">
        <w:t xml:space="preserve"> </w:t>
      </w:r>
      <w:r w:rsidRPr="0052380E">
        <w:rPr>
          <w:i/>
          <w:iCs/>
        </w:rPr>
        <w:t>et al.,</w:t>
      </w:r>
      <w:r w:rsidRPr="0052380E">
        <w:t xml:space="preserve"> 2020). Modifications would be necessary however, with additional functional groups such as sulfonation for an enhanced proton connectivity as currently cellulose is inefficient as a standalone material (</w:t>
      </w:r>
      <w:proofErr w:type="spellStart"/>
      <w:r w:rsidRPr="0052380E">
        <w:t>Selyanchyn</w:t>
      </w:r>
      <w:proofErr w:type="spellEnd"/>
      <w:r w:rsidRPr="0052380E">
        <w:t xml:space="preserve"> </w:t>
      </w:r>
      <w:r w:rsidRPr="0052380E">
        <w:rPr>
          <w:i/>
          <w:iCs/>
        </w:rPr>
        <w:t>et al.,</w:t>
      </w:r>
      <w:r w:rsidRPr="0052380E">
        <w:t xml:space="preserve"> 2020). Since cellulose is a renewable inexpensive polymer, replacements of current PEM’s using this renewable biomaterial could offer the optimum alternative for future applications. Oxygen permeable Perovskite oxides are an example of mixed ionic-electronic conducting membranes, which has attracted interest due to their competence in isolating oxygen (Zhu and Yang, 2019). Perovskite oxides have the formula </w:t>
      </w:r>
      <m:oMath>
        <m:sSub>
          <m:sSubPr>
            <m:ctrlPr>
              <w:rPr>
                <w:rFonts w:ascii="Cambria Math" w:hAnsi="Cambria Math"/>
                <w:i/>
              </w:rPr>
            </m:ctrlPr>
          </m:sSubPr>
          <m:e>
            <m:r>
              <w:rPr>
                <w:rFonts w:ascii="Cambria Math" w:hAnsi="Cambria Math"/>
              </w:rPr>
              <m:t>ABO</m:t>
            </m:r>
          </m:e>
          <m:sub>
            <m:r>
              <w:rPr>
                <w:rFonts w:ascii="Cambria Math" w:hAnsi="Cambria Math"/>
              </w:rPr>
              <m:t>3</m:t>
            </m:r>
          </m:sub>
        </m:sSub>
      </m:oMath>
      <w:r w:rsidRPr="0052380E">
        <w:t xml:space="preserve"> forging their lattice structure – A, accounting for alkaline earth/lanthanide metals, and B associated to the transition metals (Zhu and Yang, 2019). One limitation potentially hindering the system when utilising Perovskite oxides is its permeability to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Pr="0052380E">
        <w:t xml:space="preserve">, and it would therefore require experimental simulations to prevent cross contamination (Zhu and Yang, 2019). Moreover, perovskite oxides operate at temperatures exceeding 700 </w:t>
      </w:r>
      <m:oMath>
        <m:r>
          <w:rPr>
            <w:rFonts w:ascii="Cambria Math" w:hAnsi="Cambria Math"/>
          </w:rPr>
          <m:t>°</m:t>
        </m:r>
      </m:oMath>
      <w:r w:rsidRPr="0052380E">
        <w:t xml:space="preserve"> C (Sunarso </w:t>
      </w:r>
      <w:r w:rsidRPr="0052380E">
        <w:rPr>
          <w:i/>
          <w:iCs/>
        </w:rPr>
        <w:t>et al.,</w:t>
      </w:r>
      <w:r w:rsidRPr="0052380E">
        <w:t xml:space="preserve"> 2017), which would ultimately disrupt additional </w:t>
      </w:r>
      <w:r w:rsidRPr="0052380E">
        <w:lastRenderedPageBreak/>
        <w:t xml:space="preserve">components of the Sheffield Cell. To overcome these extreme operational temperatures, a recent study has investigated the use of dielectric barrier discharge plasma (DBD plasma), coupled to an oxygen permeable membrane (Zheng </w:t>
      </w:r>
      <w:r w:rsidRPr="0052380E">
        <w:rPr>
          <w:i/>
          <w:iCs/>
        </w:rPr>
        <w:t>et al.,</w:t>
      </w:r>
      <w:r w:rsidRPr="0052380E">
        <w:t xml:space="preserve"> 2022). The study applied an air plasma power of 15 W, allowing an activation energy reduction of the permeation process, leading to an increase in the oxygen flux by a factor approaching 30 and a temperature depletion of 600 </w:t>
      </w:r>
      <m:oMath>
        <m:r>
          <w:rPr>
            <w:rFonts w:ascii="Cambria Math" w:hAnsi="Cambria Math"/>
          </w:rPr>
          <m:t>°</m:t>
        </m:r>
      </m:oMath>
      <w:r w:rsidRPr="0052380E">
        <w:t xml:space="preserve"> C (Zheng </w:t>
      </w:r>
      <w:r w:rsidRPr="0052380E">
        <w:rPr>
          <w:i/>
          <w:iCs/>
        </w:rPr>
        <w:t>et al.,</w:t>
      </w:r>
      <w:r w:rsidRPr="0052380E">
        <w:t xml:space="preserve"> 2022).  Despite this decrease in temperature achieved by maximising the DBD plasma, the use of oxygen permeable membranes still requires further innovation for uses at room temperatures</w:t>
      </w:r>
      <w:r w:rsidR="005D33D8">
        <w:rPr>
          <w:rFonts w:eastAsiaTheme="minorEastAsia"/>
        </w:rPr>
        <w:t>.</w:t>
      </w:r>
    </w:p>
    <w:p w14:paraId="7A4CA2F8" w14:textId="4937F365" w:rsidR="008C16FE" w:rsidRPr="008C16FE" w:rsidRDefault="008C16FE" w:rsidP="00DC0DF9">
      <w:pPr>
        <w:pStyle w:val="Heading2"/>
        <w:rPr>
          <w:rFonts w:eastAsia="Times New Roman"/>
          <w:lang w:eastAsia="en-GB"/>
        </w:rPr>
      </w:pPr>
      <w:r w:rsidRPr="008C16FE">
        <w:t xml:space="preserve">Sheffield Cell </w:t>
      </w:r>
      <w:r w:rsidR="005B185D">
        <w:t>C</w:t>
      </w:r>
      <w:r w:rsidRPr="008C16FE">
        <w:t>omposition</w:t>
      </w:r>
    </w:p>
    <w:p w14:paraId="05FA7E61" w14:textId="250CD834" w:rsidR="00A73365" w:rsidRDefault="00261006" w:rsidP="00DC0DF9">
      <w:r w:rsidRPr="00261006">
        <w:t xml:space="preserve">The Sheffield </w:t>
      </w:r>
      <w:r w:rsidR="00BC2E1C">
        <w:t>C</w:t>
      </w:r>
      <w:r w:rsidRPr="00261006">
        <w:t xml:space="preserve">ell will be compartmentalised - </w:t>
      </w:r>
      <w:r w:rsidR="00B731A0">
        <w:t>di</w:t>
      </w:r>
      <w:r w:rsidRPr="00261006">
        <w:t xml:space="preserve">hydrogen </w:t>
      </w:r>
      <w:r w:rsidR="00B731A0">
        <w:t>upon</w:t>
      </w:r>
      <w:r w:rsidRPr="00261006">
        <w:t xml:space="preserve"> enter</w:t>
      </w:r>
      <w:r w:rsidR="00D5290B">
        <w:t>ing</w:t>
      </w:r>
      <w:r w:rsidRPr="00261006">
        <w:t xml:space="preserve"> the cell will interact with the large</w:t>
      </w:r>
      <w:r w:rsidR="00A1130E">
        <w:t>r</w:t>
      </w:r>
      <w:r w:rsidRPr="00261006">
        <w:t xml:space="preserve"> subunit of the MBH</w:t>
      </w:r>
      <w:r w:rsidR="001316BD">
        <w:t>,</w:t>
      </w:r>
      <w:r w:rsidRPr="00261006">
        <w:t xml:space="preserve"> </w:t>
      </w:r>
      <w:r w:rsidR="00A27182" w:rsidRPr="00261006">
        <w:t>nest</w:t>
      </w:r>
      <w:r w:rsidR="00A27182">
        <w:t>led</w:t>
      </w:r>
      <w:r w:rsidRPr="00261006">
        <w:t xml:space="preserve"> on the outer side of its synthetic membrane. Once the MBH has split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Pr="00261006">
        <w:t xml:space="preserve"> into its </w:t>
      </w:r>
      <w:r w:rsidR="00C55269" w:rsidRPr="00261006">
        <w:t>su</w:t>
      </w:r>
      <w:r w:rsidR="00C55269">
        <w:t>ccessive</w:t>
      </w:r>
      <w:r w:rsidRPr="00261006">
        <w:t xml:space="preserve"> protons and electrons, the protons</w:t>
      </w:r>
      <w:r w:rsidR="0000450E">
        <w:t xml:space="preserve"> due to repulsion</w:t>
      </w:r>
      <w:r w:rsidRPr="00261006">
        <w:t xml:space="preserve"> </w:t>
      </w:r>
      <w:r w:rsidR="00411E85">
        <w:t>are</w:t>
      </w:r>
      <w:r w:rsidRPr="00261006">
        <w:t xml:space="preserve"> expelled back into the hydrogen containing compartment of the Sheffield </w:t>
      </w:r>
      <w:r w:rsidR="005A2EDC">
        <w:t>C</w:t>
      </w:r>
      <w:r w:rsidRPr="00261006">
        <w:t>ell</w:t>
      </w:r>
      <w:r w:rsidR="007A6F2E">
        <w:t>.</w:t>
      </w:r>
    </w:p>
    <w:p w14:paraId="7383CE26" w14:textId="1748EF3F" w:rsidR="009A4072" w:rsidRDefault="00F527D8" w:rsidP="00DC0DF9">
      <w:r>
        <w:t>Furthe</w:t>
      </w:r>
      <w:r w:rsidR="00A87F2E">
        <w:t>r</w:t>
      </w:r>
      <w:r>
        <w:t xml:space="preserve"> to this,</w:t>
      </w:r>
      <w:r w:rsidR="00261006" w:rsidRPr="00261006">
        <w:t xml:space="preserve"> the electrons</w:t>
      </w:r>
      <w:r w:rsidR="00B53200">
        <w:t xml:space="preserve"> </w:t>
      </w:r>
      <w:r w:rsidR="00261006" w:rsidRPr="00261006">
        <w:t xml:space="preserve">move through the </w:t>
      </w:r>
      <w:r w:rsidR="00261006" w:rsidRPr="00261006">
        <w:rPr>
          <w:i/>
          <w:iCs/>
        </w:rPr>
        <w:t>[4Fe3S]</w:t>
      </w:r>
      <w:r w:rsidR="00261006" w:rsidRPr="00261006">
        <w:t xml:space="preserve"> complexes within the small subunit of MBH. </w:t>
      </w:r>
      <w:r w:rsidR="003344D7">
        <w:t>Drawing close</w:t>
      </w:r>
      <w:r w:rsidR="008F7F94">
        <w:t>,</w:t>
      </w:r>
      <w:r w:rsidR="00261006" w:rsidRPr="00261006">
        <w:t xml:space="preserve"> the electrons enter the MBH tail infixed within the membrane before joining the electron carrier cytochrome b</w:t>
      </w:r>
      <w:r w:rsidR="00D66241">
        <w:t>.</w:t>
      </w:r>
      <w:r w:rsidR="00261006" w:rsidRPr="00261006">
        <w:t xml:space="preserve"> </w:t>
      </w:r>
      <w:r w:rsidR="00D66241">
        <w:t xml:space="preserve">Here </w:t>
      </w:r>
      <w:r w:rsidR="00906120">
        <w:t xml:space="preserve">they are </w:t>
      </w:r>
      <w:r w:rsidR="00261006" w:rsidRPr="00261006">
        <w:t xml:space="preserve">transported through </w:t>
      </w:r>
      <w:proofErr w:type="spellStart"/>
      <w:r w:rsidR="00261006" w:rsidRPr="00261006">
        <w:t>MtrCAB</w:t>
      </w:r>
      <w:proofErr w:type="spellEnd"/>
      <w:r w:rsidR="00261006" w:rsidRPr="00261006">
        <w:t xml:space="preserve"> </w:t>
      </w:r>
      <w:r w:rsidR="00BF3583">
        <w:t xml:space="preserve">by the </w:t>
      </w:r>
      <w:proofErr w:type="spellStart"/>
      <w:r w:rsidR="00BF3583">
        <w:t>heme</w:t>
      </w:r>
      <w:proofErr w:type="spellEnd"/>
      <w:r w:rsidR="00BF3583">
        <w:t xml:space="preserve"> network, </w:t>
      </w:r>
      <w:r w:rsidR="00261006" w:rsidRPr="00261006">
        <w:t>bound within the adjacent synthetic membrane. The electrons</w:t>
      </w:r>
      <w:r w:rsidR="00A77EB7">
        <w:t xml:space="preserve"> </w:t>
      </w:r>
      <w:r w:rsidR="00E20D20">
        <w:t>can</w:t>
      </w:r>
      <w:r w:rsidR="00261006" w:rsidRPr="00261006">
        <w:t xml:space="preserve"> </w:t>
      </w:r>
      <w:r w:rsidR="00261006" w:rsidRPr="00584BBC">
        <w:t>t</w:t>
      </w:r>
      <w:r w:rsidR="008D1F98">
        <w:t>raverse the</w:t>
      </w:r>
      <w:r w:rsidR="00261006" w:rsidRPr="00584BBC">
        <w:t xml:space="preserve"> </w:t>
      </w:r>
      <w:proofErr w:type="spellStart"/>
      <w:r w:rsidR="00A77EB7" w:rsidRPr="00261006">
        <w:t>MtrCAB</w:t>
      </w:r>
      <w:proofErr w:type="spellEnd"/>
      <w:r w:rsidR="00261006" w:rsidRPr="00584BBC">
        <w:t xml:space="preserve"> due</w:t>
      </w:r>
      <w:r w:rsidR="00261006" w:rsidRPr="00261006">
        <w:t xml:space="preserve"> t</w:t>
      </w:r>
      <w:r w:rsidR="009D2D6B">
        <w:t xml:space="preserve">o </w:t>
      </w:r>
      <w:r w:rsidR="00584BBC">
        <w:t>the</w:t>
      </w:r>
      <w:r w:rsidR="00261006" w:rsidRPr="00261006">
        <w:t xml:space="preserve"> lowering of </w:t>
      </w:r>
      <w:r w:rsidR="00212EEA">
        <w:t xml:space="preserve">the </w:t>
      </w:r>
      <w:r w:rsidR="00261006" w:rsidRPr="00261006">
        <w:t>electron</w:t>
      </w:r>
      <w:r w:rsidR="00212EEA">
        <w:t>s</w:t>
      </w:r>
      <w:r w:rsidR="0033640F">
        <w:t>’</w:t>
      </w:r>
      <w:r w:rsidR="00261006" w:rsidRPr="00261006">
        <w:t xml:space="preserve"> energy</w:t>
      </w:r>
      <w:r w:rsidR="009D2D6B">
        <w:t xml:space="preserve"> in</w:t>
      </w:r>
      <w:r w:rsidR="00261006" w:rsidRPr="00261006">
        <w:t xml:space="preserve"> </w:t>
      </w:r>
      <w:r w:rsidR="009D2D6B">
        <w:t>crossing</w:t>
      </w:r>
      <w:r w:rsidR="00261006" w:rsidRPr="00261006">
        <w:t xml:space="preserve"> the </w:t>
      </w:r>
      <w:proofErr w:type="spellStart"/>
      <w:r w:rsidR="00261006" w:rsidRPr="00261006">
        <w:t>heme</w:t>
      </w:r>
      <w:proofErr w:type="spellEnd"/>
      <w:r w:rsidR="009D2D6B">
        <w:t xml:space="preserve"> network</w:t>
      </w:r>
      <w:r w:rsidR="00261006" w:rsidRPr="00261006">
        <w:t xml:space="preserve">, </w:t>
      </w:r>
      <w:r w:rsidR="00653223">
        <w:t xml:space="preserve">before </w:t>
      </w:r>
      <w:r w:rsidR="00261006" w:rsidRPr="00261006">
        <w:t>passing into the</w:t>
      </w:r>
      <w:r w:rsidR="00206151">
        <w:t xml:space="preserve"> site of iron oxide</w:t>
      </w:r>
      <w:r w:rsidR="00261006" w:rsidRPr="00261006">
        <w:t>.</w:t>
      </w:r>
      <w:r w:rsidR="00A77EB7">
        <w:t xml:space="preserve"> </w:t>
      </w:r>
      <w:r w:rsidR="00A50E28">
        <w:t xml:space="preserve">The electrons </w:t>
      </w:r>
      <w:r w:rsidR="00286960">
        <w:t>now readily participate in the reduction of iron oxide</w:t>
      </w:r>
      <w:r w:rsidR="00B004F6">
        <w:t>s</w:t>
      </w:r>
      <w:r w:rsidR="00286960">
        <w:t xml:space="preserve"> as seen in </w:t>
      </w:r>
      <w:r w:rsidR="002B08AC">
        <w:t>F</w:t>
      </w:r>
      <w:r w:rsidR="00286960">
        <w:t xml:space="preserve">igure 1. </w:t>
      </w:r>
      <w:r w:rsidR="009A09BE" w:rsidRPr="00261006">
        <w:t xml:space="preserve">Once reduction of iron oxide has occurred, both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9A09BE">
        <w:rPr>
          <w:i/>
          <w:iCs/>
        </w:rPr>
        <w:t xml:space="preserve"> </w:t>
      </w:r>
      <w:r w:rsidR="009A09BE" w:rsidRPr="00261006">
        <w:t>and oxygen are available to be extracted.</w:t>
      </w:r>
    </w:p>
    <w:p w14:paraId="60D17F50" w14:textId="77109B48" w:rsidR="00261006" w:rsidRDefault="009A4072" w:rsidP="00DC0DF9">
      <w:r>
        <w:t>Reversing back, the</w:t>
      </w:r>
      <w:r w:rsidR="00A77EB7" w:rsidRPr="00261006">
        <w:t xml:space="preserve"> positively charged </w:t>
      </w:r>
      <w:r w:rsidR="00A77EB7" w:rsidRPr="00261006">
        <w:rPr>
          <w:i/>
          <w:iCs/>
        </w:rPr>
        <w:t>H+</w:t>
      </w:r>
      <w:r w:rsidR="00A77EB7" w:rsidRPr="00261006">
        <w:t xml:space="preserve"> protons </w:t>
      </w:r>
      <w:r w:rsidR="00A77EB7">
        <w:t xml:space="preserve">can freely </w:t>
      </w:r>
      <w:r w:rsidR="00A77EB7" w:rsidRPr="00261006">
        <w:t xml:space="preserve">cross the electrolyte membrane, </w:t>
      </w:r>
      <w:r w:rsidR="00A77EB7">
        <w:t>readily reacting</w:t>
      </w:r>
      <w:r w:rsidR="00A77EB7" w:rsidRPr="00261006">
        <w:t xml:space="preserve"> with </w:t>
      </w:r>
      <m:oMath>
        <m:sSub>
          <m:sSubPr>
            <m:ctrlPr>
              <w:rPr>
                <w:rFonts w:ascii="Cambria Math" w:hAnsi="Cambria Math"/>
                <w:i/>
                <w:kern w:val="2"/>
                <w14:ligatures w14:val="standardContextual"/>
              </w:rPr>
            </m:ctrlPr>
          </m:sSubPr>
          <m:e>
            <m:r>
              <w:rPr>
                <w:rFonts w:ascii="Cambria Math" w:hAnsi="Cambria Math"/>
              </w:rPr>
              <m:t>O</m:t>
            </m:r>
          </m:e>
          <m:sub>
            <m:r>
              <w:rPr>
                <w:rFonts w:ascii="Cambria Math" w:hAnsi="Cambria Math"/>
              </w:rPr>
              <m:t>2</m:t>
            </m:r>
          </m:sub>
        </m:sSub>
      </m:oMath>
      <w:r w:rsidR="00A77EB7" w:rsidRPr="00261006">
        <w:t xml:space="preserve"> once</w:t>
      </w:r>
      <w:r w:rsidR="00A77EB7">
        <w:t xml:space="preserve"> </w:t>
      </w:r>
      <w:r w:rsidR="00A77EB7" w:rsidRPr="00261006">
        <w:t>release</w:t>
      </w:r>
      <w:r w:rsidR="00A77EB7">
        <w:t>d</w:t>
      </w:r>
      <w:r w:rsidR="00A77EB7" w:rsidRPr="00261006">
        <w:t xml:space="preserve"> from the iron oxide</w:t>
      </w:r>
      <w:r w:rsidR="00261006" w:rsidRPr="00261006">
        <w:t>. Oxygen diffuse</w:t>
      </w:r>
      <w:r w:rsidR="009F1BF8">
        <w:t>s</w:t>
      </w:r>
      <w:r w:rsidR="00261006" w:rsidRPr="00261006">
        <w:t xml:space="preserve"> into the </w:t>
      </w:r>
      <w:r w:rsidR="00261006" w:rsidRPr="00261006">
        <w:rPr>
          <w:i/>
          <w:iCs/>
        </w:rPr>
        <w:t>H+</w:t>
      </w:r>
      <w:r w:rsidR="00261006" w:rsidRPr="00261006">
        <w:t xml:space="preserve"> space </w:t>
      </w:r>
      <w:r w:rsidR="009F1BF8">
        <w:t>via</w:t>
      </w:r>
      <w:r w:rsidR="00261006" w:rsidRPr="00261006">
        <w:t xml:space="preserve"> the oxygen permeable membrane producing </w:t>
      </w:r>
      <m:oMath>
        <m:sSub>
          <m:sSubPr>
            <m:ctrlPr>
              <w:rPr>
                <w:rFonts w:ascii="Cambria Math" w:hAnsi="Cambria Math"/>
                <w:i/>
                <w:kern w:val="2"/>
                <w14:ligatures w14:val="standardContextual"/>
              </w:rPr>
            </m:ctrlPr>
          </m:sSubPr>
          <m:e>
            <m:r>
              <w:rPr>
                <w:rFonts w:ascii="Cambria Math" w:hAnsi="Cambria Math"/>
              </w:rPr>
              <m:t>H</m:t>
            </m:r>
          </m:e>
          <m:sub>
            <m:r>
              <w:rPr>
                <w:rFonts w:ascii="Cambria Math" w:hAnsi="Cambria Math"/>
              </w:rPr>
              <m:t>2</m:t>
            </m:r>
          </m:sub>
        </m:sSub>
      </m:oMath>
      <w:r w:rsidR="007158B1" w:rsidRPr="00261006">
        <w:rPr>
          <w:i/>
          <w:iCs/>
        </w:rPr>
        <w:t>O</w:t>
      </w:r>
      <w:r w:rsidR="00CD38AD">
        <w:t xml:space="preserve"> </w:t>
      </w:r>
      <w:r w:rsidR="00A83E45">
        <w:t xml:space="preserve">after </w:t>
      </w:r>
      <w:r w:rsidR="00261006" w:rsidRPr="00261006">
        <w:t>reacti</w:t>
      </w:r>
      <w:r w:rsidR="00A83E45">
        <w:t>ng</w:t>
      </w:r>
      <w:r w:rsidR="00261006" w:rsidRPr="00261006">
        <w:t xml:space="preserve"> with </w:t>
      </w:r>
      <w:r w:rsidR="00261006" w:rsidRPr="00261006">
        <w:rPr>
          <w:i/>
          <w:iCs/>
        </w:rPr>
        <w:t>2H+</w:t>
      </w:r>
      <w:r w:rsidR="00261006" w:rsidRPr="00261006">
        <w:t xml:space="preserve">, </w:t>
      </w:r>
      <w:r w:rsidR="002D05A3">
        <w:t>abandoning</w:t>
      </w:r>
      <w:r w:rsidR="00261006" w:rsidRPr="00261006">
        <w:t xml:space="preserve">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801F0C">
        <w:rPr>
          <w:rFonts w:eastAsiaTheme="minorEastAsia"/>
          <w:iCs/>
          <w:kern w:val="2"/>
          <w14:ligatures w14:val="standardContextual"/>
        </w:rPr>
        <w:t>in the system</w:t>
      </w:r>
      <w:r w:rsidR="00261006" w:rsidRPr="00261006">
        <w:t>.</w:t>
      </w:r>
      <w:r w:rsidR="00801F0C">
        <w:t xml:space="preserve"> </w:t>
      </w:r>
      <w:r w:rsidR="00261006" w:rsidRPr="00261006">
        <w:t xml:space="preserve">As </w:t>
      </w:r>
      <m:oMath>
        <m:sSup>
          <m:sSupPr>
            <m:ctrlPr>
              <w:rPr>
                <w:rFonts w:ascii="Cambria Math" w:hAnsi="Cambria Math"/>
                <w:i/>
                <w:iCs/>
                <w:kern w:val="2"/>
                <w14:ligatures w14:val="standardContextual"/>
              </w:rPr>
            </m:ctrlPr>
          </m:sSupPr>
          <m:e>
            <m:r>
              <w:rPr>
                <w:rFonts w:ascii="Cambria Math" w:hAnsi="Cambria Math"/>
              </w:rPr>
              <m:t>Fe</m:t>
            </m:r>
          </m:e>
          <m:sup>
            <m:r>
              <w:rPr>
                <w:rFonts w:ascii="Cambria Math" w:hAnsi="Cambria Math"/>
              </w:rPr>
              <m:t>3+</m:t>
            </m:r>
          </m:sup>
        </m:sSup>
      </m:oMath>
      <w:r w:rsidR="00261006" w:rsidRPr="00261006">
        <w:rPr>
          <w:i/>
          <w:iCs/>
        </w:rPr>
        <w:t xml:space="preserve"> </w:t>
      </w:r>
      <w:r w:rsidR="00261006" w:rsidRPr="00261006">
        <w:t>is a positively charged ion there are many options for its removal,</w:t>
      </w:r>
      <w:r w:rsidR="009F273C">
        <w:t xml:space="preserve"> in particular</w:t>
      </w:r>
      <w:r w:rsidR="00261006" w:rsidRPr="00261006">
        <w:t xml:space="preserve"> </w:t>
      </w:r>
      <w:r w:rsidR="001109F2">
        <w:t>the addition of</w:t>
      </w:r>
      <w:r w:rsidR="00A86DA2">
        <w:t xml:space="preserve"> a</w:t>
      </w:r>
      <w:r w:rsidR="00261006" w:rsidRPr="00261006">
        <w:t xml:space="preserve"> chelating membrane or magnetism </w:t>
      </w:r>
      <w:r w:rsidR="00261006" w:rsidRPr="00261006">
        <w:rPr>
          <w:rFonts w:eastAsia="Times New Roman"/>
          <w:lang w:eastAsia="en-GB"/>
        </w:rPr>
        <w:t>(</w:t>
      </w:r>
      <w:proofErr w:type="spellStart"/>
      <w:r w:rsidR="00261006" w:rsidRPr="00261006">
        <w:rPr>
          <w:rFonts w:eastAsia="Times New Roman"/>
          <w:lang w:eastAsia="en-GB"/>
        </w:rPr>
        <w:t>Siekierka</w:t>
      </w:r>
      <w:proofErr w:type="spellEnd"/>
      <w:r w:rsidR="00261006" w:rsidRPr="00261006">
        <w:rPr>
          <w:rFonts w:eastAsia="Times New Roman"/>
          <w:lang w:eastAsia="en-GB"/>
        </w:rPr>
        <w:t xml:space="preserve">, </w:t>
      </w:r>
      <w:proofErr w:type="spellStart"/>
      <w:r w:rsidR="00D15620">
        <w:rPr>
          <w:rFonts w:eastAsia="Times New Roman"/>
          <w:lang w:eastAsia="en-GB"/>
        </w:rPr>
        <w:t>Nowicka</w:t>
      </w:r>
      <w:proofErr w:type="spellEnd"/>
      <w:r w:rsidR="00261006" w:rsidRPr="00261006">
        <w:rPr>
          <w:rFonts w:eastAsia="Times New Roman"/>
          <w:lang w:eastAsia="en-GB"/>
        </w:rPr>
        <w:t xml:space="preserve">, </w:t>
      </w:r>
      <w:r w:rsidR="00D15620">
        <w:rPr>
          <w:rFonts w:eastAsia="Times New Roman"/>
          <w:lang w:eastAsia="en-GB"/>
        </w:rPr>
        <w:t xml:space="preserve">and </w:t>
      </w:r>
      <w:proofErr w:type="spellStart"/>
      <w:r w:rsidR="00D15620">
        <w:rPr>
          <w:rFonts w:eastAsia="Times New Roman"/>
          <w:lang w:eastAsia="en-GB"/>
        </w:rPr>
        <w:t>Ostrowska</w:t>
      </w:r>
      <w:proofErr w:type="spellEnd"/>
      <w:r w:rsidR="00D15620">
        <w:rPr>
          <w:rFonts w:eastAsia="Times New Roman"/>
          <w:lang w:eastAsia="en-GB"/>
        </w:rPr>
        <w:t xml:space="preserve">, </w:t>
      </w:r>
      <w:r w:rsidR="00261006" w:rsidRPr="00261006">
        <w:rPr>
          <w:rFonts w:eastAsia="Times New Roman"/>
          <w:lang w:eastAsia="en-GB"/>
        </w:rPr>
        <w:t>2023)</w:t>
      </w:r>
      <w:r w:rsidR="00261006" w:rsidRPr="00261006">
        <w:t>.</w:t>
      </w:r>
      <w:r w:rsidR="00351136">
        <w:t xml:space="preserve"> Ultimately, the cell would feature two subunits fused </w:t>
      </w:r>
      <w:r w:rsidR="0063722A">
        <w:t>during operations</w:t>
      </w:r>
      <w:r w:rsidR="00351136">
        <w:t xml:space="preserve"> for the </w:t>
      </w:r>
      <w:r w:rsidR="008F76EE">
        <w:t>insertion</w:t>
      </w:r>
      <w:r w:rsidR="00351136">
        <w:t xml:space="preserve"> of </w:t>
      </w:r>
      <w:r w:rsidR="0063722A">
        <w:t>iron oxide and the removal of pure iron.</w:t>
      </w:r>
      <w:r w:rsidR="00261006" w:rsidRPr="00261006">
        <w:t xml:space="preserve"> The newly attained pure iron can then continue in the standard iron production line.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80561" w14:paraId="4FF1CBDE" w14:textId="77777777" w:rsidTr="007E7F42">
        <w:trPr>
          <w:jc w:val="center"/>
        </w:trPr>
        <w:tc>
          <w:tcPr>
            <w:tcW w:w="9016" w:type="dxa"/>
          </w:tcPr>
          <w:p w14:paraId="05B6C6B5" w14:textId="77777777" w:rsidR="00080561" w:rsidRPr="002B08AC" w:rsidRDefault="00C11672" w:rsidP="00203A86">
            <w:pPr>
              <w:rPr>
                <w:rFonts w:cs="Times New Roman"/>
                <w:vertAlign w:val="subscript"/>
              </w:rPr>
            </w:pPr>
            <w:r w:rsidRPr="002B08AC">
              <w:rPr>
                <w:rFonts w:cs="Times New Roman"/>
                <w:noProof/>
                <w:vertAlign w:val="subscript"/>
              </w:rPr>
              <w:lastRenderedPageBreak/>
              <w:drawing>
                <wp:inline distT="0" distB="0" distL="0" distR="0" wp14:anchorId="62DD7089" wp14:editId="3B475CE8">
                  <wp:extent cx="5524500" cy="3533530"/>
                  <wp:effectExtent l="0" t="0" r="0" b="0"/>
                  <wp:docPr id="350539236" name="Picture 1" descr="A representation of the Sheffield Cell network featuring the flow of dihydrogen, electrons, protons, and oxygen. The curved lines express the continuation of the membranes. The exit point of  〖Fe〗^(3+) has not been considered in this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39236" name="Picture 1" descr="A representation of the Sheffield Cell network featuring the flow of dihydrogen, electrons, protons, and oxygen. The curved lines express the continuation of the membranes. The exit point of  〖Fe〗^(3+) has not been considered in this diagram. "/>
                          <pic:cNvPicPr/>
                        </pic:nvPicPr>
                        <pic:blipFill>
                          <a:blip r:embed="rId8">
                            <a:extLst>
                              <a:ext uri="{28A0092B-C50C-407E-A947-70E740481C1C}">
                                <a14:useLocalDpi xmlns:a14="http://schemas.microsoft.com/office/drawing/2010/main" val="0"/>
                              </a:ext>
                            </a:extLst>
                          </a:blip>
                          <a:stretch>
                            <a:fillRect/>
                          </a:stretch>
                        </pic:blipFill>
                        <pic:spPr>
                          <a:xfrm>
                            <a:off x="0" y="0"/>
                            <a:ext cx="5561641" cy="3557286"/>
                          </a:xfrm>
                          <a:prstGeom prst="rect">
                            <a:avLst/>
                          </a:prstGeom>
                        </pic:spPr>
                      </pic:pic>
                    </a:graphicData>
                  </a:graphic>
                </wp:inline>
              </w:drawing>
            </w:r>
          </w:p>
        </w:tc>
      </w:tr>
    </w:tbl>
    <w:p w14:paraId="6A9CDABE" w14:textId="61BDFDE7" w:rsidR="006072D3" w:rsidRPr="006072D3" w:rsidRDefault="00B237A0" w:rsidP="002B08AC">
      <w:pPr>
        <w:rPr>
          <w:rFonts w:cs="Times New Roman"/>
        </w:rPr>
      </w:pPr>
      <w:r w:rsidRPr="006072D3">
        <w:rPr>
          <w:rFonts w:cs="Times New Roman"/>
          <w:i/>
          <w:iCs/>
        </w:rPr>
        <w:t>Figure 2</w:t>
      </w:r>
      <w:r w:rsidR="006072D3">
        <w:rPr>
          <w:rFonts w:cs="Times New Roman"/>
        </w:rPr>
        <w:t>.</w:t>
      </w:r>
      <w:r w:rsidR="00306F90" w:rsidRPr="006072D3">
        <w:rPr>
          <w:rFonts w:cs="Times New Roman"/>
        </w:rPr>
        <w:t xml:space="preserve"> </w:t>
      </w:r>
      <w:r w:rsidR="005C6411" w:rsidRPr="006072D3">
        <w:rPr>
          <w:rFonts w:cs="Times New Roman"/>
        </w:rPr>
        <w:t xml:space="preserve"> </w:t>
      </w:r>
      <w:r w:rsidR="002B08AC" w:rsidRPr="006072D3">
        <w:rPr>
          <w:rFonts w:cs="Times New Roman"/>
        </w:rPr>
        <w:t xml:space="preserve">A representation of the Sheffield Cell network featuring the flow of dihydrogen, electrons, protons, and oxygen. </w:t>
      </w:r>
    </w:p>
    <w:p w14:paraId="3D6EE330" w14:textId="77777777" w:rsidR="00613682" w:rsidRDefault="00613682" w:rsidP="00613682"/>
    <w:p w14:paraId="229EB7A5" w14:textId="7E9C8EA2" w:rsidR="006072D3" w:rsidRPr="00B237A0" w:rsidRDefault="006072D3" w:rsidP="006072D3">
      <w:r>
        <w:t xml:space="preserve">The Head of the figure above (Figure 2) depicts dihydrogen (double circle) entering MBH (oval) and protons (positive sign) expelled back into the external space of the cell upon hydrolysation. The transport of electrons (negative sign) can be visualised in tandem after the expulsion from MBH and </w:t>
      </w:r>
      <w:proofErr w:type="spellStart"/>
      <w:r>
        <w:t>MtrCAB</w:t>
      </w:r>
      <w:proofErr w:type="spellEnd"/>
      <w:r>
        <w:t xml:space="preserve"> (small rectangle) membrane bound proteins, readily engaging with iron oxide (molecule pictured with 2 irons &amp; 3 oxygens). The removal of oxygen (</w:t>
      </w:r>
      <w:r w:rsidRPr="006072D3">
        <w:rPr>
          <w:i/>
          <w:iCs/>
        </w:rPr>
        <w:t>3</w:t>
      </w:r>
      <m:oMath>
        <m:sSub>
          <m:sSubPr>
            <m:ctrlPr>
              <w:rPr>
                <w:rFonts w:ascii="Cambria Math" w:hAnsi="Cambria Math"/>
                <w:i/>
                <w:iCs/>
              </w:rPr>
            </m:ctrlPr>
          </m:sSubPr>
          <m:e>
            <m:r>
              <w:rPr>
                <w:rFonts w:ascii="Cambria Math" w:hAnsi="Cambria Math"/>
              </w:rPr>
              <m:t>O</m:t>
            </m:r>
          </m:e>
          <m:sub>
            <m:r>
              <w:rPr>
                <w:rFonts w:ascii="Cambria Math" w:hAnsi="Cambria Math"/>
              </w:rPr>
              <m:t>2</m:t>
            </m:r>
          </m:sub>
        </m:sSub>
      </m:oMath>
      <w:r>
        <w:t>) from the cell via the perovskite oxide membrane (tail end long rectangle), and the protons via the electrolyte membrane (2x rectangles feature either side of the figure) can be seen eagerly reacting to form water (molecule pictured 1 hydrogen &amp; 2 oxygens) as a byproduct at the tail end of the figure. The curved lines express the continuation of the membranes, which indicates separation between each unit of the cell. The exit point of</w:t>
      </w:r>
      <m:oMath>
        <m:sSup>
          <m:sSupPr>
            <m:ctrlPr>
              <w:rPr>
                <w:rFonts w:ascii="Cambria Math" w:eastAsia="Cambria Math" w:hAnsi="Cambria Math" w:cs="Cambria Math"/>
                <w:i/>
                <w:iCs/>
              </w:rPr>
            </m:ctrlPr>
          </m:sSupPr>
          <m:e>
            <m:r>
              <w:rPr>
                <w:rFonts w:ascii="Cambria Math" w:eastAsia="Cambria Math" w:hAnsi="Cambria Math" w:cs="Cambria Math"/>
              </w:rPr>
              <m:t xml:space="preserve"> Fe</m:t>
            </m:r>
          </m:e>
          <m:sup>
            <m:r>
              <w:rPr>
                <w:rFonts w:ascii="Cambria Math" w:eastAsia="Cambria Math" w:hAnsi="Cambria Math" w:cs="Cambria Math"/>
              </w:rPr>
              <m:t>3+</m:t>
            </m:r>
          </m:sup>
        </m:sSup>
      </m:oMath>
      <w:r w:rsidRPr="006072D3">
        <w:rPr>
          <w:rFonts w:ascii="Cambria Math" w:eastAsia="Cambria Math" w:hAnsi="Cambria Math" w:cs="Cambria Math"/>
          <w:b/>
          <w:bCs/>
          <w:i/>
          <w:iCs/>
        </w:rPr>
        <w:t xml:space="preserve"> </w:t>
      </w:r>
      <w:r>
        <w:t>has not been considered in this figure. Please refer to ‘Sheffield Cell composition’ section for the mechanism of the cell’s interior components for greater detail.</w:t>
      </w:r>
    </w:p>
    <w:p w14:paraId="05856216" w14:textId="319BA604" w:rsidR="004F54C4" w:rsidRPr="00DC0DF9" w:rsidRDefault="004F54C4" w:rsidP="00DC0DF9">
      <w:pPr>
        <w:pStyle w:val="Heading2"/>
      </w:pPr>
      <w:r w:rsidRPr="00DC0DF9">
        <w:t xml:space="preserve">Considerations for </w:t>
      </w:r>
      <w:r w:rsidR="005B185D">
        <w:t>T</w:t>
      </w:r>
      <w:r w:rsidRPr="00DC0DF9">
        <w:t>esting the Sheffield Cell</w:t>
      </w:r>
    </w:p>
    <w:p w14:paraId="1C53147B" w14:textId="77777777" w:rsidR="002F20BC" w:rsidRPr="002F20BC" w:rsidRDefault="002F20BC" w:rsidP="002F20BC">
      <w:r w:rsidRPr="002F20BC">
        <w:t xml:space="preserve">This essay has brought together independent disciplines of biochemical research, which are incorporated into a theoretical chemical cell for the purpose of bioremediation abstraction of iron from iron ore. It has discussed factors that are required for a productive biotechnology model, such as alterations in protein structure and how these alter protein functions in aerotolerance and electron transport. It also gave an overview of the construction of synthetic membranes formed </w:t>
      </w:r>
      <w:r w:rsidRPr="002F20BC">
        <w:lastRenderedPageBreak/>
        <w:t xml:space="preserve">taking advantage of biomaterials, as well as modern techniques for protein positioning within the membrane structure. </w:t>
      </w:r>
    </w:p>
    <w:p w14:paraId="3A4582C8" w14:textId="77777777" w:rsidR="002F20BC" w:rsidRPr="002F20BC" w:rsidRDefault="002F20BC" w:rsidP="002F20BC">
      <w:r w:rsidRPr="002F20BC">
        <w:t>Although there has been limited discussion on the practicality of the Sheffield Cell, the following review will give the reader a greater insight into the cell’s fundamentals. In this sense this essay touched on techniques combining the individual components of the cell in forming one functional unit. Currently, there is little evidence regarding the hybridisation of the cell’s subunits, although much research into the single elements remains vibrant within biotech usefulness. For example, the cell’s protein interactions are foreign to one another in natural systems, therefore when choosing the membrane insertion technique precautions should be met to prevent denaturing of the proteins and maximise their efficiency. Furthermore, I mentioned a few methods which would be most suitable, such as the ‘grafting to principle’ technique.</w:t>
      </w:r>
    </w:p>
    <w:p w14:paraId="17B7132B" w14:textId="77777777" w:rsidR="002F20BC" w:rsidRPr="002F20BC" w:rsidRDefault="002F20BC" w:rsidP="002F20BC">
      <w:r w:rsidRPr="002F20BC">
        <w:t xml:space="preserve">The Sheffield Cell consists of mainly biological components where maintaining equilibrium contributes to increased levels of performance and higher yields. To preserve the cell’s environment, it is necessary to remove iron ions, water molecules, and heat emitted by the cell due to energy transfer. It is also important to be aware that, </w:t>
      </w:r>
      <w:proofErr w:type="gramStart"/>
      <w:r w:rsidRPr="002F20BC">
        <w:t>in order to</w:t>
      </w:r>
      <w:proofErr w:type="gramEnd"/>
      <w:r w:rsidRPr="002F20BC">
        <w:t xml:space="preserve"> produce functional proteins with the correct fold and catalytic potential, the expression of MBH and </w:t>
      </w:r>
      <w:proofErr w:type="spellStart"/>
      <w:r w:rsidRPr="002F20BC">
        <w:t>MtrCAB</w:t>
      </w:r>
      <w:proofErr w:type="spellEnd"/>
      <w:r w:rsidRPr="002F20BC">
        <w:t xml:space="preserve"> must be facilitated by a complementary host. There are many additional factors which could also be mentioned, such as physiological pH, but they go beyond the scope of this essay. </w:t>
      </w:r>
    </w:p>
    <w:p w14:paraId="6E3FEE8C" w14:textId="5D51627B" w:rsidR="007A202B" w:rsidRDefault="002F20BC" w:rsidP="00DC0DF9">
      <w:r w:rsidRPr="002F20BC">
        <w:t>To conclude, bioremediation has a bright future ahead of it, bringing forward the ‘Green industrial revolution’. Innovation and creativity in the realm of life sciences will allow for a greater reduction in emissions and a stronger global economy due to lower costs and higher output. Technology such as the Sheffield Cell, although an emergent idea, has the potential to bring multiple sectors together for advanced scientific breakthroughs, benefiting society in terms of health, expertise, and living environment</w:t>
      </w:r>
      <w:r w:rsidR="004F54C4" w:rsidRPr="001F1DDA">
        <w:t>.</w:t>
      </w:r>
    </w:p>
    <w:p w14:paraId="2AB09FB8" w14:textId="77777777" w:rsidR="007E7F42" w:rsidRPr="001F1DDA" w:rsidRDefault="007E7F42" w:rsidP="00261006">
      <w:pPr>
        <w:rPr>
          <w:rFonts w:cs="Times New Roman"/>
        </w:rPr>
      </w:pPr>
    </w:p>
    <w:p w14:paraId="338477F5" w14:textId="1C0A0E75" w:rsidR="00261006" w:rsidRPr="00DC0DF9" w:rsidRDefault="00261006" w:rsidP="00DC0DF9">
      <w:pPr>
        <w:pStyle w:val="Heading2"/>
      </w:pPr>
      <w:r w:rsidRPr="00DC0DF9">
        <w:t>Equations</w:t>
      </w:r>
      <w:r w:rsidR="00216C5A" w:rsidRPr="00DC0DF9">
        <w:t xml:space="preserve"> </w:t>
      </w:r>
      <w:r w:rsidR="005B185D">
        <w:t>R</w:t>
      </w:r>
      <w:r w:rsidR="00216C5A" w:rsidRPr="00DC0DF9">
        <w:t xml:space="preserve">elating to the </w:t>
      </w:r>
      <w:r w:rsidR="005B185D">
        <w:t>P</w:t>
      </w:r>
      <w:r w:rsidR="00216C5A" w:rsidRPr="00DC0DF9">
        <w:t xml:space="preserve">roduction of </w:t>
      </w:r>
      <w:r w:rsidR="005B185D">
        <w:t>P</w:t>
      </w:r>
      <w:r w:rsidR="00216C5A" w:rsidRPr="00DC0DF9">
        <w:t xml:space="preserve">ure Iron </w:t>
      </w:r>
    </w:p>
    <w:p w14:paraId="66D89E7A" w14:textId="77777777" w:rsidR="007E7F42" w:rsidRPr="007E7F42" w:rsidRDefault="007E7F42" w:rsidP="007E7F42"/>
    <w:p w14:paraId="6AE987FD" w14:textId="5A13C5D4" w:rsidR="002F20BC" w:rsidRPr="002F20BC" w:rsidRDefault="002F20BC" w:rsidP="00A2243B">
      <w:pPr>
        <w:spacing w:after="360"/>
        <w:rPr>
          <w:rFonts w:ascii="Cambria Math" w:hAnsi="Cambria Math"/>
          <w:i/>
        </w:rPr>
      </w:pPr>
      <m:oMathPara>
        <m:oMathParaPr>
          <m:jc m:val="left"/>
        </m:oMathParaPr>
        <m:oMath>
          <m:r>
            <w:rPr>
              <w:rFonts w:ascii="Cambria Math" w:hAnsi="Cambria Math"/>
            </w:rPr>
            <m:t>1000gFe*1</m:t>
          </m:r>
          <m:f>
            <m:fPr>
              <m:ctrlPr>
                <w:rPr>
                  <w:rFonts w:ascii="Cambria Math" w:hAnsi="Cambria Math"/>
                  <w:i/>
                  <w:iCs/>
                </w:rPr>
              </m:ctrlPr>
            </m:fPr>
            <m:num>
              <m:r>
                <w:rPr>
                  <w:rFonts w:ascii="Cambria Math" w:hAnsi="Cambria Math"/>
                </w:rPr>
                <m:t>mol</m:t>
              </m:r>
            </m:num>
            <m:den>
              <m:r>
                <w:rPr>
                  <w:rFonts w:ascii="Cambria Math" w:hAnsi="Cambria Math"/>
                </w:rPr>
                <m:t>55.845gFe</m:t>
              </m:r>
            </m:den>
          </m:f>
          <m:r>
            <w:rPr>
              <w:rFonts w:ascii="Cambria Math" w:hAnsi="Cambria Math"/>
            </w:rPr>
            <m:t>=17.9mols Fe</m:t>
          </m:r>
        </m:oMath>
      </m:oMathPara>
    </w:p>
    <w:p w14:paraId="1C12EB73" w14:textId="4265E520" w:rsidR="002F20BC" w:rsidRPr="002F20BC" w:rsidRDefault="002F20BC" w:rsidP="00A2243B">
      <w:pPr>
        <w:spacing w:after="360"/>
        <w:rPr>
          <w:rFonts w:ascii="Cambria Math" w:hAnsi="Cambria Math"/>
          <w:i/>
        </w:rPr>
      </w:pPr>
      <m:oMathPara>
        <m:oMathParaPr>
          <m:jc m:val="left"/>
        </m:oMathParaPr>
        <m:oMath>
          <m:r>
            <w:rPr>
              <w:rFonts w:ascii="Cambria Math" w:hAnsi="Cambria Math"/>
            </w:rPr>
            <m:t>17.9 mols Fe*</m:t>
          </m:r>
          <m:f>
            <m:fPr>
              <m:ctrlPr>
                <w:rPr>
                  <w:rFonts w:ascii="Cambria Math" w:hAnsi="Cambria Math"/>
                  <w:i/>
                  <w:iCs/>
                </w:rPr>
              </m:ctrlPr>
            </m:fPr>
            <m:num>
              <m:sSub>
                <m:sSubPr>
                  <m:ctrlPr>
                    <w:rPr>
                      <w:rFonts w:ascii="Cambria Math" w:hAnsi="Cambria Math"/>
                      <w:i/>
                      <w:iCs/>
                    </w:rPr>
                  </m:ctrlPr>
                </m:sSubPr>
                <m:e>
                  <m:r>
                    <w:rPr>
                      <w:rFonts w:ascii="Cambria Math" w:hAnsi="Cambria Math"/>
                    </w:rPr>
                    <m:t>2Fe</m:t>
                  </m:r>
                </m:e>
                <m:sub>
                  <m:r>
                    <w:rPr>
                      <w:rFonts w:ascii="Cambria Math" w:hAnsi="Cambria Math"/>
                    </w:rPr>
                    <m:t>2</m:t>
                  </m:r>
                </m:sub>
              </m:sSub>
              <m:sSub>
                <m:sSubPr>
                  <m:ctrlPr>
                    <w:rPr>
                      <w:rFonts w:ascii="Cambria Math" w:hAnsi="Cambria Math"/>
                      <w:i/>
                      <w:iCs/>
                    </w:rPr>
                  </m:ctrlPr>
                </m:sSubPr>
                <m:e>
                  <m:r>
                    <w:rPr>
                      <w:rFonts w:ascii="Cambria Math" w:hAnsi="Cambria Math"/>
                    </w:rPr>
                    <m:t>O</m:t>
                  </m:r>
                </m:e>
                <m:sub>
                  <m:r>
                    <w:rPr>
                      <w:rFonts w:ascii="Cambria Math" w:hAnsi="Cambria Math"/>
                    </w:rPr>
                    <m:t>3</m:t>
                  </m:r>
                </m:sub>
              </m:sSub>
            </m:num>
            <m:den>
              <m:r>
                <w:rPr>
                  <w:rFonts w:ascii="Cambria Math" w:hAnsi="Cambria Math"/>
                </w:rPr>
                <m:t>4Fe mols</m:t>
              </m:r>
            </m:den>
          </m:f>
          <m:r>
            <w:rPr>
              <w:rFonts w:ascii="Cambria Math" w:hAnsi="Cambria Math"/>
            </w:rPr>
            <m:t xml:space="preserve">=8.95 mols of </m:t>
          </m:r>
          <m:sSub>
            <m:sSubPr>
              <m:ctrlPr>
                <w:rPr>
                  <w:rFonts w:ascii="Cambria Math" w:hAnsi="Cambria Math"/>
                  <w:i/>
                  <w:iCs/>
                </w:rPr>
              </m:ctrlPr>
            </m:sSubPr>
            <m:e>
              <m:r>
                <w:rPr>
                  <w:rFonts w:ascii="Cambria Math" w:hAnsi="Cambria Math"/>
                </w:rPr>
                <m:t>Fe</m:t>
              </m:r>
            </m:e>
            <m:sub>
              <m:r>
                <w:rPr>
                  <w:rFonts w:ascii="Cambria Math" w:hAnsi="Cambria Math"/>
                </w:rPr>
                <m:t>2</m:t>
              </m:r>
            </m:sub>
          </m:sSub>
          <m:sSub>
            <m:sSubPr>
              <m:ctrlPr>
                <w:rPr>
                  <w:rFonts w:ascii="Cambria Math" w:hAnsi="Cambria Math"/>
                  <w:i/>
                  <w:iCs/>
                </w:rPr>
              </m:ctrlPr>
            </m:sSubPr>
            <m:e>
              <m:r>
                <w:rPr>
                  <w:rFonts w:ascii="Cambria Math" w:hAnsi="Cambria Math"/>
                </w:rPr>
                <m:t>O</m:t>
              </m:r>
            </m:e>
            <m:sub>
              <m:r>
                <w:rPr>
                  <w:rFonts w:ascii="Cambria Math" w:hAnsi="Cambria Math"/>
                </w:rPr>
                <m:t>3</m:t>
              </m:r>
            </m:sub>
          </m:sSub>
        </m:oMath>
      </m:oMathPara>
    </w:p>
    <w:p w14:paraId="1CDF5C0B" w14:textId="045F62DB" w:rsidR="002F20BC" w:rsidRPr="002F20BC" w:rsidRDefault="00000000" w:rsidP="00A2243B">
      <w:pPr>
        <w:spacing w:after="360"/>
        <w:rPr>
          <w:rFonts w:ascii="Cambria Math" w:hAnsi="Cambria Math"/>
          <w:i/>
        </w:rPr>
      </w:pPr>
      <m:oMathPara>
        <m:oMathParaPr>
          <m:jc m:val="left"/>
        </m:oMathParaPr>
        <m:oMath>
          <m:d>
            <m:dPr>
              <m:ctrlPr>
                <w:rPr>
                  <w:rFonts w:ascii="Cambria Math" w:hAnsi="Cambria Math"/>
                  <w:i/>
                  <w:iCs/>
                </w:rPr>
              </m:ctrlPr>
            </m:dPr>
            <m:e>
              <m:r>
                <w:rPr>
                  <w:rFonts w:ascii="Cambria Math" w:hAnsi="Cambria Math"/>
                </w:rPr>
                <m:t>55.845 ×2</m:t>
              </m:r>
            </m:e>
          </m:d>
          <m:r>
            <w:rPr>
              <w:rFonts w:ascii="Cambria Math" w:hAnsi="Cambria Math"/>
            </w:rPr>
            <m:t>+</m:t>
          </m:r>
          <m:d>
            <m:dPr>
              <m:ctrlPr>
                <w:rPr>
                  <w:rFonts w:ascii="Cambria Math" w:hAnsi="Cambria Math"/>
                  <w:i/>
                  <w:iCs/>
                </w:rPr>
              </m:ctrlPr>
            </m:dPr>
            <m:e>
              <m:r>
                <w:rPr>
                  <w:rFonts w:ascii="Cambria Math" w:hAnsi="Cambria Math"/>
                </w:rPr>
                <m:t>16 ×3</m:t>
              </m:r>
            </m:e>
          </m:d>
          <m:r>
            <w:rPr>
              <w:rFonts w:ascii="Cambria Math" w:hAnsi="Cambria Math"/>
            </w:rPr>
            <m:t>=159.69gmol</m:t>
          </m:r>
        </m:oMath>
      </m:oMathPara>
    </w:p>
    <w:p w14:paraId="480A16CA" w14:textId="1F548734" w:rsidR="002F20BC" w:rsidRPr="002F20BC" w:rsidRDefault="00A2243B" w:rsidP="002F20BC">
      <w:pPr>
        <w:rPr>
          <w:rFonts w:ascii="Cambria Math" w:hAnsi="Cambria Math"/>
          <w:iCs/>
        </w:rPr>
      </w:pPr>
      <m:oMath>
        <m:r>
          <m:rPr>
            <m:sty m:val="p"/>
          </m:rPr>
          <w:rPr>
            <w:rFonts w:ascii="Cambria Math" w:hAnsi="Cambria Math"/>
          </w:rPr>
          <m:t>159.69 ×8.95=1429.22 g</m:t>
        </m:r>
      </m:oMath>
      <w:r w:rsidR="002F20BC" w:rsidRPr="002F20BC">
        <w:rPr>
          <w:rFonts w:ascii="Cambria Math" w:hAnsi="Cambria Math"/>
          <w:iCs/>
        </w:rPr>
        <w:t xml:space="preserve"> of iron oxide is needed to produce 1kg of Iron. The reaction will also produce 483.7g of water and require 54.1g of  </w:t>
      </w:r>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oMath>
      <w:r w:rsidR="002F20BC" w:rsidRPr="002F20BC">
        <w:rPr>
          <w:rFonts w:ascii="Cambria Math" w:hAnsi="Cambria Math"/>
          <w:iCs/>
        </w:rPr>
        <w:t xml:space="preserve"> per 1kg of iron produced. </w:t>
      </w:r>
    </w:p>
    <w:p w14:paraId="270DD1B1" w14:textId="58324220" w:rsidR="007E7F42" w:rsidRPr="00DC0DF9" w:rsidRDefault="00B45D8B" w:rsidP="00DC0DF9">
      <w:pPr>
        <w:pStyle w:val="Heading2"/>
      </w:pPr>
      <w:r w:rsidRPr="00DC0DF9">
        <w:lastRenderedPageBreak/>
        <w:t>References</w:t>
      </w:r>
    </w:p>
    <w:p w14:paraId="736D73E0" w14:textId="3F716AF9" w:rsidR="0058403C" w:rsidRDefault="0058403C" w:rsidP="00DC0DF9">
      <w:pPr>
        <w:rPr>
          <w:lang w:eastAsia="en-GB"/>
        </w:rPr>
      </w:pPr>
      <w:r w:rsidRPr="0058403C">
        <w:rPr>
          <w:lang w:eastAsia="en-GB"/>
        </w:rPr>
        <w:t>Ambrosio-</w:t>
      </w:r>
      <w:proofErr w:type="spellStart"/>
      <w:r w:rsidRPr="0058403C">
        <w:rPr>
          <w:lang w:eastAsia="en-GB"/>
        </w:rPr>
        <w:t>Albalá</w:t>
      </w:r>
      <w:proofErr w:type="spellEnd"/>
      <w:r w:rsidRPr="0058403C">
        <w:rPr>
          <w:lang w:eastAsia="en-GB"/>
        </w:rPr>
        <w:t xml:space="preserve">, P., Upham, P.J., and Gale, W.F. (2023). ‘Normative expectations of government as a policy actor: the case of UK steel industry decarbonisation’, </w:t>
      </w:r>
      <w:r w:rsidRPr="0058403C">
        <w:rPr>
          <w:i/>
          <w:iCs/>
          <w:lang w:eastAsia="en-GB"/>
        </w:rPr>
        <w:t>International Journal of Sustainable Energy</w:t>
      </w:r>
      <w:r w:rsidRPr="0058403C">
        <w:rPr>
          <w:lang w:eastAsia="en-GB"/>
        </w:rPr>
        <w:t xml:space="preserve">, 42(1), pp.594–611. Available at: </w:t>
      </w:r>
      <w:hyperlink r:id="rId9" w:history="1">
        <w:r w:rsidRPr="0058403C">
          <w:rPr>
            <w:rStyle w:val="Hyperlink"/>
            <w:lang w:eastAsia="en-GB"/>
          </w:rPr>
          <w:t>https://doi.org/10.1080/14786451.2023.2217948</w:t>
        </w:r>
      </w:hyperlink>
    </w:p>
    <w:p w14:paraId="7D0A1C2A" w14:textId="315861B4" w:rsidR="006D2408" w:rsidRPr="00261006" w:rsidRDefault="006D2408" w:rsidP="00DC0DF9">
      <w:pPr>
        <w:rPr>
          <w:lang w:eastAsia="en-GB"/>
        </w:rPr>
      </w:pPr>
      <w:proofErr w:type="spellStart"/>
      <w:r w:rsidRPr="00261006">
        <w:rPr>
          <w:lang w:eastAsia="en-GB"/>
        </w:rPr>
        <w:t>Bretschger</w:t>
      </w:r>
      <w:proofErr w:type="spellEnd"/>
      <w:r w:rsidRPr="00261006">
        <w:rPr>
          <w:lang w:eastAsia="en-GB"/>
        </w:rPr>
        <w:t xml:space="preserve">, O., Obraztsova, A., Sturm, C.A., Chang, I.S., </w:t>
      </w:r>
      <w:proofErr w:type="spellStart"/>
      <w:r w:rsidRPr="00261006">
        <w:rPr>
          <w:lang w:eastAsia="en-GB"/>
        </w:rPr>
        <w:t>Gorby</w:t>
      </w:r>
      <w:proofErr w:type="spellEnd"/>
      <w:r w:rsidRPr="00261006">
        <w:rPr>
          <w:lang w:eastAsia="en-GB"/>
        </w:rPr>
        <w:t xml:space="preserve">, Y.A., Reed, S.B., Culley, D.E., Reardon, C.L., Barua, S., Romine, M.F., Zhou, J., </w:t>
      </w:r>
      <w:proofErr w:type="spellStart"/>
      <w:r w:rsidRPr="00261006">
        <w:rPr>
          <w:lang w:eastAsia="en-GB"/>
        </w:rPr>
        <w:t>Beliaev</w:t>
      </w:r>
      <w:proofErr w:type="spellEnd"/>
      <w:r w:rsidRPr="00261006">
        <w:rPr>
          <w:lang w:eastAsia="en-GB"/>
        </w:rPr>
        <w:t xml:space="preserve">, A.S., </w:t>
      </w:r>
      <w:proofErr w:type="spellStart"/>
      <w:r w:rsidRPr="00261006">
        <w:rPr>
          <w:lang w:eastAsia="en-GB"/>
        </w:rPr>
        <w:t>Bouhenni</w:t>
      </w:r>
      <w:proofErr w:type="spellEnd"/>
      <w:r w:rsidRPr="00261006">
        <w:rPr>
          <w:lang w:eastAsia="en-GB"/>
        </w:rPr>
        <w:t xml:space="preserve">, R., </w:t>
      </w:r>
      <w:proofErr w:type="spellStart"/>
      <w:r w:rsidRPr="00261006">
        <w:rPr>
          <w:lang w:eastAsia="en-GB"/>
        </w:rPr>
        <w:t>Saffarini</w:t>
      </w:r>
      <w:proofErr w:type="spellEnd"/>
      <w:r w:rsidRPr="00261006">
        <w:rPr>
          <w:lang w:eastAsia="en-GB"/>
        </w:rPr>
        <w:t xml:space="preserve">, D., </w:t>
      </w:r>
      <w:proofErr w:type="spellStart"/>
      <w:r w:rsidRPr="00261006">
        <w:rPr>
          <w:lang w:eastAsia="en-GB"/>
        </w:rPr>
        <w:t>Mansfeld</w:t>
      </w:r>
      <w:proofErr w:type="spellEnd"/>
      <w:r w:rsidRPr="00261006">
        <w:rPr>
          <w:lang w:eastAsia="en-GB"/>
        </w:rPr>
        <w:t xml:space="preserve">, F., Kim, B.-H., Fredrickson, J.K. and </w:t>
      </w:r>
      <w:proofErr w:type="spellStart"/>
      <w:r w:rsidRPr="00261006">
        <w:rPr>
          <w:lang w:eastAsia="en-GB"/>
        </w:rPr>
        <w:t>Nealson</w:t>
      </w:r>
      <w:proofErr w:type="spellEnd"/>
      <w:r w:rsidRPr="00261006">
        <w:rPr>
          <w:lang w:eastAsia="en-GB"/>
        </w:rPr>
        <w:t xml:space="preserve">, K.H. (2007) </w:t>
      </w:r>
      <w:r w:rsidR="00490A2D">
        <w:rPr>
          <w:lang w:eastAsia="en-GB"/>
        </w:rPr>
        <w:t>‘</w:t>
      </w:r>
      <w:r w:rsidRPr="00261006">
        <w:rPr>
          <w:lang w:eastAsia="en-GB"/>
        </w:rPr>
        <w:t xml:space="preserve">Current Production and Metal Oxide Reduction by Shewanella </w:t>
      </w:r>
      <w:proofErr w:type="spellStart"/>
      <w:r w:rsidRPr="00261006">
        <w:rPr>
          <w:lang w:eastAsia="en-GB"/>
        </w:rPr>
        <w:t>oneidensis</w:t>
      </w:r>
      <w:proofErr w:type="spellEnd"/>
      <w:r w:rsidRPr="00261006">
        <w:rPr>
          <w:lang w:eastAsia="en-GB"/>
        </w:rPr>
        <w:t xml:space="preserve"> MR-1 Wild Type and Mutants</w:t>
      </w:r>
      <w:r w:rsidR="00490A2D">
        <w:rPr>
          <w:lang w:eastAsia="en-GB"/>
        </w:rPr>
        <w:t>’,</w:t>
      </w:r>
      <w:r w:rsidRPr="00261006">
        <w:rPr>
          <w:lang w:eastAsia="en-GB"/>
        </w:rPr>
        <w:t xml:space="preserve"> </w:t>
      </w:r>
      <w:r w:rsidRPr="00261006">
        <w:rPr>
          <w:i/>
          <w:iCs/>
          <w:lang w:eastAsia="en-GB"/>
        </w:rPr>
        <w:t>Applied and Environmental Microbiology</w:t>
      </w:r>
      <w:r w:rsidRPr="00261006">
        <w:rPr>
          <w:lang w:eastAsia="en-GB"/>
        </w:rPr>
        <w:t xml:space="preserve">, 73(21), pp.7003–7012. </w:t>
      </w:r>
      <w:r w:rsidR="0058403C">
        <w:rPr>
          <w:lang w:eastAsia="en-GB"/>
        </w:rPr>
        <w:t>Available at</w:t>
      </w:r>
      <w:r w:rsidRPr="00261006">
        <w:rPr>
          <w:lang w:eastAsia="en-GB"/>
        </w:rPr>
        <w:t>:</w:t>
      </w:r>
      <w:r w:rsidR="00CB4457">
        <w:rPr>
          <w:lang w:eastAsia="en-GB"/>
        </w:rPr>
        <w:t xml:space="preserve"> </w:t>
      </w:r>
      <w:hyperlink r:id="rId10" w:history="1">
        <w:r w:rsidR="00CB4457" w:rsidRPr="009646D3">
          <w:rPr>
            <w:rStyle w:val="Hyperlink"/>
            <w:rFonts w:eastAsia="Times New Roman" w:cs="Times New Roman"/>
            <w:lang w:eastAsia="en-GB"/>
          </w:rPr>
          <w:t>https://doi.org/10.1128/aem.01087-07</w:t>
        </w:r>
      </w:hyperlink>
      <w:r>
        <w:rPr>
          <w:lang w:eastAsia="en-GB"/>
        </w:rPr>
        <w:t xml:space="preserve"> </w:t>
      </w:r>
    </w:p>
    <w:p w14:paraId="07E76063" w14:textId="79C1985D" w:rsidR="006D2408" w:rsidRPr="00261006" w:rsidRDefault="00061C15" w:rsidP="00DC0DF9">
      <w:pPr>
        <w:rPr>
          <w:lang w:eastAsia="en-GB"/>
        </w:rPr>
      </w:pPr>
      <w:r w:rsidRPr="00061C15">
        <w:rPr>
          <w:lang w:eastAsia="en-GB"/>
        </w:rPr>
        <w:t xml:space="preserve">Bruns, N. and </w:t>
      </w:r>
      <w:proofErr w:type="spellStart"/>
      <w:r w:rsidRPr="00061C15">
        <w:rPr>
          <w:lang w:eastAsia="en-GB"/>
        </w:rPr>
        <w:t>Kilbinger</w:t>
      </w:r>
      <w:proofErr w:type="spellEnd"/>
      <w:r w:rsidRPr="00061C15">
        <w:rPr>
          <w:lang w:eastAsia="en-GB"/>
        </w:rPr>
        <w:t xml:space="preserve">, A.F. </w:t>
      </w:r>
      <w:r>
        <w:rPr>
          <w:lang w:eastAsia="en-GB"/>
        </w:rPr>
        <w:t>(</w:t>
      </w:r>
      <w:r w:rsidRPr="00061C15">
        <w:rPr>
          <w:lang w:eastAsia="en-GB"/>
        </w:rPr>
        <w:t>eds.</w:t>
      </w:r>
      <w:r>
        <w:rPr>
          <w:lang w:eastAsia="en-GB"/>
        </w:rPr>
        <w:t>). (</w:t>
      </w:r>
      <w:r w:rsidRPr="00061C15">
        <w:rPr>
          <w:lang w:eastAsia="en-GB"/>
        </w:rPr>
        <w:t>2016</w:t>
      </w:r>
      <w:r>
        <w:rPr>
          <w:lang w:eastAsia="en-GB"/>
        </w:rPr>
        <w:t>)</w:t>
      </w:r>
      <w:r w:rsidRPr="00061C15">
        <w:rPr>
          <w:lang w:eastAsia="en-GB"/>
        </w:rPr>
        <w:t xml:space="preserve">. </w:t>
      </w:r>
      <w:r w:rsidRPr="00476318">
        <w:rPr>
          <w:i/>
          <w:iCs/>
          <w:lang w:eastAsia="en-GB"/>
        </w:rPr>
        <w:t>Bio-inspired polymers</w:t>
      </w:r>
      <w:r w:rsidRPr="00061C15">
        <w:rPr>
          <w:lang w:eastAsia="en-GB"/>
        </w:rPr>
        <w:t>.</w:t>
      </w:r>
      <w:r w:rsidR="006D2408" w:rsidRPr="00261006">
        <w:rPr>
          <w:lang w:eastAsia="en-GB"/>
        </w:rPr>
        <w:t xml:space="preserve"> </w:t>
      </w:r>
      <w:r w:rsidR="00476318" w:rsidRPr="00476318">
        <w:rPr>
          <w:lang w:eastAsia="en-GB"/>
        </w:rPr>
        <w:t>Polymer Chemistry Series</w:t>
      </w:r>
      <w:r w:rsidR="00476318">
        <w:rPr>
          <w:lang w:eastAsia="en-GB"/>
        </w:rPr>
        <w:t>,</w:t>
      </w:r>
      <w:r w:rsidR="00476318" w:rsidRPr="00476318">
        <w:rPr>
          <w:lang w:eastAsia="en-GB"/>
        </w:rPr>
        <w:t xml:space="preserve"> Vol. 22</w:t>
      </w:r>
      <w:r w:rsidR="00476318">
        <w:rPr>
          <w:lang w:eastAsia="en-GB"/>
        </w:rPr>
        <w:t xml:space="preserve">. </w:t>
      </w:r>
      <w:r w:rsidR="006D2408" w:rsidRPr="00261006">
        <w:rPr>
          <w:lang w:eastAsia="en-GB"/>
        </w:rPr>
        <w:t>Cambridge, England: Royal Society of Chemistry.</w:t>
      </w:r>
    </w:p>
    <w:p w14:paraId="52696372" w14:textId="73EC14BA" w:rsidR="006D2408" w:rsidRPr="006D2408" w:rsidRDefault="006D2408" w:rsidP="00DC0DF9">
      <w:pPr>
        <w:rPr>
          <w:lang w:eastAsia="en-GB"/>
        </w:rPr>
      </w:pPr>
      <w:r w:rsidRPr="006D2408">
        <w:rPr>
          <w:lang w:eastAsia="en-GB"/>
        </w:rPr>
        <w:t xml:space="preserve">Edwards, M., White, G., Butt, J., Richardson, D.J. and Clarke, T.A. (2020) </w:t>
      </w:r>
      <w:r w:rsidR="00070620">
        <w:rPr>
          <w:lang w:eastAsia="en-GB"/>
        </w:rPr>
        <w:t>‘</w:t>
      </w:r>
      <w:r w:rsidRPr="006D2408">
        <w:rPr>
          <w:lang w:eastAsia="en-GB"/>
        </w:rPr>
        <w:t>The Structure of a Biological Insulated Transmembrane Molecular Wire</w:t>
      </w:r>
      <w:r w:rsidR="00070620">
        <w:rPr>
          <w:lang w:eastAsia="en-GB"/>
        </w:rPr>
        <w:t>’,</w:t>
      </w:r>
      <w:r w:rsidRPr="006D2408">
        <w:rPr>
          <w:lang w:eastAsia="en-GB"/>
        </w:rPr>
        <w:t xml:space="preserve"> </w:t>
      </w:r>
      <w:r w:rsidRPr="006D2408">
        <w:rPr>
          <w:i/>
          <w:iCs/>
          <w:lang w:eastAsia="en-GB"/>
        </w:rPr>
        <w:t>SSRN Electronic Journal</w:t>
      </w:r>
      <w:r w:rsidRPr="006D2408">
        <w:rPr>
          <w:lang w:eastAsia="en-GB"/>
        </w:rPr>
        <w:t xml:space="preserve">, 181(3). </w:t>
      </w:r>
      <w:r w:rsidR="0058403C">
        <w:rPr>
          <w:lang w:eastAsia="en-GB"/>
        </w:rPr>
        <w:t>Available at</w:t>
      </w:r>
      <w:r w:rsidRPr="006D2408">
        <w:rPr>
          <w:lang w:eastAsia="en-GB"/>
        </w:rPr>
        <w:t>:</w:t>
      </w:r>
      <w:r w:rsidR="0058403C">
        <w:rPr>
          <w:lang w:eastAsia="en-GB"/>
        </w:rPr>
        <w:t xml:space="preserve"> </w:t>
      </w:r>
      <w:hyperlink r:id="rId11" w:history="1">
        <w:r w:rsidR="0058403C" w:rsidRPr="000D55EB">
          <w:rPr>
            <w:rStyle w:val="Hyperlink"/>
            <w:lang w:eastAsia="en-GB"/>
          </w:rPr>
          <w:t>https://doi.org/10.2139/ssrn.3445677</w:t>
        </w:r>
      </w:hyperlink>
      <w:r w:rsidR="0058403C">
        <w:rPr>
          <w:lang w:eastAsia="en-GB"/>
        </w:rPr>
        <w:t xml:space="preserve"> </w:t>
      </w:r>
    </w:p>
    <w:p w14:paraId="3018F012" w14:textId="7E45F0FA" w:rsidR="006D2408" w:rsidRPr="00261006" w:rsidRDefault="006D2408" w:rsidP="00DC0DF9">
      <w:pPr>
        <w:rPr>
          <w:lang w:eastAsia="en-GB"/>
        </w:rPr>
      </w:pPr>
      <w:r w:rsidRPr="00261006">
        <w:rPr>
          <w:lang w:eastAsia="en-GB"/>
        </w:rPr>
        <w:t xml:space="preserve">Edwards, M.J., White, G.F., Lockwood, C.W., Lawes, M.C., Martel, A., Harris, G., Scott, D.J., Richardson, D.J., Butt, J.N. and Clarke, T.A. (2018). Structural </w:t>
      </w:r>
      <w:proofErr w:type="spellStart"/>
      <w:r w:rsidRPr="00261006">
        <w:rPr>
          <w:lang w:eastAsia="en-GB"/>
        </w:rPr>
        <w:t>modeling</w:t>
      </w:r>
      <w:proofErr w:type="spellEnd"/>
      <w:r w:rsidRPr="00261006">
        <w:rPr>
          <w:lang w:eastAsia="en-GB"/>
        </w:rPr>
        <w:t xml:space="preserve"> of an outer membrane electron conduit from a metal-reducing bacterium suggests electron transfer via periplasmic redox partners. </w:t>
      </w:r>
      <w:r w:rsidRPr="00261006">
        <w:rPr>
          <w:i/>
          <w:iCs/>
          <w:lang w:eastAsia="en-GB"/>
        </w:rPr>
        <w:t>Journal of Biological Chemistry</w:t>
      </w:r>
      <w:r w:rsidRPr="00261006">
        <w:rPr>
          <w:lang w:eastAsia="en-GB"/>
        </w:rPr>
        <w:t xml:space="preserve">, 293(21), pp.8103–8112. </w:t>
      </w:r>
      <w:bookmarkStart w:id="1" w:name="_Hlk182476432"/>
      <w:r w:rsidR="0058403C">
        <w:rPr>
          <w:lang w:eastAsia="en-GB"/>
        </w:rPr>
        <w:t>Available at</w:t>
      </w:r>
      <w:bookmarkEnd w:id="1"/>
      <w:r w:rsidRPr="00261006">
        <w:rPr>
          <w:lang w:eastAsia="en-GB"/>
        </w:rPr>
        <w:t>:</w:t>
      </w:r>
      <w:r>
        <w:rPr>
          <w:lang w:eastAsia="en-GB"/>
        </w:rPr>
        <w:t xml:space="preserve"> </w:t>
      </w:r>
      <w:hyperlink r:id="rId12" w:history="1">
        <w:r w:rsidRPr="001D1AA1">
          <w:rPr>
            <w:rStyle w:val="Hyperlink"/>
            <w:rFonts w:eastAsia="Times New Roman" w:cs="Times New Roman"/>
            <w:lang w:eastAsia="en-GB"/>
          </w:rPr>
          <w:t>https://doi.org/10.1074/jbc.ra118.001850</w:t>
        </w:r>
      </w:hyperlink>
    </w:p>
    <w:p w14:paraId="47BEAC58" w14:textId="487C9C23" w:rsidR="006D2408" w:rsidRPr="00261006" w:rsidRDefault="006D2408" w:rsidP="00DC0DF9">
      <w:pPr>
        <w:rPr>
          <w:lang w:eastAsia="en-GB"/>
        </w:rPr>
      </w:pPr>
      <w:r w:rsidRPr="00C113AB">
        <w:rPr>
          <w:lang w:val="es-CL" w:eastAsia="en-GB"/>
        </w:rPr>
        <w:t xml:space="preserve">Fontecilla-Camps, J.C., </w:t>
      </w:r>
      <w:proofErr w:type="spellStart"/>
      <w:r w:rsidRPr="00C113AB">
        <w:rPr>
          <w:lang w:val="es-CL" w:eastAsia="en-GB"/>
        </w:rPr>
        <w:t>Volbeda</w:t>
      </w:r>
      <w:proofErr w:type="spellEnd"/>
      <w:r w:rsidRPr="00C113AB">
        <w:rPr>
          <w:lang w:val="es-CL" w:eastAsia="en-GB"/>
        </w:rPr>
        <w:t xml:space="preserve">, A., </w:t>
      </w:r>
      <w:proofErr w:type="spellStart"/>
      <w:r w:rsidRPr="00C113AB">
        <w:rPr>
          <w:lang w:val="es-CL" w:eastAsia="en-GB"/>
        </w:rPr>
        <w:t>Cavazza</w:t>
      </w:r>
      <w:proofErr w:type="spellEnd"/>
      <w:r w:rsidRPr="00C113AB">
        <w:rPr>
          <w:lang w:val="es-CL" w:eastAsia="en-GB"/>
        </w:rPr>
        <w:t xml:space="preserve">, C. and </w:t>
      </w:r>
      <w:proofErr w:type="spellStart"/>
      <w:r w:rsidRPr="00C113AB">
        <w:rPr>
          <w:lang w:val="es-CL" w:eastAsia="en-GB"/>
        </w:rPr>
        <w:t>Nicolet</w:t>
      </w:r>
      <w:proofErr w:type="spellEnd"/>
      <w:r w:rsidRPr="00C113AB">
        <w:rPr>
          <w:lang w:val="es-CL" w:eastAsia="en-GB"/>
        </w:rPr>
        <w:t xml:space="preserve">, Y. (2007) </w:t>
      </w:r>
      <w:r w:rsidR="003F6A3F">
        <w:rPr>
          <w:lang w:val="es-CL" w:eastAsia="en-GB"/>
        </w:rPr>
        <w:t>‘</w:t>
      </w:r>
      <w:r w:rsidRPr="00261006">
        <w:rPr>
          <w:lang w:eastAsia="en-GB"/>
        </w:rPr>
        <w:t>Structure/Function Relationships of [</w:t>
      </w:r>
      <w:proofErr w:type="spellStart"/>
      <w:r w:rsidRPr="00261006">
        <w:rPr>
          <w:lang w:eastAsia="en-GB"/>
        </w:rPr>
        <w:t>NiFe</w:t>
      </w:r>
      <w:proofErr w:type="spellEnd"/>
      <w:r w:rsidRPr="00261006">
        <w:rPr>
          <w:lang w:eastAsia="en-GB"/>
        </w:rPr>
        <w:t>]- and [</w:t>
      </w:r>
      <w:proofErr w:type="spellStart"/>
      <w:r w:rsidRPr="00261006">
        <w:rPr>
          <w:lang w:eastAsia="en-GB"/>
        </w:rPr>
        <w:t>FeFe</w:t>
      </w:r>
      <w:proofErr w:type="spellEnd"/>
      <w:r w:rsidRPr="00261006">
        <w:rPr>
          <w:lang w:eastAsia="en-GB"/>
        </w:rPr>
        <w:t>]-Hydrogenases</w:t>
      </w:r>
      <w:r w:rsidR="003F6A3F">
        <w:rPr>
          <w:lang w:eastAsia="en-GB"/>
        </w:rPr>
        <w:t>’,</w:t>
      </w:r>
      <w:r w:rsidRPr="00261006">
        <w:rPr>
          <w:lang w:eastAsia="en-GB"/>
        </w:rPr>
        <w:t xml:space="preserve"> </w:t>
      </w:r>
      <w:proofErr w:type="spellStart"/>
      <w:r w:rsidRPr="00261006">
        <w:rPr>
          <w:i/>
          <w:iCs/>
          <w:lang w:eastAsia="en-GB"/>
        </w:rPr>
        <w:t>ChemInform</w:t>
      </w:r>
      <w:proofErr w:type="spellEnd"/>
      <w:r w:rsidRPr="00261006">
        <w:rPr>
          <w:lang w:eastAsia="en-GB"/>
        </w:rPr>
        <w:t xml:space="preserve">, 38(50). </w:t>
      </w:r>
      <w:r w:rsidR="0058403C" w:rsidRPr="0058403C">
        <w:rPr>
          <w:lang w:eastAsia="en-GB"/>
        </w:rPr>
        <w:t>Available at</w:t>
      </w:r>
      <w:r w:rsidRPr="00261006">
        <w:rPr>
          <w:lang w:eastAsia="en-GB"/>
        </w:rPr>
        <w:t>:</w:t>
      </w:r>
      <w:r>
        <w:rPr>
          <w:lang w:eastAsia="en-GB"/>
        </w:rPr>
        <w:t xml:space="preserve"> </w:t>
      </w:r>
      <w:hyperlink r:id="rId13" w:history="1">
        <w:r w:rsidRPr="001D1AA1">
          <w:rPr>
            <w:rStyle w:val="Hyperlink"/>
            <w:rFonts w:eastAsia="Times New Roman" w:cs="Times New Roman"/>
            <w:lang w:eastAsia="en-GB"/>
          </w:rPr>
          <w:t>https://doi.org/10.1002/chin.200750260</w:t>
        </w:r>
      </w:hyperlink>
    </w:p>
    <w:p w14:paraId="78E68295" w14:textId="0F575FC7" w:rsidR="006D2408" w:rsidRPr="00261006" w:rsidRDefault="006D2408" w:rsidP="00DC0DF9">
      <w:pPr>
        <w:rPr>
          <w:lang w:eastAsia="en-GB"/>
        </w:rPr>
      </w:pPr>
      <w:r w:rsidRPr="00261006">
        <w:rPr>
          <w:lang w:eastAsia="en-GB"/>
        </w:rPr>
        <w:t xml:space="preserve">Fritsch, J., </w:t>
      </w:r>
      <w:proofErr w:type="spellStart"/>
      <w:r w:rsidRPr="00261006">
        <w:rPr>
          <w:lang w:eastAsia="en-GB"/>
        </w:rPr>
        <w:t>Scheerer</w:t>
      </w:r>
      <w:proofErr w:type="spellEnd"/>
      <w:r w:rsidRPr="00261006">
        <w:rPr>
          <w:lang w:eastAsia="en-GB"/>
        </w:rPr>
        <w:t xml:space="preserve">, P., </w:t>
      </w:r>
      <w:proofErr w:type="spellStart"/>
      <w:r w:rsidRPr="00261006">
        <w:rPr>
          <w:lang w:eastAsia="en-GB"/>
        </w:rPr>
        <w:t>Frielingsdorf</w:t>
      </w:r>
      <w:proofErr w:type="spellEnd"/>
      <w:r w:rsidRPr="00261006">
        <w:rPr>
          <w:lang w:eastAsia="en-GB"/>
        </w:rPr>
        <w:t xml:space="preserve">, S., </w:t>
      </w:r>
      <w:proofErr w:type="spellStart"/>
      <w:r w:rsidRPr="00261006">
        <w:rPr>
          <w:lang w:eastAsia="en-GB"/>
        </w:rPr>
        <w:t>Kroschinsky</w:t>
      </w:r>
      <w:proofErr w:type="spellEnd"/>
      <w:r w:rsidRPr="00261006">
        <w:rPr>
          <w:lang w:eastAsia="en-GB"/>
        </w:rPr>
        <w:t>, S., Friedrich, B., Lenz, O.</w:t>
      </w:r>
      <w:r w:rsidR="00070620">
        <w:rPr>
          <w:lang w:eastAsia="en-GB"/>
        </w:rPr>
        <w:t>,</w:t>
      </w:r>
      <w:r w:rsidRPr="00261006">
        <w:rPr>
          <w:lang w:eastAsia="en-GB"/>
        </w:rPr>
        <w:t xml:space="preserve"> and </w:t>
      </w:r>
      <w:proofErr w:type="spellStart"/>
      <w:r w:rsidRPr="00261006">
        <w:rPr>
          <w:lang w:eastAsia="en-GB"/>
        </w:rPr>
        <w:t>Spahn</w:t>
      </w:r>
      <w:proofErr w:type="spellEnd"/>
      <w:r w:rsidRPr="00261006">
        <w:rPr>
          <w:lang w:eastAsia="en-GB"/>
        </w:rPr>
        <w:t xml:space="preserve">, C.M.T. (2011) </w:t>
      </w:r>
      <w:r w:rsidR="00070620">
        <w:rPr>
          <w:lang w:eastAsia="en-GB"/>
        </w:rPr>
        <w:t>‘</w:t>
      </w:r>
      <w:r w:rsidRPr="00261006">
        <w:rPr>
          <w:lang w:eastAsia="en-GB"/>
        </w:rPr>
        <w:t>The crystal structure of an oxygen-tolerant hydrogenase uncovers a novel iron-sulphur centre</w:t>
      </w:r>
      <w:r w:rsidR="00070620">
        <w:rPr>
          <w:lang w:eastAsia="en-GB"/>
        </w:rPr>
        <w:t>’,</w:t>
      </w:r>
      <w:r w:rsidRPr="00261006">
        <w:rPr>
          <w:lang w:eastAsia="en-GB"/>
        </w:rPr>
        <w:t xml:space="preserve"> </w:t>
      </w:r>
      <w:r w:rsidRPr="00261006">
        <w:rPr>
          <w:i/>
          <w:iCs/>
          <w:lang w:eastAsia="en-GB"/>
        </w:rPr>
        <w:t>Nature</w:t>
      </w:r>
      <w:r w:rsidRPr="00261006">
        <w:rPr>
          <w:lang w:eastAsia="en-GB"/>
        </w:rPr>
        <w:t xml:space="preserve">, 479(7372), pp.249–252. </w:t>
      </w:r>
      <w:r w:rsidR="0058403C" w:rsidRPr="0058403C">
        <w:rPr>
          <w:lang w:eastAsia="en-GB"/>
        </w:rPr>
        <w:t>Available at</w:t>
      </w:r>
      <w:r w:rsidRPr="00261006">
        <w:rPr>
          <w:lang w:eastAsia="en-GB"/>
        </w:rPr>
        <w:t>:</w:t>
      </w:r>
      <w:r>
        <w:rPr>
          <w:lang w:eastAsia="en-GB"/>
        </w:rPr>
        <w:t xml:space="preserve"> </w:t>
      </w:r>
      <w:hyperlink r:id="rId14" w:history="1">
        <w:r w:rsidRPr="001D1AA1">
          <w:rPr>
            <w:rStyle w:val="Hyperlink"/>
            <w:rFonts w:eastAsia="Times New Roman" w:cs="Times New Roman"/>
            <w:lang w:eastAsia="en-GB"/>
          </w:rPr>
          <w:t>https://doi.org/10.1038/nature10505</w:t>
        </w:r>
      </w:hyperlink>
    </w:p>
    <w:p w14:paraId="3E2C8D6F" w14:textId="1350EE81" w:rsidR="006D2408" w:rsidRPr="00B94643" w:rsidRDefault="006D2408" w:rsidP="00DC0DF9">
      <w:pPr>
        <w:rPr>
          <w:lang w:eastAsia="en-GB"/>
        </w:rPr>
      </w:pPr>
      <w:r w:rsidRPr="00261006">
        <w:rPr>
          <w:lang w:eastAsia="en-GB"/>
        </w:rPr>
        <w:t>Higuchi, Y., Yagi, T.</w:t>
      </w:r>
      <w:r w:rsidR="003F6A3F">
        <w:rPr>
          <w:lang w:eastAsia="en-GB"/>
        </w:rPr>
        <w:t>,</w:t>
      </w:r>
      <w:r w:rsidRPr="00261006">
        <w:rPr>
          <w:lang w:eastAsia="en-GB"/>
        </w:rPr>
        <w:t xml:space="preserve"> and </w:t>
      </w:r>
      <w:proofErr w:type="spellStart"/>
      <w:r w:rsidRPr="00261006">
        <w:rPr>
          <w:lang w:eastAsia="en-GB"/>
        </w:rPr>
        <w:t>Yasuoka</w:t>
      </w:r>
      <w:proofErr w:type="spellEnd"/>
      <w:r w:rsidRPr="00261006">
        <w:rPr>
          <w:lang w:eastAsia="en-GB"/>
        </w:rPr>
        <w:t xml:space="preserve">, N. (1997) </w:t>
      </w:r>
      <w:r w:rsidR="003F6A3F">
        <w:rPr>
          <w:lang w:eastAsia="en-GB"/>
        </w:rPr>
        <w:t>‘</w:t>
      </w:r>
      <w:r w:rsidRPr="00261006">
        <w:rPr>
          <w:lang w:eastAsia="en-GB"/>
        </w:rPr>
        <w:t xml:space="preserve">Unusual ligand structure in Ni–Fe active </w:t>
      </w:r>
      <w:proofErr w:type="spellStart"/>
      <w:r w:rsidRPr="00261006">
        <w:rPr>
          <w:lang w:eastAsia="en-GB"/>
        </w:rPr>
        <w:t>center</w:t>
      </w:r>
      <w:proofErr w:type="spellEnd"/>
      <w:r w:rsidRPr="00261006">
        <w:rPr>
          <w:lang w:eastAsia="en-GB"/>
        </w:rPr>
        <w:t xml:space="preserve"> and an additional Mg site in hydrogenase revealed by high resolution X-ray structure analysis</w:t>
      </w:r>
      <w:r w:rsidR="003F6A3F">
        <w:rPr>
          <w:lang w:eastAsia="en-GB"/>
        </w:rPr>
        <w:t>’,</w:t>
      </w:r>
      <w:r w:rsidRPr="00261006">
        <w:rPr>
          <w:lang w:eastAsia="en-GB"/>
        </w:rPr>
        <w:t xml:space="preserve"> </w:t>
      </w:r>
      <w:r w:rsidRPr="00261006">
        <w:rPr>
          <w:i/>
          <w:iCs/>
          <w:lang w:eastAsia="en-GB"/>
        </w:rPr>
        <w:t>Structure</w:t>
      </w:r>
      <w:r w:rsidRPr="00261006">
        <w:rPr>
          <w:lang w:eastAsia="en-GB"/>
        </w:rPr>
        <w:t xml:space="preserve">, 5(12), pp.1671–1680. </w:t>
      </w:r>
      <w:r w:rsidR="0058403C" w:rsidRPr="0058403C">
        <w:rPr>
          <w:lang w:eastAsia="en-GB"/>
        </w:rPr>
        <w:t>Available at</w:t>
      </w:r>
      <w:r w:rsidRPr="00261006">
        <w:rPr>
          <w:lang w:eastAsia="en-GB"/>
        </w:rPr>
        <w:t>:</w:t>
      </w:r>
      <w:r>
        <w:rPr>
          <w:lang w:eastAsia="en-GB"/>
        </w:rPr>
        <w:t xml:space="preserve"> </w:t>
      </w:r>
      <w:hyperlink r:id="rId15" w:history="1">
        <w:r w:rsidRPr="001D1AA1">
          <w:rPr>
            <w:rStyle w:val="Hyperlink"/>
            <w:rFonts w:eastAsia="Times New Roman" w:cs="Times New Roman"/>
            <w:lang w:eastAsia="en-GB"/>
          </w:rPr>
          <w:t>https://doi.org/10.1016/s0969-2126(97)00313-4</w:t>
        </w:r>
      </w:hyperlink>
    </w:p>
    <w:p w14:paraId="4E3AA62D" w14:textId="631E16F3" w:rsidR="006D2408" w:rsidRPr="00B94643" w:rsidRDefault="006D2408" w:rsidP="00DC0DF9">
      <w:pPr>
        <w:rPr>
          <w:lang w:eastAsia="en-GB"/>
        </w:rPr>
      </w:pPr>
      <w:r w:rsidRPr="00B94643">
        <w:rPr>
          <w:lang w:eastAsia="en-GB"/>
        </w:rPr>
        <w:t>Knight, L.</w:t>
      </w:r>
      <w:r w:rsidR="0058403C">
        <w:rPr>
          <w:lang w:eastAsia="en-GB"/>
        </w:rPr>
        <w:t>,</w:t>
      </w:r>
      <w:r w:rsidRPr="00B94643">
        <w:rPr>
          <w:lang w:eastAsia="en-GB"/>
        </w:rPr>
        <w:t xml:space="preserve"> and Walker, A. (2022) </w:t>
      </w:r>
      <w:r w:rsidRPr="00B94643">
        <w:rPr>
          <w:i/>
          <w:iCs/>
          <w:lang w:eastAsia="en-GB"/>
        </w:rPr>
        <w:t>Green Steel</w:t>
      </w:r>
      <w:r w:rsidRPr="00B94643">
        <w:rPr>
          <w:lang w:eastAsia="en-GB"/>
        </w:rPr>
        <w:t xml:space="preserve">. London: UK Parliament </w:t>
      </w:r>
      <w:r w:rsidR="00E72317">
        <w:rPr>
          <w:lang w:eastAsia="en-GB"/>
        </w:rPr>
        <w:t>POST</w:t>
      </w:r>
      <w:r w:rsidRPr="00B94643">
        <w:rPr>
          <w:lang w:eastAsia="en-GB"/>
        </w:rPr>
        <w:t xml:space="preserve">. Available at: </w:t>
      </w:r>
      <w:hyperlink r:id="rId16" w:anchor=":~:text=The%20three%20main%20technology%20pathways,technology%20with%20existing%20steelmaking%20infrastructure" w:history="1">
        <w:r w:rsidR="0058403C" w:rsidRPr="000D55EB">
          <w:rPr>
            <w:rStyle w:val="Hyperlink"/>
            <w:lang w:eastAsia="en-GB"/>
          </w:rPr>
          <w:t>https://post.parliament.uk/research-briefings/post-pn-0672/#:~:text=The%20three%20main%20technology%20pathways,technology%20with%20existing%20steelmaking%20infrastructure</w:t>
        </w:r>
      </w:hyperlink>
      <w:r w:rsidR="0058403C">
        <w:rPr>
          <w:lang w:eastAsia="en-GB"/>
        </w:rPr>
        <w:t xml:space="preserve"> </w:t>
      </w:r>
      <w:r w:rsidR="00E72317">
        <w:rPr>
          <w:lang w:eastAsia="en-GB"/>
        </w:rPr>
        <w:t>(</w:t>
      </w:r>
      <w:r w:rsidRPr="00B94643">
        <w:rPr>
          <w:lang w:eastAsia="en-GB"/>
        </w:rPr>
        <w:t>Accessed</w:t>
      </w:r>
      <w:r w:rsidR="00E72317">
        <w:rPr>
          <w:lang w:eastAsia="en-GB"/>
        </w:rPr>
        <w:t>: 28 August 2024)</w:t>
      </w:r>
      <w:r w:rsidRPr="00B94643">
        <w:rPr>
          <w:lang w:eastAsia="en-GB"/>
        </w:rPr>
        <w:t>.</w:t>
      </w:r>
    </w:p>
    <w:p w14:paraId="3B05F7CC" w14:textId="745F230B" w:rsidR="006D2408" w:rsidRPr="00261006" w:rsidRDefault="006D2408" w:rsidP="00DC0DF9">
      <w:pPr>
        <w:rPr>
          <w:lang w:eastAsia="en-GB"/>
        </w:rPr>
      </w:pPr>
      <w:r w:rsidRPr="00261006">
        <w:rPr>
          <w:lang w:eastAsia="en-GB"/>
        </w:rPr>
        <w:lastRenderedPageBreak/>
        <w:t xml:space="preserve">Lubitz, W., Ogata, H., </w:t>
      </w:r>
      <w:proofErr w:type="spellStart"/>
      <w:r w:rsidRPr="00261006">
        <w:rPr>
          <w:lang w:eastAsia="en-GB"/>
        </w:rPr>
        <w:t>Rüdiger</w:t>
      </w:r>
      <w:proofErr w:type="spellEnd"/>
      <w:r w:rsidRPr="00261006">
        <w:rPr>
          <w:lang w:eastAsia="en-GB"/>
        </w:rPr>
        <w:t>, O.</w:t>
      </w:r>
      <w:r w:rsidR="000259CE">
        <w:rPr>
          <w:lang w:eastAsia="en-GB"/>
        </w:rPr>
        <w:t>,</w:t>
      </w:r>
      <w:r w:rsidRPr="00261006">
        <w:rPr>
          <w:lang w:eastAsia="en-GB"/>
        </w:rPr>
        <w:t xml:space="preserve"> and </w:t>
      </w:r>
      <w:proofErr w:type="spellStart"/>
      <w:r w:rsidRPr="00261006">
        <w:rPr>
          <w:lang w:eastAsia="en-GB"/>
        </w:rPr>
        <w:t>Reijerse</w:t>
      </w:r>
      <w:proofErr w:type="spellEnd"/>
      <w:r w:rsidRPr="00261006">
        <w:rPr>
          <w:lang w:eastAsia="en-GB"/>
        </w:rPr>
        <w:t xml:space="preserve">, E. (2014) </w:t>
      </w:r>
      <w:r w:rsidR="000259CE">
        <w:rPr>
          <w:lang w:eastAsia="en-GB"/>
        </w:rPr>
        <w:t>‘</w:t>
      </w:r>
      <w:r w:rsidRPr="00261006">
        <w:rPr>
          <w:lang w:eastAsia="en-GB"/>
        </w:rPr>
        <w:t>Hydrogenases</w:t>
      </w:r>
      <w:r w:rsidR="000259CE">
        <w:rPr>
          <w:lang w:eastAsia="en-GB"/>
        </w:rPr>
        <w:t>’,</w:t>
      </w:r>
      <w:r w:rsidRPr="00261006">
        <w:rPr>
          <w:lang w:eastAsia="en-GB"/>
        </w:rPr>
        <w:t xml:space="preserve"> </w:t>
      </w:r>
      <w:r w:rsidRPr="00261006">
        <w:rPr>
          <w:i/>
          <w:iCs/>
          <w:lang w:eastAsia="en-GB"/>
        </w:rPr>
        <w:t>Chemical Reviews</w:t>
      </w:r>
      <w:r w:rsidRPr="00261006">
        <w:rPr>
          <w:lang w:eastAsia="en-GB"/>
        </w:rPr>
        <w:t xml:space="preserve">, 114(8), pp.4081–4148. </w:t>
      </w:r>
      <w:r w:rsidR="0058403C" w:rsidRPr="0058403C">
        <w:rPr>
          <w:lang w:eastAsia="en-GB"/>
        </w:rPr>
        <w:t>Available at</w:t>
      </w:r>
      <w:r w:rsidRPr="00261006">
        <w:rPr>
          <w:lang w:eastAsia="en-GB"/>
        </w:rPr>
        <w:t>:</w:t>
      </w:r>
      <w:r>
        <w:rPr>
          <w:lang w:eastAsia="en-GB"/>
        </w:rPr>
        <w:t xml:space="preserve"> </w:t>
      </w:r>
      <w:hyperlink r:id="rId17" w:history="1">
        <w:r w:rsidRPr="001D1AA1">
          <w:rPr>
            <w:rStyle w:val="Hyperlink"/>
            <w:rFonts w:eastAsia="Times New Roman" w:cs="Times New Roman"/>
            <w:lang w:eastAsia="en-GB"/>
          </w:rPr>
          <w:t>https://doi.org/10.1021/cr4005814</w:t>
        </w:r>
      </w:hyperlink>
    </w:p>
    <w:p w14:paraId="42C1FCF6" w14:textId="5078BC11" w:rsidR="0058403C" w:rsidRDefault="006D2408" w:rsidP="00DC0DF9">
      <w:pPr>
        <w:rPr>
          <w:lang w:eastAsia="en-GB"/>
        </w:rPr>
      </w:pPr>
      <w:proofErr w:type="spellStart"/>
      <w:r w:rsidRPr="009B1EB0">
        <w:rPr>
          <w:lang w:eastAsia="en-GB"/>
        </w:rPr>
        <w:t>Pathy</w:t>
      </w:r>
      <w:proofErr w:type="spellEnd"/>
      <w:r w:rsidRPr="009B1EB0">
        <w:rPr>
          <w:lang w:eastAsia="en-GB"/>
        </w:rPr>
        <w:t xml:space="preserve">, A., </w:t>
      </w:r>
      <w:proofErr w:type="spellStart"/>
      <w:r w:rsidRPr="009B1EB0">
        <w:rPr>
          <w:lang w:eastAsia="en-GB"/>
        </w:rPr>
        <w:t>Nageshwari</w:t>
      </w:r>
      <w:proofErr w:type="spellEnd"/>
      <w:r w:rsidRPr="009B1EB0">
        <w:rPr>
          <w:lang w:eastAsia="en-GB"/>
        </w:rPr>
        <w:t xml:space="preserve">, K., </w:t>
      </w:r>
      <w:proofErr w:type="spellStart"/>
      <w:r w:rsidRPr="009B1EB0">
        <w:rPr>
          <w:lang w:eastAsia="en-GB"/>
        </w:rPr>
        <w:t>Ramaraj</w:t>
      </w:r>
      <w:proofErr w:type="spellEnd"/>
      <w:r w:rsidRPr="009B1EB0">
        <w:rPr>
          <w:lang w:eastAsia="en-GB"/>
        </w:rPr>
        <w:t xml:space="preserve">, R., </w:t>
      </w:r>
      <w:proofErr w:type="spellStart"/>
      <w:r w:rsidRPr="009B1EB0">
        <w:rPr>
          <w:lang w:eastAsia="en-GB"/>
        </w:rPr>
        <w:t>Pragas</w:t>
      </w:r>
      <w:proofErr w:type="spellEnd"/>
      <w:r w:rsidRPr="009B1EB0">
        <w:rPr>
          <w:lang w:eastAsia="en-GB"/>
        </w:rPr>
        <w:t xml:space="preserve"> </w:t>
      </w:r>
      <w:proofErr w:type="spellStart"/>
      <w:r w:rsidRPr="009B1EB0">
        <w:rPr>
          <w:lang w:eastAsia="en-GB"/>
        </w:rPr>
        <w:t>Maniam</w:t>
      </w:r>
      <w:proofErr w:type="spellEnd"/>
      <w:r w:rsidRPr="009B1EB0">
        <w:rPr>
          <w:lang w:eastAsia="en-GB"/>
        </w:rPr>
        <w:t>, G., Govindan, N.</w:t>
      </w:r>
      <w:r w:rsidR="000259CE">
        <w:rPr>
          <w:lang w:eastAsia="en-GB"/>
        </w:rPr>
        <w:t>,</w:t>
      </w:r>
      <w:r w:rsidRPr="009B1EB0">
        <w:rPr>
          <w:lang w:eastAsia="en-GB"/>
        </w:rPr>
        <w:t xml:space="preserve"> and Balasubramanian, P. (2022) </w:t>
      </w:r>
      <w:r w:rsidR="000259CE">
        <w:rPr>
          <w:lang w:eastAsia="en-GB"/>
        </w:rPr>
        <w:t>‘</w:t>
      </w:r>
      <w:r w:rsidRPr="009B1EB0">
        <w:rPr>
          <w:lang w:eastAsia="en-GB"/>
        </w:rPr>
        <w:t>Biohydrogen production using algae: Potentiality, economics and challenges</w:t>
      </w:r>
      <w:r w:rsidR="000259CE">
        <w:rPr>
          <w:lang w:eastAsia="en-GB"/>
        </w:rPr>
        <w:t xml:space="preserve">’, </w:t>
      </w:r>
      <w:r w:rsidRPr="009B1EB0">
        <w:rPr>
          <w:i/>
          <w:iCs/>
          <w:lang w:eastAsia="en-GB"/>
        </w:rPr>
        <w:t>Bioresource Technology</w:t>
      </w:r>
      <w:r w:rsidRPr="009B1EB0">
        <w:rPr>
          <w:lang w:eastAsia="en-GB"/>
        </w:rPr>
        <w:t xml:space="preserve">, 360, p.127514. </w:t>
      </w:r>
      <w:r w:rsidR="0058403C" w:rsidRPr="0058403C">
        <w:rPr>
          <w:lang w:eastAsia="en-GB"/>
        </w:rPr>
        <w:t>Available at</w:t>
      </w:r>
      <w:r w:rsidRPr="009B1EB0">
        <w:rPr>
          <w:lang w:eastAsia="en-GB"/>
        </w:rPr>
        <w:t>:</w:t>
      </w:r>
      <w:r>
        <w:rPr>
          <w:lang w:eastAsia="en-GB"/>
        </w:rPr>
        <w:t xml:space="preserve"> </w:t>
      </w:r>
      <w:hyperlink r:id="rId18" w:history="1">
        <w:r w:rsidR="0058403C" w:rsidRPr="000D55EB">
          <w:rPr>
            <w:rStyle w:val="Hyperlink"/>
            <w:lang w:eastAsia="en-GB"/>
          </w:rPr>
          <w:t>https://doi.org/10.1016/j.biortech.2022.127514</w:t>
        </w:r>
      </w:hyperlink>
      <w:r w:rsidR="0058403C">
        <w:rPr>
          <w:lang w:eastAsia="en-GB"/>
        </w:rPr>
        <w:t xml:space="preserve"> </w:t>
      </w:r>
    </w:p>
    <w:p w14:paraId="633B3586" w14:textId="66036208" w:rsidR="0051653B" w:rsidRPr="009B1EB0" w:rsidRDefault="0051653B" w:rsidP="00DC0DF9">
      <w:pPr>
        <w:rPr>
          <w:lang w:eastAsia="en-GB"/>
        </w:rPr>
      </w:pPr>
      <w:proofErr w:type="spellStart"/>
      <w:r w:rsidRPr="0051653B">
        <w:rPr>
          <w:lang w:eastAsia="en-GB"/>
        </w:rPr>
        <w:t>Selyanchyn</w:t>
      </w:r>
      <w:proofErr w:type="spellEnd"/>
      <w:r w:rsidRPr="0051653B">
        <w:rPr>
          <w:lang w:eastAsia="en-GB"/>
        </w:rPr>
        <w:t xml:space="preserve">, O., </w:t>
      </w:r>
      <w:proofErr w:type="spellStart"/>
      <w:r w:rsidRPr="0051653B">
        <w:rPr>
          <w:lang w:eastAsia="en-GB"/>
        </w:rPr>
        <w:t>Selyanchyn</w:t>
      </w:r>
      <w:proofErr w:type="spellEnd"/>
      <w:r w:rsidRPr="0051653B">
        <w:rPr>
          <w:lang w:eastAsia="en-GB"/>
        </w:rPr>
        <w:t xml:space="preserve">, R., and </w:t>
      </w:r>
      <w:proofErr w:type="spellStart"/>
      <w:r w:rsidRPr="0051653B">
        <w:rPr>
          <w:lang w:eastAsia="en-GB"/>
        </w:rPr>
        <w:t>Lyth</w:t>
      </w:r>
      <w:proofErr w:type="spellEnd"/>
      <w:r w:rsidRPr="0051653B">
        <w:rPr>
          <w:lang w:eastAsia="en-GB"/>
        </w:rPr>
        <w:t xml:space="preserve">, S.M. (2020) ‘A Review of Proton Conductivity in Cellulosic Materials’, </w:t>
      </w:r>
      <w:r w:rsidRPr="0051653B">
        <w:rPr>
          <w:i/>
          <w:iCs/>
          <w:lang w:eastAsia="en-GB"/>
        </w:rPr>
        <w:t>Frontiers in Energy Research</w:t>
      </w:r>
      <w:r w:rsidRPr="0051653B">
        <w:rPr>
          <w:lang w:eastAsia="en-GB"/>
        </w:rPr>
        <w:t xml:space="preserve">, 8. Available at: </w:t>
      </w:r>
      <w:hyperlink r:id="rId19" w:history="1">
        <w:r w:rsidRPr="0051653B">
          <w:rPr>
            <w:rStyle w:val="Hyperlink"/>
            <w:lang w:eastAsia="en-GB"/>
          </w:rPr>
          <w:t>https://doi.org/10.3389/fenrg.2020.596164</w:t>
        </w:r>
      </w:hyperlink>
    </w:p>
    <w:p w14:paraId="4E2B36A7" w14:textId="7D1226D9" w:rsidR="00C92E0B" w:rsidRDefault="00C92E0B" w:rsidP="00DC0DF9">
      <w:pPr>
        <w:rPr>
          <w:lang w:eastAsia="en-GB"/>
        </w:rPr>
      </w:pPr>
      <w:proofErr w:type="spellStart"/>
      <w:r w:rsidRPr="00C92E0B">
        <w:rPr>
          <w:lang w:eastAsia="en-GB"/>
        </w:rPr>
        <w:t>Shomura</w:t>
      </w:r>
      <w:proofErr w:type="spellEnd"/>
      <w:r w:rsidRPr="00C92E0B">
        <w:rPr>
          <w:lang w:eastAsia="en-GB"/>
        </w:rPr>
        <w:t>, Y., Yoon, K., Nishihara, H., and Higuchi, Y. (2011) ‘Structural basis for a [4Fe-3S] cluster in the oxygen-tolerant membrane-bound [</w:t>
      </w:r>
      <w:proofErr w:type="spellStart"/>
      <w:r w:rsidRPr="00C92E0B">
        <w:rPr>
          <w:lang w:eastAsia="en-GB"/>
        </w:rPr>
        <w:t>NiFe</w:t>
      </w:r>
      <w:proofErr w:type="spellEnd"/>
      <w:r w:rsidRPr="00C92E0B">
        <w:rPr>
          <w:lang w:eastAsia="en-GB"/>
        </w:rPr>
        <w:t xml:space="preserve">]-hydrogenase’, </w:t>
      </w:r>
      <w:r w:rsidRPr="00C92E0B">
        <w:rPr>
          <w:i/>
          <w:iCs/>
          <w:lang w:eastAsia="en-GB"/>
        </w:rPr>
        <w:t>Nature (London)</w:t>
      </w:r>
      <w:r w:rsidRPr="00C92E0B">
        <w:rPr>
          <w:lang w:eastAsia="en-GB"/>
        </w:rPr>
        <w:t xml:space="preserve">, 479(7372), pp.253–256. Available at: </w:t>
      </w:r>
      <w:hyperlink r:id="rId20" w:history="1">
        <w:r w:rsidRPr="00C92E0B">
          <w:rPr>
            <w:rStyle w:val="Hyperlink"/>
            <w:lang w:eastAsia="en-GB"/>
          </w:rPr>
          <w:t>https://doi.org/10.1038/nature10504</w:t>
        </w:r>
      </w:hyperlink>
    </w:p>
    <w:p w14:paraId="23683FAD" w14:textId="65FB0416" w:rsidR="006D2408" w:rsidRPr="00261006" w:rsidRDefault="006D2408" w:rsidP="00DC0DF9">
      <w:pPr>
        <w:rPr>
          <w:lang w:eastAsia="en-GB"/>
        </w:rPr>
      </w:pPr>
      <w:proofErr w:type="spellStart"/>
      <w:r w:rsidRPr="00261006">
        <w:rPr>
          <w:lang w:eastAsia="en-GB"/>
        </w:rPr>
        <w:t>Siekierka</w:t>
      </w:r>
      <w:proofErr w:type="spellEnd"/>
      <w:r w:rsidRPr="00261006">
        <w:rPr>
          <w:lang w:eastAsia="en-GB"/>
        </w:rPr>
        <w:t xml:space="preserve">, A., </w:t>
      </w:r>
      <w:proofErr w:type="spellStart"/>
      <w:r w:rsidRPr="00261006">
        <w:rPr>
          <w:lang w:eastAsia="en-GB"/>
        </w:rPr>
        <w:t>Nowicka</w:t>
      </w:r>
      <w:proofErr w:type="spellEnd"/>
      <w:r w:rsidR="00D15620">
        <w:rPr>
          <w:lang w:eastAsia="en-GB"/>
        </w:rPr>
        <w:t>, J.,</w:t>
      </w:r>
      <w:r w:rsidRPr="00261006">
        <w:rPr>
          <w:lang w:eastAsia="en-GB"/>
        </w:rPr>
        <w:t xml:space="preserve"> and </w:t>
      </w:r>
      <w:proofErr w:type="spellStart"/>
      <w:r w:rsidRPr="00261006">
        <w:rPr>
          <w:lang w:eastAsia="en-GB"/>
        </w:rPr>
        <w:t>Ostrowska</w:t>
      </w:r>
      <w:proofErr w:type="spellEnd"/>
      <w:r w:rsidRPr="00261006">
        <w:rPr>
          <w:lang w:eastAsia="en-GB"/>
        </w:rPr>
        <w:t>, M. (2023)</w:t>
      </w:r>
      <w:r w:rsidR="00D15620">
        <w:rPr>
          <w:lang w:eastAsia="en-GB"/>
        </w:rPr>
        <w:t xml:space="preserve"> ‘</w:t>
      </w:r>
      <w:r w:rsidRPr="00261006">
        <w:rPr>
          <w:lang w:eastAsia="en-GB"/>
        </w:rPr>
        <w:t>Mechanism of selective transportation of metal ions across chelating membranes in electrodialysis</w:t>
      </w:r>
      <w:r w:rsidR="00D15620">
        <w:rPr>
          <w:lang w:eastAsia="en-GB"/>
        </w:rPr>
        <w:t>’,</w:t>
      </w:r>
      <w:r w:rsidRPr="00261006">
        <w:rPr>
          <w:lang w:eastAsia="en-GB"/>
        </w:rPr>
        <w:t xml:space="preserve"> </w:t>
      </w:r>
      <w:r w:rsidRPr="00261006">
        <w:rPr>
          <w:i/>
          <w:iCs/>
          <w:lang w:eastAsia="en-GB"/>
        </w:rPr>
        <w:t>Chemical engineering and processing</w:t>
      </w:r>
      <w:r w:rsidRPr="00261006">
        <w:rPr>
          <w:lang w:eastAsia="en-GB"/>
        </w:rPr>
        <w:t xml:space="preserve">, 189, p.109408. </w:t>
      </w:r>
      <w:r w:rsidR="0058403C" w:rsidRPr="0058403C">
        <w:rPr>
          <w:lang w:eastAsia="en-GB"/>
        </w:rPr>
        <w:t>Available at</w:t>
      </w:r>
      <w:r w:rsidRPr="00261006">
        <w:rPr>
          <w:lang w:eastAsia="en-GB"/>
        </w:rPr>
        <w:t>:</w:t>
      </w:r>
      <w:r>
        <w:rPr>
          <w:lang w:eastAsia="en-GB"/>
        </w:rPr>
        <w:t xml:space="preserve"> </w:t>
      </w:r>
      <w:hyperlink r:id="rId21" w:history="1">
        <w:r w:rsidRPr="001D1AA1">
          <w:rPr>
            <w:rStyle w:val="Hyperlink"/>
            <w:rFonts w:eastAsia="Times New Roman" w:cs="Times New Roman"/>
            <w:lang w:eastAsia="en-GB"/>
          </w:rPr>
          <w:t>https://doi.org/10.1016/j.cep.2023.109408</w:t>
        </w:r>
      </w:hyperlink>
      <w:r w:rsidRPr="00261006">
        <w:rPr>
          <w:lang w:eastAsia="en-GB"/>
        </w:rPr>
        <w:t>.</w:t>
      </w:r>
      <w:r>
        <w:rPr>
          <w:lang w:eastAsia="en-GB"/>
        </w:rPr>
        <w:t xml:space="preserve"> </w:t>
      </w:r>
    </w:p>
    <w:p w14:paraId="715F9A53" w14:textId="7DAD40A3" w:rsidR="006D2408" w:rsidRPr="006D2408" w:rsidRDefault="006D2408" w:rsidP="00DC0DF9">
      <w:pPr>
        <w:rPr>
          <w:lang w:eastAsia="en-GB"/>
        </w:rPr>
      </w:pPr>
      <w:proofErr w:type="spellStart"/>
      <w:r w:rsidRPr="006D2408">
        <w:rPr>
          <w:lang w:eastAsia="en-GB"/>
        </w:rPr>
        <w:t>Sunarso</w:t>
      </w:r>
      <w:proofErr w:type="spellEnd"/>
      <w:r w:rsidRPr="006D2408">
        <w:rPr>
          <w:lang w:eastAsia="en-GB"/>
        </w:rPr>
        <w:t>, J., Hashim, S.S., Zhu, N. and Zhou, W. (2017)</w:t>
      </w:r>
      <w:r w:rsidR="00EE0C18">
        <w:rPr>
          <w:lang w:eastAsia="en-GB"/>
        </w:rPr>
        <w:t xml:space="preserve"> ‘</w:t>
      </w:r>
      <w:r w:rsidRPr="006D2408">
        <w:rPr>
          <w:lang w:eastAsia="en-GB"/>
        </w:rPr>
        <w:t>Perovskite oxides applications in high temperature oxygen separation, solid oxide fuel cell and membrane reactor: A review</w:t>
      </w:r>
      <w:r w:rsidR="00EE0C18">
        <w:rPr>
          <w:lang w:eastAsia="en-GB"/>
        </w:rPr>
        <w:t>’,</w:t>
      </w:r>
      <w:r w:rsidRPr="006D2408">
        <w:rPr>
          <w:lang w:eastAsia="en-GB"/>
        </w:rPr>
        <w:t xml:space="preserve"> </w:t>
      </w:r>
      <w:r w:rsidRPr="006D2408">
        <w:rPr>
          <w:i/>
          <w:iCs/>
          <w:lang w:eastAsia="en-GB"/>
        </w:rPr>
        <w:t>Progress in Energy and Combustion Science</w:t>
      </w:r>
      <w:r w:rsidRPr="006D2408">
        <w:rPr>
          <w:lang w:eastAsia="en-GB"/>
        </w:rPr>
        <w:t xml:space="preserve">, 61, pp.57–77. </w:t>
      </w:r>
      <w:r w:rsidR="0058403C" w:rsidRPr="0058403C">
        <w:rPr>
          <w:lang w:eastAsia="en-GB"/>
        </w:rPr>
        <w:t>Available at</w:t>
      </w:r>
      <w:r w:rsidRPr="006D2408">
        <w:rPr>
          <w:lang w:eastAsia="en-GB"/>
        </w:rPr>
        <w:t>:</w:t>
      </w:r>
      <w:r w:rsidR="0058403C">
        <w:rPr>
          <w:lang w:eastAsia="en-GB"/>
        </w:rPr>
        <w:t xml:space="preserve"> </w:t>
      </w:r>
      <w:hyperlink r:id="rId22" w:history="1">
        <w:r w:rsidR="0058403C" w:rsidRPr="000D55EB">
          <w:rPr>
            <w:rStyle w:val="Hyperlink"/>
            <w:lang w:eastAsia="en-GB"/>
          </w:rPr>
          <w:t>https://doi.org/10.1016/j.pecs.2017.03.003</w:t>
        </w:r>
      </w:hyperlink>
      <w:r w:rsidR="0058403C">
        <w:rPr>
          <w:lang w:eastAsia="en-GB"/>
        </w:rPr>
        <w:t xml:space="preserve"> </w:t>
      </w:r>
    </w:p>
    <w:p w14:paraId="3624EC8D" w14:textId="79C6262B" w:rsidR="006D2408" w:rsidRPr="006D2408" w:rsidRDefault="006D2408" w:rsidP="00DC0DF9">
      <w:pPr>
        <w:rPr>
          <w:lang w:eastAsia="en-GB"/>
        </w:rPr>
      </w:pPr>
      <w:r w:rsidRPr="006D2408">
        <w:rPr>
          <w:lang w:eastAsia="en-GB"/>
        </w:rPr>
        <w:t>Zheng, Q., Xie, Y., Tan, J., Xu, Z., Luo, P., Wang, T., Liu, Z., Liu, F., Zhang, K., Fang, Z., Zhang, G. and Jin, W. (2022)</w:t>
      </w:r>
      <w:r w:rsidR="00EE0C18">
        <w:rPr>
          <w:lang w:eastAsia="en-GB"/>
        </w:rPr>
        <w:t xml:space="preserve"> ‘</w:t>
      </w:r>
      <w:r w:rsidRPr="006D2408">
        <w:rPr>
          <w:lang w:eastAsia="en-GB"/>
        </w:rPr>
        <w:t>Coupling of dielectric barrier discharge plasma with oxygen permeable membrane for highly efficient low-temperature permeation</w:t>
      </w:r>
      <w:r w:rsidR="00EE0C18">
        <w:rPr>
          <w:lang w:eastAsia="en-GB"/>
        </w:rPr>
        <w:t>’,</w:t>
      </w:r>
      <w:r w:rsidRPr="006D2408">
        <w:rPr>
          <w:lang w:eastAsia="en-GB"/>
        </w:rPr>
        <w:t xml:space="preserve"> </w:t>
      </w:r>
      <w:r w:rsidRPr="006D2408">
        <w:rPr>
          <w:i/>
          <w:iCs/>
          <w:lang w:eastAsia="en-GB"/>
        </w:rPr>
        <w:t>Journal of Membrane Science</w:t>
      </w:r>
      <w:r w:rsidRPr="006D2408">
        <w:rPr>
          <w:lang w:eastAsia="en-GB"/>
        </w:rPr>
        <w:t xml:space="preserve">, 641, p.119896. </w:t>
      </w:r>
      <w:r w:rsidR="0058403C" w:rsidRPr="0058403C">
        <w:rPr>
          <w:lang w:eastAsia="en-GB"/>
        </w:rPr>
        <w:t>Available at</w:t>
      </w:r>
      <w:r w:rsidRPr="006D2408">
        <w:rPr>
          <w:lang w:eastAsia="en-GB"/>
        </w:rPr>
        <w:t>:</w:t>
      </w:r>
      <w:r w:rsidR="0058403C">
        <w:rPr>
          <w:lang w:eastAsia="en-GB"/>
        </w:rPr>
        <w:t xml:space="preserve"> </w:t>
      </w:r>
      <w:hyperlink r:id="rId23" w:history="1">
        <w:r w:rsidR="0058403C" w:rsidRPr="000D55EB">
          <w:rPr>
            <w:rStyle w:val="Hyperlink"/>
            <w:lang w:eastAsia="en-GB"/>
          </w:rPr>
          <w:t>https://doi.org/10.1016/j.memsci.2021.119896</w:t>
        </w:r>
      </w:hyperlink>
      <w:r w:rsidR="0058403C">
        <w:rPr>
          <w:lang w:eastAsia="en-GB"/>
        </w:rPr>
        <w:t xml:space="preserve"> </w:t>
      </w:r>
    </w:p>
    <w:p w14:paraId="4193B26B" w14:textId="733B37E0" w:rsidR="006D2408" w:rsidRPr="006D2408" w:rsidRDefault="006D2408" w:rsidP="00DC0DF9">
      <w:pPr>
        <w:rPr>
          <w:lang w:eastAsia="en-GB"/>
        </w:rPr>
      </w:pPr>
      <w:r w:rsidRPr="00261006">
        <w:rPr>
          <w:lang w:eastAsia="en-GB"/>
        </w:rPr>
        <w:t>Zhu, X. and Yang, W. (2019)</w:t>
      </w:r>
      <w:r w:rsidR="00EE0C18">
        <w:rPr>
          <w:lang w:eastAsia="en-GB"/>
        </w:rPr>
        <w:t xml:space="preserve"> ‘</w:t>
      </w:r>
      <w:r w:rsidRPr="00261006">
        <w:rPr>
          <w:lang w:eastAsia="en-GB"/>
        </w:rPr>
        <w:t>Microstructural and Interfacial Designs of Oxygen</w:t>
      </w:r>
      <w:r w:rsidRPr="00261006">
        <w:rPr>
          <w:rFonts w:ascii="Times New Roman" w:hAnsi="Times New Roman"/>
          <w:lang w:eastAsia="en-GB"/>
        </w:rPr>
        <w:t>‐</w:t>
      </w:r>
      <w:r w:rsidRPr="00261006">
        <w:rPr>
          <w:lang w:eastAsia="en-GB"/>
        </w:rPr>
        <w:t>Permeable Membranes for Oxygen Separation and Reaction</w:t>
      </w:r>
      <w:r w:rsidRPr="00261006">
        <w:rPr>
          <w:rFonts w:cs="Sylfaen"/>
          <w:lang w:eastAsia="en-GB"/>
        </w:rPr>
        <w:t>–</w:t>
      </w:r>
      <w:r w:rsidRPr="00261006">
        <w:rPr>
          <w:lang w:eastAsia="en-GB"/>
        </w:rPr>
        <w:t>Separation Coupling</w:t>
      </w:r>
      <w:r w:rsidR="00EE0C18">
        <w:rPr>
          <w:lang w:eastAsia="en-GB"/>
        </w:rPr>
        <w:t>’,</w:t>
      </w:r>
      <w:r w:rsidRPr="00261006">
        <w:rPr>
          <w:lang w:eastAsia="en-GB"/>
        </w:rPr>
        <w:t xml:space="preserve"> </w:t>
      </w:r>
      <w:r w:rsidRPr="00261006">
        <w:rPr>
          <w:i/>
          <w:iCs/>
          <w:lang w:eastAsia="en-GB"/>
        </w:rPr>
        <w:t>Advanced Materials</w:t>
      </w:r>
      <w:r w:rsidRPr="00261006">
        <w:rPr>
          <w:lang w:eastAsia="en-GB"/>
        </w:rPr>
        <w:t xml:space="preserve">, 31(50), p.1902547. </w:t>
      </w:r>
      <w:r w:rsidR="0058403C" w:rsidRPr="0058403C">
        <w:rPr>
          <w:lang w:eastAsia="en-GB"/>
        </w:rPr>
        <w:t>Available at</w:t>
      </w:r>
      <w:r w:rsidRPr="00261006">
        <w:rPr>
          <w:lang w:eastAsia="en-GB"/>
        </w:rPr>
        <w:t>:</w:t>
      </w:r>
      <w:r>
        <w:rPr>
          <w:lang w:eastAsia="en-GB"/>
        </w:rPr>
        <w:t xml:space="preserve"> </w:t>
      </w:r>
      <w:hyperlink r:id="rId24" w:history="1">
        <w:r w:rsidRPr="001D1AA1">
          <w:rPr>
            <w:rStyle w:val="Hyperlink"/>
            <w:rFonts w:eastAsia="Times New Roman" w:cs="Times New Roman"/>
            <w:lang w:eastAsia="en-GB"/>
          </w:rPr>
          <w:t>https://doi.org/10.1002/adma.201902547</w:t>
        </w:r>
      </w:hyperlink>
      <w:r w:rsidR="0058403C">
        <w:rPr>
          <w:lang w:eastAsia="en-GB"/>
        </w:rPr>
        <w:t xml:space="preserve"> </w:t>
      </w:r>
    </w:p>
    <w:p w14:paraId="3E4D7C9F" w14:textId="77777777" w:rsidR="00240A04" w:rsidRPr="00261006" w:rsidRDefault="00240A04" w:rsidP="00575297">
      <w:pPr>
        <w:spacing w:after="160" w:line="240" w:lineRule="auto"/>
      </w:pPr>
    </w:p>
    <w:p w14:paraId="78B87C67" w14:textId="3B67BCB3" w:rsidR="001D7306" w:rsidRPr="00261006" w:rsidRDefault="00397E61" w:rsidP="00240A04">
      <w:pPr>
        <w:spacing w:before="120" w:after="120" w:line="360" w:lineRule="auto"/>
        <w:jc w:val="both"/>
        <w:rPr>
          <w:rFonts w:eastAsia="Times New Roman" w:cs="Times New Roman"/>
          <w:lang w:eastAsia="en-GB"/>
        </w:rPr>
      </w:pPr>
      <w:r w:rsidRPr="00261006">
        <w:rPr>
          <w:rFonts w:eastAsia="Times New Roman" w:cs="Arial"/>
          <w:color w:val="212529"/>
          <w:shd w:val="clear" w:color="auto" w:fill="FFFFFF"/>
          <w:lang w:eastAsia="en-GB"/>
        </w:rPr>
        <w:t>©</w:t>
      </w:r>
      <w:r w:rsidR="0081121F" w:rsidRPr="0081121F">
        <w:rPr>
          <w:rFonts w:eastAsia="Times New Roman" w:cs="Arial"/>
          <w:color w:val="212529"/>
          <w:shd w:val="clear" w:color="auto" w:fill="FFFFFF"/>
          <w:lang w:eastAsia="en-GB"/>
        </w:rPr>
        <w:t>Daniel Steven Harris</w:t>
      </w:r>
      <w:r w:rsidRPr="00261006">
        <w:rPr>
          <w:rFonts w:eastAsia="Times New Roman" w:cs="Arial"/>
          <w:color w:val="212529"/>
          <w:shd w:val="clear" w:color="auto" w:fill="FFFFFF"/>
          <w:lang w:eastAsia="en-GB"/>
        </w:rPr>
        <w:t>. This article is licensed under a Creative Commons Attribution 4.0 International Licence (CC BY).</w:t>
      </w:r>
      <w:r w:rsidR="005D7F6B">
        <w:rPr>
          <w:rFonts w:eastAsia="Times New Roman" w:cs="Arial"/>
          <w:color w:val="212529"/>
          <w:shd w:val="clear" w:color="auto" w:fill="FFFFFF"/>
          <w:lang w:eastAsia="en-GB"/>
        </w:rPr>
        <w:t xml:space="preserve"> </w:t>
      </w:r>
    </w:p>
    <w:sectPr w:rsidR="001D7306" w:rsidRPr="00261006" w:rsidSect="0081121F">
      <w:headerReference w:type="default"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4489" w14:textId="77777777" w:rsidR="00E77252" w:rsidRDefault="00E77252" w:rsidP="002B247D">
      <w:pPr>
        <w:spacing w:after="0" w:line="240" w:lineRule="auto"/>
      </w:pPr>
      <w:r>
        <w:separator/>
      </w:r>
    </w:p>
  </w:endnote>
  <w:endnote w:type="continuationSeparator" w:id="0">
    <w:p w14:paraId="36909739" w14:textId="77777777" w:rsidR="00E77252" w:rsidRDefault="00E7725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4895B41" w:rsidR="00BE6334" w:rsidRPr="00990D5E" w:rsidRDefault="00BE6334">
        <w:pPr>
          <w:pStyle w:val="Footer"/>
          <w:jc w:val="center"/>
          <w:rPr>
            <w:sz w:val="20"/>
            <w:szCs w:val="20"/>
          </w:rPr>
        </w:pPr>
        <w:r w:rsidRPr="00990D5E">
          <w:rPr>
            <w:noProof/>
            <w:sz w:val="20"/>
            <w:szCs w:val="20"/>
          </w:rPr>
          <w:t>This article is CC BY (</w:t>
        </w:r>
        <w:r w:rsidR="0081121F" w:rsidRPr="0081121F">
          <w:rPr>
            <w:noProof/>
            <w:sz w:val="20"/>
            <w:szCs w:val="20"/>
          </w:rPr>
          <w:t>Daniel Steven Harris</w:t>
        </w:r>
        <w:r w:rsidRPr="00990D5E">
          <w:rPr>
            <w:noProof/>
            <w:sz w:val="20"/>
            <w:szCs w:val="20"/>
          </w:rPr>
          <w:t>)</w:t>
        </w:r>
        <w:r w:rsidRPr="00990D5E">
          <w:rPr>
            <w:noProof/>
            <w:sz w:val="20"/>
            <w:szCs w:val="20"/>
          </w:rPr>
          <w:tab/>
        </w:r>
        <w:r w:rsidRPr="00990D5E">
          <w:rPr>
            <w:noProof/>
            <w:sz w:val="20"/>
            <w:szCs w:val="20"/>
          </w:rPr>
          <w:tab/>
          <w:t xml:space="preserve">Essex Student Journal, </w:t>
        </w:r>
        <w:r w:rsidR="0081121F">
          <w:rPr>
            <w:noProof/>
            <w:sz w:val="20"/>
            <w:szCs w:val="20"/>
          </w:rPr>
          <w:t>2024</w:t>
        </w:r>
        <w:r w:rsidR="00990D5E">
          <w:rPr>
            <w:noProof/>
            <w:sz w:val="20"/>
            <w:szCs w:val="20"/>
          </w:rPr>
          <w:t>, Vol</w:t>
        </w:r>
        <w:r w:rsidRPr="00990D5E">
          <w:rPr>
            <w:noProof/>
            <w:sz w:val="20"/>
            <w:szCs w:val="20"/>
          </w:rPr>
          <w:t>.</w:t>
        </w:r>
        <w:r w:rsidR="0081121F">
          <w:rPr>
            <w:noProof/>
            <w:sz w:val="20"/>
            <w:szCs w:val="20"/>
          </w:rPr>
          <w:t xml:space="preserve"> 16(1)</w:t>
        </w:r>
      </w:p>
    </w:sdtContent>
  </w:sdt>
  <w:p w14:paraId="793C577F" w14:textId="582BBD0E" w:rsidR="00BE6334" w:rsidRDefault="00BE6334">
    <w:pPr>
      <w:pStyle w:val="Footer"/>
      <w:rPr>
        <w:sz w:val="20"/>
        <w:szCs w:val="20"/>
      </w:rPr>
    </w:pPr>
    <w:r w:rsidRPr="00990D5E">
      <w:rPr>
        <w:sz w:val="20"/>
        <w:szCs w:val="20"/>
      </w:rPr>
      <w:t xml:space="preserve">DOI: </w:t>
    </w:r>
    <w:hyperlink r:id="rId1" w:history="1">
      <w:r w:rsidR="0081121F" w:rsidRPr="00574437">
        <w:rPr>
          <w:rStyle w:val="Hyperlink"/>
          <w:sz w:val="20"/>
          <w:szCs w:val="20"/>
        </w:rPr>
        <w:t>https://doi.org/10.5526/esj.372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450B" w14:textId="77777777" w:rsidR="00E77252" w:rsidRDefault="00E77252" w:rsidP="002B247D">
      <w:pPr>
        <w:spacing w:after="0" w:line="240" w:lineRule="auto"/>
      </w:pPr>
      <w:r>
        <w:separator/>
      </w:r>
    </w:p>
  </w:footnote>
  <w:footnote w:type="continuationSeparator" w:id="0">
    <w:p w14:paraId="6322AD9C" w14:textId="77777777" w:rsidR="00E77252" w:rsidRDefault="00E7725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A6B241E" w:rsidR="002B247D" w:rsidRPr="00990D5E" w:rsidRDefault="0081121F">
    <w:pPr>
      <w:pStyle w:val="Header"/>
    </w:pPr>
    <w:r w:rsidRPr="0081121F">
      <w:t>The Green Industrial Revolution and the Future of Steel Production: Using the Innovative Sheffield Cell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F32763"/>
    <w:multiLevelType w:val="hybridMultilevel"/>
    <w:tmpl w:val="75A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3783E"/>
    <w:multiLevelType w:val="hybridMultilevel"/>
    <w:tmpl w:val="43F2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2"/>
  </w:num>
  <w:num w:numId="2" w16cid:durableId="700589557">
    <w:abstractNumId w:val="4"/>
  </w:num>
  <w:num w:numId="3" w16cid:durableId="198671331">
    <w:abstractNumId w:val="0"/>
  </w:num>
  <w:num w:numId="4" w16cid:durableId="27534228">
    <w:abstractNumId w:val="3"/>
  </w:num>
  <w:num w:numId="5" w16cid:durableId="23331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450E"/>
    <w:rsid w:val="00005066"/>
    <w:rsid w:val="00006D4B"/>
    <w:rsid w:val="000074CA"/>
    <w:rsid w:val="00011CF6"/>
    <w:rsid w:val="00014E9B"/>
    <w:rsid w:val="000163EB"/>
    <w:rsid w:val="0001687F"/>
    <w:rsid w:val="00016CED"/>
    <w:rsid w:val="00022E6E"/>
    <w:rsid w:val="000243AD"/>
    <w:rsid w:val="000259CE"/>
    <w:rsid w:val="000278A2"/>
    <w:rsid w:val="000325B8"/>
    <w:rsid w:val="000332A3"/>
    <w:rsid w:val="000333FD"/>
    <w:rsid w:val="000369E1"/>
    <w:rsid w:val="0004667E"/>
    <w:rsid w:val="00050F2F"/>
    <w:rsid w:val="0005159B"/>
    <w:rsid w:val="000515B0"/>
    <w:rsid w:val="000524AA"/>
    <w:rsid w:val="00057F3F"/>
    <w:rsid w:val="00060159"/>
    <w:rsid w:val="00061C15"/>
    <w:rsid w:val="00063B76"/>
    <w:rsid w:val="00063C2C"/>
    <w:rsid w:val="0006435A"/>
    <w:rsid w:val="00064766"/>
    <w:rsid w:val="00066760"/>
    <w:rsid w:val="00067B8F"/>
    <w:rsid w:val="00070620"/>
    <w:rsid w:val="00071A38"/>
    <w:rsid w:val="00073AB9"/>
    <w:rsid w:val="00077E70"/>
    <w:rsid w:val="00080561"/>
    <w:rsid w:val="00082008"/>
    <w:rsid w:val="0008314F"/>
    <w:rsid w:val="00083282"/>
    <w:rsid w:val="000912FE"/>
    <w:rsid w:val="00092254"/>
    <w:rsid w:val="000923CC"/>
    <w:rsid w:val="0009277C"/>
    <w:rsid w:val="00092C26"/>
    <w:rsid w:val="00092EE1"/>
    <w:rsid w:val="00094E2A"/>
    <w:rsid w:val="00094F94"/>
    <w:rsid w:val="00097884"/>
    <w:rsid w:val="00097CEF"/>
    <w:rsid w:val="000A22CC"/>
    <w:rsid w:val="000A3C3D"/>
    <w:rsid w:val="000A54E2"/>
    <w:rsid w:val="000B55AB"/>
    <w:rsid w:val="000B6690"/>
    <w:rsid w:val="000B7845"/>
    <w:rsid w:val="000C3554"/>
    <w:rsid w:val="000C4E01"/>
    <w:rsid w:val="000D154F"/>
    <w:rsid w:val="000D2192"/>
    <w:rsid w:val="000D3EE2"/>
    <w:rsid w:val="000D72A1"/>
    <w:rsid w:val="000E32DE"/>
    <w:rsid w:val="000F051A"/>
    <w:rsid w:val="000F56B4"/>
    <w:rsid w:val="000F5BD0"/>
    <w:rsid w:val="00100693"/>
    <w:rsid w:val="00105687"/>
    <w:rsid w:val="00106684"/>
    <w:rsid w:val="001109F2"/>
    <w:rsid w:val="00112B63"/>
    <w:rsid w:val="00112C11"/>
    <w:rsid w:val="001149CA"/>
    <w:rsid w:val="001161A4"/>
    <w:rsid w:val="001170A5"/>
    <w:rsid w:val="001232E7"/>
    <w:rsid w:val="00124A6E"/>
    <w:rsid w:val="0012603A"/>
    <w:rsid w:val="001273DE"/>
    <w:rsid w:val="001301BA"/>
    <w:rsid w:val="001302FC"/>
    <w:rsid w:val="001316BD"/>
    <w:rsid w:val="00131803"/>
    <w:rsid w:val="0013630A"/>
    <w:rsid w:val="0013692C"/>
    <w:rsid w:val="001431CF"/>
    <w:rsid w:val="001463E9"/>
    <w:rsid w:val="00146B7A"/>
    <w:rsid w:val="00147CDD"/>
    <w:rsid w:val="00150C83"/>
    <w:rsid w:val="001521CC"/>
    <w:rsid w:val="00152E1C"/>
    <w:rsid w:val="00154AD0"/>
    <w:rsid w:val="001559E4"/>
    <w:rsid w:val="00155DB5"/>
    <w:rsid w:val="00156B63"/>
    <w:rsid w:val="00160B7C"/>
    <w:rsid w:val="00160E44"/>
    <w:rsid w:val="001622C4"/>
    <w:rsid w:val="00163920"/>
    <w:rsid w:val="00165157"/>
    <w:rsid w:val="001657D4"/>
    <w:rsid w:val="0016730B"/>
    <w:rsid w:val="0017295C"/>
    <w:rsid w:val="00174645"/>
    <w:rsid w:val="00180E98"/>
    <w:rsid w:val="00187A61"/>
    <w:rsid w:val="00192B1A"/>
    <w:rsid w:val="001944FA"/>
    <w:rsid w:val="001948DA"/>
    <w:rsid w:val="00196F28"/>
    <w:rsid w:val="001979E7"/>
    <w:rsid w:val="001A2E46"/>
    <w:rsid w:val="001A3544"/>
    <w:rsid w:val="001A5F97"/>
    <w:rsid w:val="001A5FCF"/>
    <w:rsid w:val="001B11A9"/>
    <w:rsid w:val="001B175B"/>
    <w:rsid w:val="001B3FF9"/>
    <w:rsid w:val="001B7E9B"/>
    <w:rsid w:val="001C31D2"/>
    <w:rsid w:val="001C64D9"/>
    <w:rsid w:val="001D621E"/>
    <w:rsid w:val="001D7306"/>
    <w:rsid w:val="001E5856"/>
    <w:rsid w:val="001F1DDA"/>
    <w:rsid w:val="001F660A"/>
    <w:rsid w:val="001F6F73"/>
    <w:rsid w:val="00203A86"/>
    <w:rsid w:val="00206151"/>
    <w:rsid w:val="00212EEA"/>
    <w:rsid w:val="00215E89"/>
    <w:rsid w:val="002167D1"/>
    <w:rsid w:val="00216C5A"/>
    <w:rsid w:val="002178FF"/>
    <w:rsid w:val="00221F4A"/>
    <w:rsid w:val="002227A9"/>
    <w:rsid w:val="0022444F"/>
    <w:rsid w:val="00226934"/>
    <w:rsid w:val="00227742"/>
    <w:rsid w:val="00227C8D"/>
    <w:rsid w:val="002323C5"/>
    <w:rsid w:val="00234B6F"/>
    <w:rsid w:val="00234F6E"/>
    <w:rsid w:val="00240A04"/>
    <w:rsid w:val="00240FC1"/>
    <w:rsid w:val="00242814"/>
    <w:rsid w:val="002439A7"/>
    <w:rsid w:val="00251215"/>
    <w:rsid w:val="002517D4"/>
    <w:rsid w:val="00254A5E"/>
    <w:rsid w:val="00255734"/>
    <w:rsid w:val="00261006"/>
    <w:rsid w:val="00261B83"/>
    <w:rsid w:val="00263DD7"/>
    <w:rsid w:val="00264669"/>
    <w:rsid w:val="00284C22"/>
    <w:rsid w:val="00286960"/>
    <w:rsid w:val="00290B83"/>
    <w:rsid w:val="00290D87"/>
    <w:rsid w:val="002974DC"/>
    <w:rsid w:val="002A3987"/>
    <w:rsid w:val="002A3C1D"/>
    <w:rsid w:val="002A6102"/>
    <w:rsid w:val="002A6DD4"/>
    <w:rsid w:val="002B08AC"/>
    <w:rsid w:val="002B247D"/>
    <w:rsid w:val="002B3850"/>
    <w:rsid w:val="002B75F1"/>
    <w:rsid w:val="002C2942"/>
    <w:rsid w:val="002C4402"/>
    <w:rsid w:val="002C4464"/>
    <w:rsid w:val="002C4DB1"/>
    <w:rsid w:val="002C7AC5"/>
    <w:rsid w:val="002D05A3"/>
    <w:rsid w:val="002D269D"/>
    <w:rsid w:val="002D269E"/>
    <w:rsid w:val="002E0C41"/>
    <w:rsid w:val="002E1AF3"/>
    <w:rsid w:val="002E375D"/>
    <w:rsid w:val="002E3823"/>
    <w:rsid w:val="002F1567"/>
    <w:rsid w:val="002F17D6"/>
    <w:rsid w:val="002F20BC"/>
    <w:rsid w:val="002F2996"/>
    <w:rsid w:val="002F2BF6"/>
    <w:rsid w:val="002F5317"/>
    <w:rsid w:val="00300B12"/>
    <w:rsid w:val="00301604"/>
    <w:rsid w:val="00302BB7"/>
    <w:rsid w:val="00306F90"/>
    <w:rsid w:val="00313E93"/>
    <w:rsid w:val="0032249A"/>
    <w:rsid w:val="003247B7"/>
    <w:rsid w:val="00325B6F"/>
    <w:rsid w:val="00325E64"/>
    <w:rsid w:val="00331418"/>
    <w:rsid w:val="003344D7"/>
    <w:rsid w:val="00334C56"/>
    <w:rsid w:val="00335D62"/>
    <w:rsid w:val="0033640F"/>
    <w:rsid w:val="00337D61"/>
    <w:rsid w:val="00345D40"/>
    <w:rsid w:val="00351136"/>
    <w:rsid w:val="00355445"/>
    <w:rsid w:val="00356322"/>
    <w:rsid w:val="0035767C"/>
    <w:rsid w:val="003602DA"/>
    <w:rsid w:val="003611DF"/>
    <w:rsid w:val="003644F5"/>
    <w:rsid w:val="00367060"/>
    <w:rsid w:val="0036722D"/>
    <w:rsid w:val="0037115B"/>
    <w:rsid w:val="00374289"/>
    <w:rsid w:val="00374E3A"/>
    <w:rsid w:val="00377656"/>
    <w:rsid w:val="00385102"/>
    <w:rsid w:val="00396BEC"/>
    <w:rsid w:val="00397E61"/>
    <w:rsid w:val="003A3470"/>
    <w:rsid w:val="003A3933"/>
    <w:rsid w:val="003A3EE9"/>
    <w:rsid w:val="003B10BD"/>
    <w:rsid w:val="003B69AF"/>
    <w:rsid w:val="003B6D18"/>
    <w:rsid w:val="003B7CB5"/>
    <w:rsid w:val="003C0C5F"/>
    <w:rsid w:val="003C2B13"/>
    <w:rsid w:val="003D083D"/>
    <w:rsid w:val="003E033C"/>
    <w:rsid w:val="003E06B1"/>
    <w:rsid w:val="003E11E4"/>
    <w:rsid w:val="003E256D"/>
    <w:rsid w:val="003E6BDB"/>
    <w:rsid w:val="003F272B"/>
    <w:rsid w:val="003F3860"/>
    <w:rsid w:val="003F6A3F"/>
    <w:rsid w:val="0040143B"/>
    <w:rsid w:val="0040775F"/>
    <w:rsid w:val="00410577"/>
    <w:rsid w:val="00411E85"/>
    <w:rsid w:val="00414D60"/>
    <w:rsid w:val="00415D33"/>
    <w:rsid w:val="004162E9"/>
    <w:rsid w:val="00416C0D"/>
    <w:rsid w:val="00424AEB"/>
    <w:rsid w:val="00424B2C"/>
    <w:rsid w:val="004332F5"/>
    <w:rsid w:val="00433875"/>
    <w:rsid w:val="00437113"/>
    <w:rsid w:val="00442D88"/>
    <w:rsid w:val="0044553D"/>
    <w:rsid w:val="0045414F"/>
    <w:rsid w:val="00456C47"/>
    <w:rsid w:val="00456FB4"/>
    <w:rsid w:val="004579CA"/>
    <w:rsid w:val="0047057B"/>
    <w:rsid w:val="00473D11"/>
    <w:rsid w:val="00476318"/>
    <w:rsid w:val="00476C1D"/>
    <w:rsid w:val="00480248"/>
    <w:rsid w:val="00485612"/>
    <w:rsid w:val="0048577F"/>
    <w:rsid w:val="004874F6"/>
    <w:rsid w:val="00487E29"/>
    <w:rsid w:val="00490A2D"/>
    <w:rsid w:val="004910E7"/>
    <w:rsid w:val="00495D67"/>
    <w:rsid w:val="00496FCC"/>
    <w:rsid w:val="004973D9"/>
    <w:rsid w:val="004A080D"/>
    <w:rsid w:val="004A2DDF"/>
    <w:rsid w:val="004A435D"/>
    <w:rsid w:val="004A50D8"/>
    <w:rsid w:val="004A63E1"/>
    <w:rsid w:val="004A775A"/>
    <w:rsid w:val="004B18DE"/>
    <w:rsid w:val="004B2698"/>
    <w:rsid w:val="004B3C19"/>
    <w:rsid w:val="004B59A0"/>
    <w:rsid w:val="004B5CCD"/>
    <w:rsid w:val="004C0C69"/>
    <w:rsid w:val="004C37A1"/>
    <w:rsid w:val="004C4101"/>
    <w:rsid w:val="004C5242"/>
    <w:rsid w:val="004D0F4C"/>
    <w:rsid w:val="004D3619"/>
    <w:rsid w:val="004D44DF"/>
    <w:rsid w:val="004D64DA"/>
    <w:rsid w:val="004D6EA0"/>
    <w:rsid w:val="004D7E58"/>
    <w:rsid w:val="004E1990"/>
    <w:rsid w:val="004E233D"/>
    <w:rsid w:val="004E2662"/>
    <w:rsid w:val="004F0B6D"/>
    <w:rsid w:val="004F192E"/>
    <w:rsid w:val="004F3C6C"/>
    <w:rsid w:val="004F54C4"/>
    <w:rsid w:val="004F7DB6"/>
    <w:rsid w:val="00500436"/>
    <w:rsid w:val="005026E6"/>
    <w:rsid w:val="0050332E"/>
    <w:rsid w:val="00503DF4"/>
    <w:rsid w:val="005056F1"/>
    <w:rsid w:val="00506B4C"/>
    <w:rsid w:val="00513228"/>
    <w:rsid w:val="00513B1F"/>
    <w:rsid w:val="005146D0"/>
    <w:rsid w:val="0051565E"/>
    <w:rsid w:val="0051653B"/>
    <w:rsid w:val="00516726"/>
    <w:rsid w:val="00516CBC"/>
    <w:rsid w:val="005176B5"/>
    <w:rsid w:val="0052380E"/>
    <w:rsid w:val="005243A9"/>
    <w:rsid w:val="00527CCE"/>
    <w:rsid w:val="00527EDC"/>
    <w:rsid w:val="00527FE0"/>
    <w:rsid w:val="005315C0"/>
    <w:rsid w:val="005364B0"/>
    <w:rsid w:val="0054156C"/>
    <w:rsid w:val="00542626"/>
    <w:rsid w:val="005435C8"/>
    <w:rsid w:val="005445DF"/>
    <w:rsid w:val="005478AB"/>
    <w:rsid w:val="00552720"/>
    <w:rsid w:val="00554C8D"/>
    <w:rsid w:val="00556E82"/>
    <w:rsid w:val="00563FCB"/>
    <w:rsid w:val="00564E51"/>
    <w:rsid w:val="005655F3"/>
    <w:rsid w:val="00567045"/>
    <w:rsid w:val="00570C42"/>
    <w:rsid w:val="005714F3"/>
    <w:rsid w:val="00575297"/>
    <w:rsid w:val="00581352"/>
    <w:rsid w:val="0058403C"/>
    <w:rsid w:val="00584821"/>
    <w:rsid w:val="00584BBC"/>
    <w:rsid w:val="00585067"/>
    <w:rsid w:val="00586ACA"/>
    <w:rsid w:val="005912D9"/>
    <w:rsid w:val="00594542"/>
    <w:rsid w:val="0059644D"/>
    <w:rsid w:val="00596597"/>
    <w:rsid w:val="0059742E"/>
    <w:rsid w:val="005A2EDC"/>
    <w:rsid w:val="005A5A02"/>
    <w:rsid w:val="005A62C4"/>
    <w:rsid w:val="005A6FF7"/>
    <w:rsid w:val="005A70E2"/>
    <w:rsid w:val="005B185D"/>
    <w:rsid w:val="005B31B6"/>
    <w:rsid w:val="005B39B8"/>
    <w:rsid w:val="005B3BF9"/>
    <w:rsid w:val="005B57B1"/>
    <w:rsid w:val="005B754A"/>
    <w:rsid w:val="005C1B0B"/>
    <w:rsid w:val="005C29E9"/>
    <w:rsid w:val="005C57C3"/>
    <w:rsid w:val="005C5DCC"/>
    <w:rsid w:val="005C6411"/>
    <w:rsid w:val="005C74C0"/>
    <w:rsid w:val="005D1B23"/>
    <w:rsid w:val="005D1CC1"/>
    <w:rsid w:val="005D26B7"/>
    <w:rsid w:val="005D2AE1"/>
    <w:rsid w:val="005D33D8"/>
    <w:rsid w:val="005D3575"/>
    <w:rsid w:val="005D531E"/>
    <w:rsid w:val="005D7F6B"/>
    <w:rsid w:val="005F22AF"/>
    <w:rsid w:val="005F3B24"/>
    <w:rsid w:val="005F41BB"/>
    <w:rsid w:val="005F44F8"/>
    <w:rsid w:val="0060608E"/>
    <w:rsid w:val="006061D7"/>
    <w:rsid w:val="006072D3"/>
    <w:rsid w:val="00613682"/>
    <w:rsid w:val="0062185A"/>
    <w:rsid w:val="00621D16"/>
    <w:rsid w:val="006247DB"/>
    <w:rsid w:val="00624C9E"/>
    <w:rsid w:val="00624CE0"/>
    <w:rsid w:val="00624E99"/>
    <w:rsid w:val="006260D8"/>
    <w:rsid w:val="006277EE"/>
    <w:rsid w:val="00627C78"/>
    <w:rsid w:val="0063017F"/>
    <w:rsid w:val="006318D2"/>
    <w:rsid w:val="0063395C"/>
    <w:rsid w:val="00635DFF"/>
    <w:rsid w:val="0063722A"/>
    <w:rsid w:val="00637440"/>
    <w:rsid w:val="00642356"/>
    <w:rsid w:val="00644453"/>
    <w:rsid w:val="00650CC4"/>
    <w:rsid w:val="00653223"/>
    <w:rsid w:val="00654B02"/>
    <w:rsid w:val="00654F46"/>
    <w:rsid w:val="00663672"/>
    <w:rsid w:val="00665112"/>
    <w:rsid w:val="0067110E"/>
    <w:rsid w:val="00681DB1"/>
    <w:rsid w:val="006840EC"/>
    <w:rsid w:val="006863B0"/>
    <w:rsid w:val="0068771C"/>
    <w:rsid w:val="006909F0"/>
    <w:rsid w:val="00690A2E"/>
    <w:rsid w:val="00695577"/>
    <w:rsid w:val="00695F35"/>
    <w:rsid w:val="006A380A"/>
    <w:rsid w:val="006A66A3"/>
    <w:rsid w:val="006B4875"/>
    <w:rsid w:val="006B4CF0"/>
    <w:rsid w:val="006C108F"/>
    <w:rsid w:val="006C392A"/>
    <w:rsid w:val="006D0C69"/>
    <w:rsid w:val="006D2408"/>
    <w:rsid w:val="006D4C2B"/>
    <w:rsid w:val="006D7660"/>
    <w:rsid w:val="006E15DC"/>
    <w:rsid w:val="006E1C3A"/>
    <w:rsid w:val="006E53CA"/>
    <w:rsid w:val="006E7597"/>
    <w:rsid w:val="006F360D"/>
    <w:rsid w:val="006F3D96"/>
    <w:rsid w:val="006F7358"/>
    <w:rsid w:val="00710BB0"/>
    <w:rsid w:val="007115CF"/>
    <w:rsid w:val="00712F0E"/>
    <w:rsid w:val="00713BD0"/>
    <w:rsid w:val="00714D29"/>
    <w:rsid w:val="007158B1"/>
    <w:rsid w:val="007160C9"/>
    <w:rsid w:val="00720FF8"/>
    <w:rsid w:val="0072386C"/>
    <w:rsid w:val="00724086"/>
    <w:rsid w:val="007251B6"/>
    <w:rsid w:val="00725EFC"/>
    <w:rsid w:val="007300D8"/>
    <w:rsid w:val="00734F5F"/>
    <w:rsid w:val="00735269"/>
    <w:rsid w:val="00735690"/>
    <w:rsid w:val="007364C8"/>
    <w:rsid w:val="00737741"/>
    <w:rsid w:val="00737C59"/>
    <w:rsid w:val="00740EDC"/>
    <w:rsid w:val="00744AC6"/>
    <w:rsid w:val="007451B1"/>
    <w:rsid w:val="0074751C"/>
    <w:rsid w:val="00767767"/>
    <w:rsid w:val="00775ABE"/>
    <w:rsid w:val="0077626A"/>
    <w:rsid w:val="007770C8"/>
    <w:rsid w:val="00780605"/>
    <w:rsid w:val="00782CC3"/>
    <w:rsid w:val="00787612"/>
    <w:rsid w:val="00787DA4"/>
    <w:rsid w:val="00787E11"/>
    <w:rsid w:val="00787F9A"/>
    <w:rsid w:val="00793250"/>
    <w:rsid w:val="00793F85"/>
    <w:rsid w:val="00796F04"/>
    <w:rsid w:val="00796FE7"/>
    <w:rsid w:val="007A202B"/>
    <w:rsid w:val="007A2637"/>
    <w:rsid w:val="007A6113"/>
    <w:rsid w:val="007A6F2E"/>
    <w:rsid w:val="007B0B3B"/>
    <w:rsid w:val="007B2F6E"/>
    <w:rsid w:val="007B7282"/>
    <w:rsid w:val="007C0744"/>
    <w:rsid w:val="007C40B0"/>
    <w:rsid w:val="007C6896"/>
    <w:rsid w:val="007C6A2A"/>
    <w:rsid w:val="007C7D32"/>
    <w:rsid w:val="007D3D54"/>
    <w:rsid w:val="007D6011"/>
    <w:rsid w:val="007D61DB"/>
    <w:rsid w:val="007E0A22"/>
    <w:rsid w:val="007E7F42"/>
    <w:rsid w:val="007F623E"/>
    <w:rsid w:val="007F6B9F"/>
    <w:rsid w:val="008008AC"/>
    <w:rsid w:val="00801E96"/>
    <w:rsid w:val="00801F0C"/>
    <w:rsid w:val="008046AC"/>
    <w:rsid w:val="0080507C"/>
    <w:rsid w:val="00805647"/>
    <w:rsid w:val="00805E5D"/>
    <w:rsid w:val="0081121F"/>
    <w:rsid w:val="008148BC"/>
    <w:rsid w:val="0082701F"/>
    <w:rsid w:val="0083184D"/>
    <w:rsid w:val="00832B01"/>
    <w:rsid w:val="00837C01"/>
    <w:rsid w:val="00842037"/>
    <w:rsid w:val="0084297D"/>
    <w:rsid w:val="00843737"/>
    <w:rsid w:val="00845D64"/>
    <w:rsid w:val="0084775F"/>
    <w:rsid w:val="00847E7C"/>
    <w:rsid w:val="00851416"/>
    <w:rsid w:val="00860E06"/>
    <w:rsid w:val="00862E2E"/>
    <w:rsid w:val="00866FE4"/>
    <w:rsid w:val="00871715"/>
    <w:rsid w:val="0087232E"/>
    <w:rsid w:val="0087469B"/>
    <w:rsid w:val="00885E5F"/>
    <w:rsid w:val="00887027"/>
    <w:rsid w:val="00891AE4"/>
    <w:rsid w:val="008936D5"/>
    <w:rsid w:val="008943D9"/>
    <w:rsid w:val="008949BE"/>
    <w:rsid w:val="00897047"/>
    <w:rsid w:val="008A64C4"/>
    <w:rsid w:val="008B393E"/>
    <w:rsid w:val="008B76FC"/>
    <w:rsid w:val="008C16FE"/>
    <w:rsid w:val="008C4974"/>
    <w:rsid w:val="008C5725"/>
    <w:rsid w:val="008C57E5"/>
    <w:rsid w:val="008D10EE"/>
    <w:rsid w:val="008D1600"/>
    <w:rsid w:val="008D1F98"/>
    <w:rsid w:val="008D3821"/>
    <w:rsid w:val="008D7BD3"/>
    <w:rsid w:val="008E0EF6"/>
    <w:rsid w:val="008E394F"/>
    <w:rsid w:val="008E3BE6"/>
    <w:rsid w:val="008E63F3"/>
    <w:rsid w:val="008F1418"/>
    <w:rsid w:val="008F2ACA"/>
    <w:rsid w:val="008F7644"/>
    <w:rsid w:val="008F76EE"/>
    <w:rsid w:val="008F7F94"/>
    <w:rsid w:val="00906120"/>
    <w:rsid w:val="009068AB"/>
    <w:rsid w:val="00911BAC"/>
    <w:rsid w:val="00912FF7"/>
    <w:rsid w:val="009131C0"/>
    <w:rsid w:val="009148A9"/>
    <w:rsid w:val="009175D8"/>
    <w:rsid w:val="00917F27"/>
    <w:rsid w:val="009208FA"/>
    <w:rsid w:val="009209B0"/>
    <w:rsid w:val="00921523"/>
    <w:rsid w:val="00922BD1"/>
    <w:rsid w:val="00923C4C"/>
    <w:rsid w:val="00923FA1"/>
    <w:rsid w:val="00926176"/>
    <w:rsid w:val="00930090"/>
    <w:rsid w:val="009311B8"/>
    <w:rsid w:val="00932280"/>
    <w:rsid w:val="009375AB"/>
    <w:rsid w:val="0094339F"/>
    <w:rsid w:val="009470E6"/>
    <w:rsid w:val="00954036"/>
    <w:rsid w:val="009559FE"/>
    <w:rsid w:val="0095602A"/>
    <w:rsid w:val="0095679E"/>
    <w:rsid w:val="009604BF"/>
    <w:rsid w:val="009660DC"/>
    <w:rsid w:val="00966324"/>
    <w:rsid w:val="009709C6"/>
    <w:rsid w:val="00974DBC"/>
    <w:rsid w:val="00977B80"/>
    <w:rsid w:val="00981B50"/>
    <w:rsid w:val="00982256"/>
    <w:rsid w:val="0099044E"/>
    <w:rsid w:val="00990D5E"/>
    <w:rsid w:val="00990DCF"/>
    <w:rsid w:val="00991761"/>
    <w:rsid w:val="00995245"/>
    <w:rsid w:val="00996C9F"/>
    <w:rsid w:val="00997F15"/>
    <w:rsid w:val="009A0883"/>
    <w:rsid w:val="009A09BE"/>
    <w:rsid w:val="009A16AE"/>
    <w:rsid w:val="009A24C0"/>
    <w:rsid w:val="009A4072"/>
    <w:rsid w:val="009A43F9"/>
    <w:rsid w:val="009A4788"/>
    <w:rsid w:val="009A7A35"/>
    <w:rsid w:val="009B1EB0"/>
    <w:rsid w:val="009B4B59"/>
    <w:rsid w:val="009C10A8"/>
    <w:rsid w:val="009C592F"/>
    <w:rsid w:val="009D1EFF"/>
    <w:rsid w:val="009D2CEA"/>
    <w:rsid w:val="009D2D6B"/>
    <w:rsid w:val="009D3494"/>
    <w:rsid w:val="009E26F7"/>
    <w:rsid w:val="009E6A0E"/>
    <w:rsid w:val="009F047B"/>
    <w:rsid w:val="009F1BF8"/>
    <w:rsid w:val="009F273C"/>
    <w:rsid w:val="009F7B92"/>
    <w:rsid w:val="00A10993"/>
    <w:rsid w:val="00A1130E"/>
    <w:rsid w:val="00A113A6"/>
    <w:rsid w:val="00A11B3F"/>
    <w:rsid w:val="00A15397"/>
    <w:rsid w:val="00A158E5"/>
    <w:rsid w:val="00A1751E"/>
    <w:rsid w:val="00A17F58"/>
    <w:rsid w:val="00A20501"/>
    <w:rsid w:val="00A20C75"/>
    <w:rsid w:val="00A2243B"/>
    <w:rsid w:val="00A24B82"/>
    <w:rsid w:val="00A25D1D"/>
    <w:rsid w:val="00A27182"/>
    <w:rsid w:val="00A300EF"/>
    <w:rsid w:val="00A31456"/>
    <w:rsid w:val="00A3652D"/>
    <w:rsid w:val="00A434C1"/>
    <w:rsid w:val="00A4449B"/>
    <w:rsid w:val="00A45955"/>
    <w:rsid w:val="00A468D2"/>
    <w:rsid w:val="00A473FC"/>
    <w:rsid w:val="00A5072D"/>
    <w:rsid w:val="00A50852"/>
    <w:rsid w:val="00A50E28"/>
    <w:rsid w:val="00A53703"/>
    <w:rsid w:val="00A538B5"/>
    <w:rsid w:val="00A55EA2"/>
    <w:rsid w:val="00A602DF"/>
    <w:rsid w:val="00A607AC"/>
    <w:rsid w:val="00A65A62"/>
    <w:rsid w:val="00A7327A"/>
    <w:rsid w:val="00A73365"/>
    <w:rsid w:val="00A7376D"/>
    <w:rsid w:val="00A73B89"/>
    <w:rsid w:val="00A77927"/>
    <w:rsid w:val="00A77EB7"/>
    <w:rsid w:val="00A83C5A"/>
    <w:rsid w:val="00A83E45"/>
    <w:rsid w:val="00A86DA2"/>
    <w:rsid w:val="00A87F2E"/>
    <w:rsid w:val="00A90199"/>
    <w:rsid w:val="00A91B7D"/>
    <w:rsid w:val="00A97619"/>
    <w:rsid w:val="00AB3051"/>
    <w:rsid w:val="00AB3C15"/>
    <w:rsid w:val="00AC10FA"/>
    <w:rsid w:val="00AC12C4"/>
    <w:rsid w:val="00AC15D7"/>
    <w:rsid w:val="00AC4722"/>
    <w:rsid w:val="00AE0747"/>
    <w:rsid w:val="00AE786F"/>
    <w:rsid w:val="00AF0B91"/>
    <w:rsid w:val="00AF0CFF"/>
    <w:rsid w:val="00AF12B2"/>
    <w:rsid w:val="00AF7A5E"/>
    <w:rsid w:val="00B00423"/>
    <w:rsid w:val="00B004F6"/>
    <w:rsid w:val="00B05F87"/>
    <w:rsid w:val="00B07482"/>
    <w:rsid w:val="00B0755F"/>
    <w:rsid w:val="00B13289"/>
    <w:rsid w:val="00B237A0"/>
    <w:rsid w:val="00B23FC6"/>
    <w:rsid w:val="00B27760"/>
    <w:rsid w:val="00B27789"/>
    <w:rsid w:val="00B27E84"/>
    <w:rsid w:val="00B322FB"/>
    <w:rsid w:val="00B358A4"/>
    <w:rsid w:val="00B419D6"/>
    <w:rsid w:val="00B438BB"/>
    <w:rsid w:val="00B45D8B"/>
    <w:rsid w:val="00B46256"/>
    <w:rsid w:val="00B46614"/>
    <w:rsid w:val="00B479F3"/>
    <w:rsid w:val="00B50A9A"/>
    <w:rsid w:val="00B5151B"/>
    <w:rsid w:val="00B51F2C"/>
    <w:rsid w:val="00B521D0"/>
    <w:rsid w:val="00B52829"/>
    <w:rsid w:val="00B53200"/>
    <w:rsid w:val="00B55349"/>
    <w:rsid w:val="00B572FE"/>
    <w:rsid w:val="00B62C27"/>
    <w:rsid w:val="00B64663"/>
    <w:rsid w:val="00B71AB4"/>
    <w:rsid w:val="00B71B27"/>
    <w:rsid w:val="00B731A0"/>
    <w:rsid w:val="00B746E3"/>
    <w:rsid w:val="00B7647A"/>
    <w:rsid w:val="00B76C1A"/>
    <w:rsid w:val="00B77266"/>
    <w:rsid w:val="00B83BFA"/>
    <w:rsid w:val="00B84291"/>
    <w:rsid w:val="00B847F4"/>
    <w:rsid w:val="00B859B8"/>
    <w:rsid w:val="00B871FF"/>
    <w:rsid w:val="00B91FA3"/>
    <w:rsid w:val="00B9270C"/>
    <w:rsid w:val="00B94643"/>
    <w:rsid w:val="00B967F6"/>
    <w:rsid w:val="00BA00AC"/>
    <w:rsid w:val="00BA0319"/>
    <w:rsid w:val="00BA7CF4"/>
    <w:rsid w:val="00BB1D6F"/>
    <w:rsid w:val="00BB53A7"/>
    <w:rsid w:val="00BB6F59"/>
    <w:rsid w:val="00BB70FD"/>
    <w:rsid w:val="00BC0345"/>
    <w:rsid w:val="00BC0C64"/>
    <w:rsid w:val="00BC2E1C"/>
    <w:rsid w:val="00BD6138"/>
    <w:rsid w:val="00BD7438"/>
    <w:rsid w:val="00BE0921"/>
    <w:rsid w:val="00BE4ED5"/>
    <w:rsid w:val="00BE6334"/>
    <w:rsid w:val="00BF3583"/>
    <w:rsid w:val="00BF5477"/>
    <w:rsid w:val="00C02289"/>
    <w:rsid w:val="00C039AE"/>
    <w:rsid w:val="00C039C2"/>
    <w:rsid w:val="00C076FA"/>
    <w:rsid w:val="00C07F32"/>
    <w:rsid w:val="00C113AB"/>
    <w:rsid w:val="00C11672"/>
    <w:rsid w:val="00C11A20"/>
    <w:rsid w:val="00C14209"/>
    <w:rsid w:val="00C14BEC"/>
    <w:rsid w:val="00C14E13"/>
    <w:rsid w:val="00C15546"/>
    <w:rsid w:val="00C15723"/>
    <w:rsid w:val="00C16DA0"/>
    <w:rsid w:val="00C21B5F"/>
    <w:rsid w:val="00C23E70"/>
    <w:rsid w:val="00C30FD0"/>
    <w:rsid w:val="00C32DF2"/>
    <w:rsid w:val="00C332EE"/>
    <w:rsid w:val="00C33E93"/>
    <w:rsid w:val="00C4128C"/>
    <w:rsid w:val="00C43285"/>
    <w:rsid w:val="00C5029C"/>
    <w:rsid w:val="00C55269"/>
    <w:rsid w:val="00C6202E"/>
    <w:rsid w:val="00C716B0"/>
    <w:rsid w:val="00C71FE9"/>
    <w:rsid w:val="00C73848"/>
    <w:rsid w:val="00C74E9F"/>
    <w:rsid w:val="00C758C6"/>
    <w:rsid w:val="00C81A26"/>
    <w:rsid w:val="00C841BE"/>
    <w:rsid w:val="00C84F0A"/>
    <w:rsid w:val="00C90D5B"/>
    <w:rsid w:val="00C923A9"/>
    <w:rsid w:val="00C92E0B"/>
    <w:rsid w:val="00CA399D"/>
    <w:rsid w:val="00CA531C"/>
    <w:rsid w:val="00CA56F1"/>
    <w:rsid w:val="00CA58E9"/>
    <w:rsid w:val="00CA6174"/>
    <w:rsid w:val="00CB02F5"/>
    <w:rsid w:val="00CB0CFD"/>
    <w:rsid w:val="00CB16EC"/>
    <w:rsid w:val="00CB180B"/>
    <w:rsid w:val="00CB1A5E"/>
    <w:rsid w:val="00CB313A"/>
    <w:rsid w:val="00CB4457"/>
    <w:rsid w:val="00CB4923"/>
    <w:rsid w:val="00CB50B0"/>
    <w:rsid w:val="00CB6138"/>
    <w:rsid w:val="00CB6211"/>
    <w:rsid w:val="00CB6F0F"/>
    <w:rsid w:val="00CB7742"/>
    <w:rsid w:val="00CB7D7B"/>
    <w:rsid w:val="00CC1B8C"/>
    <w:rsid w:val="00CC2F30"/>
    <w:rsid w:val="00CC546F"/>
    <w:rsid w:val="00CD001A"/>
    <w:rsid w:val="00CD01E6"/>
    <w:rsid w:val="00CD1424"/>
    <w:rsid w:val="00CD264E"/>
    <w:rsid w:val="00CD38AD"/>
    <w:rsid w:val="00CD3FE8"/>
    <w:rsid w:val="00CD5AAB"/>
    <w:rsid w:val="00CD60D9"/>
    <w:rsid w:val="00CE1717"/>
    <w:rsid w:val="00CE4B2F"/>
    <w:rsid w:val="00CE7105"/>
    <w:rsid w:val="00CE769D"/>
    <w:rsid w:val="00CF2436"/>
    <w:rsid w:val="00CF2708"/>
    <w:rsid w:val="00CF31A3"/>
    <w:rsid w:val="00CF3664"/>
    <w:rsid w:val="00CF4449"/>
    <w:rsid w:val="00CF58FA"/>
    <w:rsid w:val="00CF5C0C"/>
    <w:rsid w:val="00D07018"/>
    <w:rsid w:val="00D1513D"/>
    <w:rsid w:val="00D15620"/>
    <w:rsid w:val="00D17E7B"/>
    <w:rsid w:val="00D22EE9"/>
    <w:rsid w:val="00D25D7A"/>
    <w:rsid w:val="00D27333"/>
    <w:rsid w:val="00D273CE"/>
    <w:rsid w:val="00D31AD9"/>
    <w:rsid w:val="00D325C4"/>
    <w:rsid w:val="00D3472F"/>
    <w:rsid w:val="00D35A7A"/>
    <w:rsid w:val="00D405E6"/>
    <w:rsid w:val="00D44811"/>
    <w:rsid w:val="00D44AD1"/>
    <w:rsid w:val="00D4509F"/>
    <w:rsid w:val="00D45C64"/>
    <w:rsid w:val="00D51E43"/>
    <w:rsid w:val="00D5290B"/>
    <w:rsid w:val="00D52DFC"/>
    <w:rsid w:val="00D52FBF"/>
    <w:rsid w:val="00D53E1A"/>
    <w:rsid w:val="00D54022"/>
    <w:rsid w:val="00D61050"/>
    <w:rsid w:val="00D66241"/>
    <w:rsid w:val="00D702DA"/>
    <w:rsid w:val="00D75E62"/>
    <w:rsid w:val="00D772F7"/>
    <w:rsid w:val="00D80374"/>
    <w:rsid w:val="00D80D1D"/>
    <w:rsid w:val="00D94A66"/>
    <w:rsid w:val="00D9558B"/>
    <w:rsid w:val="00D967F2"/>
    <w:rsid w:val="00D9720A"/>
    <w:rsid w:val="00DA17BA"/>
    <w:rsid w:val="00DA5B6F"/>
    <w:rsid w:val="00DA7380"/>
    <w:rsid w:val="00DB1526"/>
    <w:rsid w:val="00DB16AF"/>
    <w:rsid w:val="00DB30CB"/>
    <w:rsid w:val="00DC0381"/>
    <w:rsid w:val="00DC0A93"/>
    <w:rsid w:val="00DC0CC1"/>
    <w:rsid w:val="00DC0DF9"/>
    <w:rsid w:val="00DC2DA2"/>
    <w:rsid w:val="00DC4E75"/>
    <w:rsid w:val="00DC789D"/>
    <w:rsid w:val="00DD1181"/>
    <w:rsid w:val="00DD3A0A"/>
    <w:rsid w:val="00DE2A89"/>
    <w:rsid w:val="00DE5441"/>
    <w:rsid w:val="00DE5E5E"/>
    <w:rsid w:val="00DE7E5A"/>
    <w:rsid w:val="00DF172E"/>
    <w:rsid w:val="00DF1B9F"/>
    <w:rsid w:val="00DF250D"/>
    <w:rsid w:val="00DF603C"/>
    <w:rsid w:val="00DF6685"/>
    <w:rsid w:val="00E037F0"/>
    <w:rsid w:val="00E03AF9"/>
    <w:rsid w:val="00E04BF9"/>
    <w:rsid w:val="00E0567E"/>
    <w:rsid w:val="00E07134"/>
    <w:rsid w:val="00E115AE"/>
    <w:rsid w:val="00E11E0E"/>
    <w:rsid w:val="00E11FE2"/>
    <w:rsid w:val="00E12035"/>
    <w:rsid w:val="00E1519E"/>
    <w:rsid w:val="00E16016"/>
    <w:rsid w:val="00E20D20"/>
    <w:rsid w:val="00E21557"/>
    <w:rsid w:val="00E237CE"/>
    <w:rsid w:val="00E27033"/>
    <w:rsid w:val="00E27180"/>
    <w:rsid w:val="00E30FDB"/>
    <w:rsid w:val="00E33095"/>
    <w:rsid w:val="00E344E3"/>
    <w:rsid w:val="00E34DC2"/>
    <w:rsid w:val="00E355F6"/>
    <w:rsid w:val="00E3575D"/>
    <w:rsid w:val="00E359E6"/>
    <w:rsid w:val="00E368EA"/>
    <w:rsid w:val="00E36EAF"/>
    <w:rsid w:val="00E37507"/>
    <w:rsid w:val="00E426B0"/>
    <w:rsid w:val="00E434FB"/>
    <w:rsid w:val="00E4755A"/>
    <w:rsid w:val="00E61399"/>
    <w:rsid w:val="00E61639"/>
    <w:rsid w:val="00E620BD"/>
    <w:rsid w:val="00E67D49"/>
    <w:rsid w:val="00E72317"/>
    <w:rsid w:val="00E77252"/>
    <w:rsid w:val="00E83F2A"/>
    <w:rsid w:val="00E90ABA"/>
    <w:rsid w:val="00E90D5A"/>
    <w:rsid w:val="00E932A9"/>
    <w:rsid w:val="00E94F5C"/>
    <w:rsid w:val="00EA06AB"/>
    <w:rsid w:val="00EA148F"/>
    <w:rsid w:val="00EA5E9C"/>
    <w:rsid w:val="00EA7E9F"/>
    <w:rsid w:val="00EB448E"/>
    <w:rsid w:val="00EB4D35"/>
    <w:rsid w:val="00EC150C"/>
    <w:rsid w:val="00EC15CD"/>
    <w:rsid w:val="00EC337C"/>
    <w:rsid w:val="00EC52E6"/>
    <w:rsid w:val="00EC63F6"/>
    <w:rsid w:val="00EC68AD"/>
    <w:rsid w:val="00EC7BB4"/>
    <w:rsid w:val="00ED039A"/>
    <w:rsid w:val="00ED783D"/>
    <w:rsid w:val="00EE0C18"/>
    <w:rsid w:val="00EE29FF"/>
    <w:rsid w:val="00EE38D3"/>
    <w:rsid w:val="00EE6ABE"/>
    <w:rsid w:val="00EF0728"/>
    <w:rsid w:val="00EF0D5F"/>
    <w:rsid w:val="00EF351C"/>
    <w:rsid w:val="00EF490D"/>
    <w:rsid w:val="00EF5222"/>
    <w:rsid w:val="00F035EA"/>
    <w:rsid w:val="00F03BFA"/>
    <w:rsid w:val="00F0459E"/>
    <w:rsid w:val="00F06FBA"/>
    <w:rsid w:val="00F10819"/>
    <w:rsid w:val="00F11C68"/>
    <w:rsid w:val="00F20157"/>
    <w:rsid w:val="00F20D86"/>
    <w:rsid w:val="00F22168"/>
    <w:rsid w:val="00F23FAE"/>
    <w:rsid w:val="00F23FB7"/>
    <w:rsid w:val="00F31284"/>
    <w:rsid w:val="00F32408"/>
    <w:rsid w:val="00F33824"/>
    <w:rsid w:val="00F36EAA"/>
    <w:rsid w:val="00F40A70"/>
    <w:rsid w:val="00F43063"/>
    <w:rsid w:val="00F44C18"/>
    <w:rsid w:val="00F527D8"/>
    <w:rsid w:val="00F52D64"/>
    <w:rsid w:val="00F53C17"/>
    <w:rsid w:val="00F5417D"/>
    <w:rsid w:val="00F57AE3"/>
    <w:rsid w:val="00F60A96"/>
    <w:rsid w:val="00F60EA3"/>
    <w:rsid w:val="00F666E2"/>
    <w:rsid w:val="00F677A5"/>
    <w:rsid w:val="00F71D35"/>
    <w:rsid w:val="00F730ED"/>
    <w:rsid w:val="00F80755"/>
    <w:rsid w:val="00F82995"/>
    <w:rsid w:val="00F8304C"/>
    <w:rsid w:val="00F838D0"/>
    <w:rsid w:val="00F94AB8"/>
    <w:rsid w:val="00F94ABA"/>
    <w:rsid w:val="00F9504D"/>
    <w:rsid w:val="00F95EAA"/>
    <w:rsid w:val="00F965C6"/>
    <w:rsid w:val="00FA3E5F"/>
    <w:rsid w:val="00FA6FB1"/>
    <w:rsid w:val="00FB1C19"/>
    <w:rsid w:val="00FB2635"/>
    <w:rsid w:val="00FB5C50"/>
    <w:rsid w:val="00FC4551"/>
    <w:rsid w:val="00FC77AB"/>
    <w:rsid w:val="00FD087F"/>
    <w:rsid w:val="00FE068C"/>
    <w:rsid w:val="00FE1138"/>
    <w:rsid w:val="00FE220F"/>
    <w:rsid w:val="00FE51E9"/>
    <w:rsid w:val="00FE534F"/>
    <w:rsid w:val="00FF0F11"/>
    <w:rsid w:val="00FF3200"/>
    <w:rsid w:val="00FF4828"/>
    <w:rsid w:val="00FF608A"/>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68670E60-EF0E-49DD-90FB-CA16B6C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PlaceholderText">
    <w:name w:val="Placeholder Text"/>
    <w:basedOn w:val="DefaultParagraphFont"/>
    <w:uiPriority w:val="99"/>
    <w:semiHidden/>
    <w:rsid w:val="00BB1D6F"/>
    <w:rPr>
      <w:color w:val="666666"/>
    </w:rPr>
  </w:style>
  <w:style w:type="character" w:styleId="CommentReference">
    <w:name w:val="annotation reference"/>
    <w:basedOn w:val="DefaultParagraphFont"/>
    <w:uiPriority w:val="99"/>
    <w:semiHidden/>
    <w:unhideWhenUsed/>
    <w:rsid w:val="00C039C2"/>
    <w:rPr>
      <w:sz w:val="16"/>
      <w:szCs w:val="16"/>
    </w:rPr>
  </w:style>
  <w:style w:type="paragraph" w:styleId="CommentText">
    <w:name w:val="annotation text"/>
    <w:basedOn w:val="Normal"/>
    <w:link w:val="CommentTextChar"/>
    <w:uiPriority w:val="99"/>
    <w:unhideWhenUsed/>
    <w:rsid w:val="00C039C2"/>
    <w:pPr>
      <w:spacing w:line="240" w:lineRule="auto"/>
    </w:pPr>
    <w:rPr>
      <w:sz w:val="20"/>
      <w:szCs w:val="20"/>
    </w:rPr>
  </w:style>
  <w:style w:type="character" w:customStyle="1" w:styleId="CommentTextChar">
    <w:name w:val="Comment Text Char"/>
    <w:basedOn w:val="DefaultParagraphFont"/>
    <w:link w:val="CommentText"/>
    <w:uiPriority w:val="99"/>
    <w:rsid w:val="00C039C2"/>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C039C2"/>
    <w:rPr>
      <w:b/>
      <w:bCs/>
    </w:rPr>
  </w:style>
  <w:style w:type="character" w:customStyle="1" w:styleId="CommentSubjectChar">
    <w:name w:val="Comment Subject Char"/>
    <w:basedOn w:val="CommentTextChar"/>
    <w:link w:val="CommentSubject"/>
    <w:uiPriority w:val="99"/>
    <w:semiHidden/>
    <w:rsid w:val="00C039C2"/>
    <w:rPr>
      <w:rFonts w:ascii="Sylfaen" w:hAnsi="Sylfaen"/>
      <w:b/>
      <w:bCs/>
      <w:sz w:val="20"/>
      <w:szCs w:val="20"/>
    </w:rPr>
  </w:style>
  <w:style w:type="character" w:styleId="FollowedHyperlink">
    <w:name w:val="FollowedHyperlink"/>
    <w:basedOn w:val="DefaultParagraphFont"/>
    <w:uiPriority w:val="99"/>
    <w:semiHidden/>
    <w:unhideWhenUsed/>
    <w:rsid w:val="00911BAC"/>
    <w:rPr>
      <w:color w:val="800080" w:themeColor="followedHyperlink"/>
      <w:u w:val="single"/>
    </w:rPr>
  </w:style>
  <w:style w:type="table" w:styleId="TableGrid">
    <w:name w:val="Table Grid"/>
    <w:basedOn w:val="TableNormal"/>
    <w:uiPriority w:val="59"/>
    <w:rsid w:val="0008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78A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5254805">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3599518">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19291138">
      <w:bodyDiv w:val="1"/>
      <w:marLeft w:val="0"/>
      <w:marRight w:val="0"/>
      <w:marTop w:val="0"/>
      <w:marBottom w:val="0"/>
      <w:divBdr>
        <w:top w:val="none" w:sz="0" w:space="0" w:color="auto"/>
        <w:left w:val="none" w:sz="0" w:space="0" w:color="auto"/>
        <w:bottom w:val="none" w:sz="0" w:space="0" w:color="auto"/>
        <w:right w:val="none" w:sz="0" w:space="0" w:color="auto"/>
      </w:divBdr>
      <w:divsChild>
        <w:div w:id="905993169">
          <w:marLeft w:val="0"/>
          <w:marRight w:val="0"/>
          <w:marTop w:val="0"/>
          <w:marBottom w:val="0"/>
          <w:divBdr>
            <w:top w:val="none" w:sz="0" w:space="0" w:color="auto"/>
            <w:left w:val="none" w:sz="0" w:space="0" w:color="auto"/>
            <w:bottom w:val="none" w:sz="0" w:space="0" w:color="auto"/>
            <w:right w:val="none" w:sz="0" w:space="0" w:color="auto"/>
          </w:divBdr>
        </w:div>
      </w:divsChild>
    </w:div>
    <w:div w:id="360788463">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1897144">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53334812">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68274994">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49620355">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797119">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48411518">
      <w:bodyDiv w:val="1"/>
      <w:marLeft w:val="0"/>
      <w:marRight w:val="0"/>
      <w:marTop w:val="0"/>
      <w:marBottom w:val="0"/>
      <w:divBdr>
        <w:top w:val="none" w:sz="0" w:space="0" w:color="auto"/>
        <w:left w:val="none" w:sz="0" w:space="0" w:color="auto"/>
        <w:bottom w:val="none" w:sz="0" w:space="0" w:color="auto"/>
        <w:right w:val="none" w:sz="0" w:space="0" w:color="auto"/>
      </w:divBdr>
      <w:divsChild>
        <w:div w:id="1364213582">
          <w:marLeft w:val="0"/>
          <w:marRight w:val="0"/>
          <w:marTop w:val="0"/>
          <w:marBottom w:val="0"/>
          <w:divBdr>
            <w:top w:val="none" w:sz="0" w:space="0" w:color="auto"/>
            <w:left w:val="none" w:sz="0" w:space="0" w:color="auto"/>
            <w:bottom w:val="none" w:sz="0" w:space="0" w:color="auto"/>
            <w:right w:val="none" w:sz="0" w:space="0" w:color="auto"/>
          </w:divBdr>
        </w:div>
      </w:divsChild>
    </w:div>
    <w:div w:id="1069184108">
      <w:bodyDiv w:val="1"/>
      <w:marLeft w:val="0"/>
      <w:marRight w:val="0"/>
      <w:marTop w:val="0"/>
      <w:marBottom w:val="0"/>
      <w:divBdr>
        <w:top w:val="none" w:sz="0" w:space="0" w:color="auto"/>
        <w:left w:val="none" w:sz="0" w:space="0" w:color="auto"/>
        <w:bottom w:val="none" w:sz="0" w:space="0" w:color="auto"/>
        <w:right w:val="none" w:sz="0" w:space="0" w:color="auto"/>
      </w:divBdr>
      <w:divsChild>
        <w:div w:id="2016683773">
          <w:marLeft w:val="0"/>
          <w:marRight w:val="0"/>
          <w:marTop w:val="0"/>
          <w:marBottom w:val="0"/>
          <w:divBdr>
            <w:top w:val="none" w:sz="0" w:space="0" w:color="auto"/>
            <w:left w:val="none" w:sz="0" w:space="0" w:color="auto"/>
            <w:bottom w:val="none" w:sz="0" w:space="0" w:color="auto"/>
            <w:right w:val="none" w:sz="0" w:space="0" w:color="auto"/>
          </w:divBdr>
        </w:div>
      </w:divsChild>
    </w:div>
    <w:div w:id="1131555515">
      <w:bodyDiv w:val="1"/>
      <w:marLeft w:val="0"/>
      <w:marRight w:val="0"/>
      <w:marTop w:val="0"/>
      <w:marBottom w:val="0"/>
      <w:divBdr>
        <w:top w:val="none" w:sz="0" w:space="0" w:color="auto"/>
        <w:left w:val="none" w:sz="0" w:space="0" w:color="auto"/>
        <w:bottom w:val="none" w:sz="0" w:space="0" w:color="auto"/>
        <w:right w:val="none" w:sz="0" w:space="0" w:color="auto"/>
      </w:divBdr>
    </w:div>
    <w:div w:id="113653112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83401922">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3036270">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7544917">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79227479">
      <w:bodyDiv w:val="1"/>
      <w:marLeft w:val="0"/>
      <w:marRight w:val="0"/>
      <w:marTop w:val="0"/>
      <w:marBottom w:val="0"/>
      <w:divBdr>
        <w:top w:val="none" w:sz="0" w:space="0" w:color="auto"/>
        <w:left w:val="none" w:sz="0" w:space="0" w:color="auto"/>
        <w:bottom w:val="none" w:sz="0" w:space="0" w:color="auto"/>
        <w:right w:val="none" w:sz="0" w:space="0" w:color="auto"/>
      </w:divBdr>
      <w:divsChild>
        <w:div w:id="624241586">
          <w:marLeft w:val="0"/>
          <w:marRight w:val="0"/>
          <w:marTop w:val="0"/>
          <w:marBottom w:val="0"/>
          <w:divBdr>
            <w:top w:val="none" w:sz="0" w:space="0" w:color="auto"/>
            <w:left w:val="none" w:sz="0" w:space="0" w:color="auto"/>
            <w:bottom w:val="none" w:sz="0" w:space="0" w:color="auto"/>
            <w:right w:val="none" w:sz="0" w:space="0" w:color="auto"/>
          </w:divBdr>
        </w:div>
      </w:divsChild>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30296702">
      <w:bodyDiv w:val="1"/>
      <w:marLeft w:val="0"/>
      <w:marRight w:val="0"/>
      <w:marTop w:val="0"/>
      <w:marBottom w:val="0"/>
      <w:divBdr>
        <w:top w:val="none" w:sz="0" w:space="0" w:color="auto"/>
        <w:left w:val="none" w:sz="0" w:space="0" w:color="auto"/>
        <w:bottom w:val="none" w:sz="0" w:space="0" w:color="auto"/>
        <w:right w:val="none" w:sz="0" w:space="0" w:color="auto"/>
      </w:divBdr>
      <w:divsChild>
        <w:div w:id="1500347983">
          <w:marLeft w:val="0"/>
          <w:marRight w:val="0"/>
          <w:marTop w:val="0"/>
          <w:marBottom w:val="0"/>
          <w:divBdr>
            <w:top w:val="none" w:sz="0" w:space="0" w:color="auto"/>
            <w:left w:val="none" w:sz="0" w:space="0" w:color="auto"/>
            <w:bottom w:val="none" w:sz="0" w:space="0" w:color="auto"/>
            <w:right w:val="none" w:sz="0" w:space="0" w:color="auto"/>
          </w:divBdr>
        </w:div>
      </w:divsChild>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92574790">
      <w:bodyDiv w:val="1"/>
      <w:marLeft w:val="0"/>
      <w:marRight w:val="0"/>
      <w:marTop w:val="0"/>
      <w:marBottom w:val="0"/>
      <w:divBdr>
        <w:top w:val="none" w:sz="0" w:space="0" w:color="auto"/>
        <w:left w:val="none" w:sz="0" w:space="0" w:color="auto"/>
        <w:bottom w:val="none" w:sz="0" w:space="0" w:color="auto"/>
        <w:right w:val="none" w:sz="0" w:space="0" w:color="auto"/>
      </w:divBdr>
      <w:divsChild>
        <w:div w:id="573902094">
          <w:marLeft w:val="0"/>
          <w:marRight w:val="0"/>
          <w:marTop w:val="0"/>
          <w:marBottom w:val="0"/>
          <w:divBdr>
            <w:top w:val="none" w:sz="0" w:space="0" w:color="auto"/>
            <w:left w:val="none" w:sz="0" w:space="0" w:color="auto"/>
            <w:bottom w:val="none" w:sz="0" w:space="0" w:color="auto"/>
            <w:right w:val="none" w:sz="0" w:space="0" w:color="auto"/>
          </w:divBdr>
        </w:div>
      </w:divsChild>
    </w:div>
    <w:div w:id="1966227541">
      <w:bodyDiv w:val="1"/>
      <w:marLeft w:val="0"/>
      <w:marRight w:val="0"/>
      <w:marTop w:val="0"/>
      <w:marBottom w:val="0"/>
      <w:divBdr>
        <w:top w:val="none" w:sz="0" w:space="0" w:color="auto"/>
        <w:left w:val="none" w:sz="0" w:space="0" w:color="auto"/>
        <w:bottom w:val="none" w:sz="0" w:space="0" w:color="auto"/>
        <w:right w:val="none" w:sz="0" w:space="0" w:color="auto"/>
      </w:divBdr>
      <w:divsChild>
        <w:div w:id="1852253823">
          <w:marLeft w:val="0"/>
          <w:marRight w:val="0"/>
          <w:marTop w:val="0"/>
          <w:marBottom w:val="0"/>
          <w:divBdr>
            <w:top w:val="none" w:sz="0" w:space="0" w:color="auto"/>
            <w:left w:val="none" w:sz="0" w:space="0" w:color="auto"/>
            <w:bottom w:val="none" w:sz="0" w:space="0" w:color="auto"/>
            <w:right w:val="none" w:sz="0" w:space="0" w:color="auto"/>
          </w:divBdr>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9666717">
      <w:bodyDiv w:val="1"/>
      <w:marLeft w:val="0"/>
      <w:marRight w:val="0"/>
      <w:marTop w:val="0"/>
      <w:marBottom w:val="0"/>
      <w:divBdr>
        <w:top w:val="none" w:sz="0" w:space="0" w:color="auto"/>
        <w:left w:val="none" w:sz="0" w:space="0" w:color="auto"/>
        <w:bottom w:val="none" w:sz="0" w:space="0" w:color="auto"/>
        <w:right w:val="none" w:sz="0" w:space="0" w:color="auto"/>
      </w:divBdr>
      <w:divsChild>
        <w:div w:id="1433475377">
          <w:marLeft w:val="0"/>
          <w:marRight w:val="0"/>
          <w:marTop w:val="0"/>
          <w:marBottom w:val="0"/>
          <w:divBdr>
            <w:top w:val="none" w:sz="0" w:space="0" w:color="auto"/>
            <w:left w:val="none" w:sz="0" w:space="0" w:color="auto"/>
            <w:bottom w:val="none" w:sz="0" w:space="0" w:color="auto"/>
            <w:right w:val="none" w:sz="0" w:space="0" w:color="auto"/>
          </w:divBdr>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 w:id="214414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chin.200750260" TargetMode="External"/><Relationship Id="rId18" Type="http://schemas.openxmlformats.org/officeDocument/2006/relationships/hyperlink" Target="https://doi.org/10.1016/j.biortech.2022.1275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cep.2023.109408" TargetMode="External"/><Relationship Id="rId7" Type="http://schemas.openxmlformats.org/officeDocument/2006/relationships/endnotes" Target="endnotes.xml"/><Relationship Id="rId12" Type="http://schemas.openxmlformats.org/officeDocument/2006/relationships/hyperlink" Target="https://doi.org/10.1074/jbc.ra118.001850" TargetMode="External"/><Relationship Id="rId17" Type="http://schemas.openxmlformats.org/officeDocument/2006/relationships/hyperlink" Target="https://doi.org/10.1021/cr40058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st.parliament.uk/research-briefings/post-pn-0672/" TargetMode="External"/><Relationship Id="rId20" Type="http://schemas.openxmlformats.org/officeDocument/2006/relationships/hyperlink" Target="https://doi.org/10.1038/nature105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9/ssrn.3445677" TargetMode="External"/><Relationship Id="rId24" Type="http://schemas.openxmlformats.org/officeDocument/2006/relationships/hyperlink" Target="https://doi.org/10.1002/adma.201902547" TargetMode="External"/><Relationship Id="rId5" Type="http://schemas.openxmlformats.org/officeDocument/2006/relationships/webSettings" Target="webSettings.xml"/><Relationship Id="rId15" Type="http://schemas.openxmlformats.org/officeDocument/2006/relationships/hyperlink" Target="https://doi.org/10.1016/s0969-2126(97)00313-4" TargetMode="External"/><Relationship Id="rId23" Type="http://schemas.openxmlformats.org/officeDocument/2006/relationships/hyperlink" Target="https://doi.org/10.1016/j.memsci.2021.119896" TargetMode="External"/><Relationship Id="rId28" Type="http://schemas.openxmlformats.org/officeDocument/2006/relationships/footer" Target="footer2.xml"/><Relationship Id="rId10" Type="http://schemas.openxmlformats.org/officeDocument/2006/relationships/hyperlink" Target="https://doi.org/10.1128/aem.01087-07" TargetMode="External"/><Relationship Id="rId19" Type="http://schemas.openxmlformats.org/officeDocument/2006/relationships/hyperlink" Target="https://doi.org/10.3389/fenrg.2020.596164" TargetMode="External"/><Relationship Id="rId4" Type="http://schemas.openxmlformats.org/officeDocument/2006/relationships/settings" Target="settings.xml"/><Relationship Id="rId9" Type="http://schemas.openxmlformats.org/officeDocument/2006/relationships/hyperlink" Target="https://doi.org/10.1080/14786451.2023.2217948" TargetMode="External"/><Relationship Id="rId14" Type="http://schemas.openxmlformats.org/officeDocument/2006/relationships/hyperlink" Target="https://doi.org/10.1038/nature10505" TargetMode="External"/><Relationship Id="rId22" Type="http://schemas.openxmlformats.org/officeDocument/2006/relationships/hyperlink" Target="https://doi.org/10.1016/j.pecs.2017.03.003"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The Green Industrial Revolution and the Future of Steel Production: Using the Innovative Sheffield Cell</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Industrial Revolution and the Future of Steel Production: Using the Innovative Sheffield Cell</dc:title>
  <dc:subject/>
  <dc:creator>Harris, Daniel S</dc:creator>
  <cp:keywords/>
  <dc:description/>
  <cp:lastModifiedBy>Achoki, Philip M</cp:lastModifiedBy>
  <cp:revision>2</cp:revision>
  <cp:lastPrinted>2024-11-25T10:12:00Z</cp:lastPrinted>
  <dcterms:created xsi:type="dcterms:W3CDTF">2025-03-27T08:57:00Z</dcterms:created>
  <dcterms:modified xsi:type="dcterms:W3CDTF">2025-03-27T08:57:00Z</dcterms:modified>
</cp:coreProperties>
</file>