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6CC37609" w:rsidR="00A538B5" w:rsidRPr="00A538B5" w:rsidRDefault="00536CCB" w:rsidP="00B322FB">
      <w:pPr>
        <w:pBdr>
          <w:bottom w:val="single" w:sz="4" w:space="1" w:color="auto"/>
        </w:pBdr>
        <w:tabs>
          <w:tab w:val="right" w:pos="9026"/>
        </w:tabs>
        <w:spacing w:after="160"/>
        <w:rPr>
          <w:i/>
        </w:rPr>
      </w:pPr>
      <w:r>
        <w:rPr>
          <w:i/>
        </w:rPr>
        <w:t>Research paper</w:t>
      </w:r>
      <w:r w:rsidR="00990D5E">
        <w:rPr>
          <w:i/>
        </w:rPr>
        <w:t xml:space="preserve"> </w:t>
      </w:r>
      <w:r w:rsidR="00A538B5">
        <w:rPr>
          <w:i/>
        </w:rPr>
        <w:tab/>
      </w:r>
    </w:p>
    <w:p w14:paraId="19BBC0D1" w14:textId="75FD0E42" w:rsidR="00E355F6" w:rsidRPr="00331418" w:rsidRDefault="00486A0C" w:rsidP="00B322FB">
      <w:pPr>
        <w:pStyle w:val="Title"/>
        <w:spacing w:after="160"/>
        <w:rPr>
          <w:rFonts w:ascii="Sylfaen" w:hAnsi="Sylfaen"/>
        </w:rPr>
      </w:pPr>
      <w:r>
        <w:rPr>
          <w:rFonts w:ascii="Sylfaen" w:hAnsi="Sylfaen"/>
          <w:sz w:val="48"/>
        </w:rPr>
        <w:t>Quality of Life for Individuals with Post-Stroke Dysphagia: A Narrative Literature Review and Research Proposal</w:t>
      </w:r>
    </w:p>
    <w:p w14:paraId="0736152B" w14:textId="18018B68" w:rsidR="00240FC1" w:rsidRPr="00331418" w:rsidRDefault="00486A0C" w:rsidP="00B322FB">
      <w:pPr>
        <w:spacing w:after="160" w:line="360" w:lineRule="auto"/>
      </w:pPr>
      <w:r>
        <w:t>Zainab Khatun Hussain</w:t>
      </w:r>
    </w:p>
    <w:p w14:paraId="2A35EB5D" w14:textId="79F12465"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43A5A561" w:rsidR="00240FC1" w:rsidRPr="00331418" w:rsidRDefault="00486A0C" w:rsidP="00990D5E">
      <w:pPr>
        <w:spacing w:after="160" w:line="360" w:lineRule="auto"/>
        <w:ind w:left="720"/>
        <w:jc w:val="both"/>
      </w:pPr>
      <w:r w:rsidRPr="00486A0C">
        <w:rPr>
          <w:b/>
          <w:bCs/>
        </w:rPr>
        <w:t>Introduction:</w:t>
      </w:r>
      <w:r w:rsidRPr="00486A0C">
        <w:t xml:space="preserve"> Dysphagia is the medical term for swallowing difficulties and is widely prevalent amongst stroke patients. Stroke-related dysphagia has </w:t>
      </w:r>
      <w:r>
        <w:t xml:space="preserve">been </w:t>
      </w:r>
      <w:r w:rsidRPr="00486A0C">
        <w:t xml:space="preserve">shown to impact quality of life (QoL). </w:t>
      </w:r>
      <w:r w:rsidRPr="00486A0C">
        <w:rPr>
          <w:b/>
          <w:bCs/>
        </w:rPr>
        <w:t>Aim:</w:t>
      </w:r>
      <w:r w:rsidRPr="00486A0C">
        <w:t xml:space="preserve"> To investigate the impact of dysphagia on the QoL of stroke patients. </w:t>
      </w:r>
      <w:r w:rsidRPr="00486A0C">
        <w:rPr>
          <w:b/>
          <w:bCs/>
        </w:rPr>
        <w:t>Method:</w:t>
      </w:r>
      <w:r w:rsidRPr="00486A0C">
        <w:t xml:space="preserve"> Multiple database searches were run to discover relevant peer-reviewed papers within the last decade. </w:t>
      </w:r>
      <w:r w:rsidR="00443BC9">
        <w:t>D</w:t>
      </w:r>
      <w:r w:rsidRPr="00486A0C">
        <w:t xml:space="preserve">ata </w:t>
      </w:r>
      <w:r w:rsidR="00443BC9">
        <w:t>were</w:t>
      </w:r>
      <w:r w:rsidRPr="00486A0C">
        <w:t xml:space="preserve"> analysed using the qualitative method of thematic analysis to identify common themes. </w:t>
      </w:r>
      <w:r w:rsidRPr="00486A0C">
        <w:rPr>
          <w:b/>
          <w:bCs/>
        </w:rPr>
        <w:t>Results:</w:t>
      </w:r>
      <w:r w:rsidRPr="00486A0C">
        <w:t xml:space="preserve"> A total of </w:t>
      </w:r>
      <w:r w:rsidR="00443BC9">
        <w:t>eight</w:t>
      </w:r>
      <w:r w:rsidRPr="00486A0C">
        <w:t xml:space="preserve"> papers met the inclusion criteria, identifying four common themes</w:t>
      </w:r>
      <w:r w:rsidR="00443BC9">
        <w:t>:</w:t>
      </w:r>
      <w:r w:rsidRPr="00486A0C">
        <w:t xml:space="preserve"> physiological consequences, environmental consequences, cognitive health, and adaptation and coping. </w:t>
      </w:r>
      <w:r w:rsidR="00443BC9">
        <w:t>A</w:t>
      </w:r>
      <w:r w:rsidRPr="00486A0C">
        <w:t>ll four themes were intrinsically linked, with stroke-dysphagia causing physiological consequences</w:t>
      </w:r>
      <w:r w:rsidR="00443BC9">
        <w:t>,</w:t>
      </w:r>
      <w:r w:rsidRPr="00486A0C">
        <w:t xml:space="preserve"> such as recurrent pneumonia and coughing attacks, which resulted in some participants avoiding certain environments</w:t>
      </w:r>
      <w:r>
        <w:t>,</w:t>
      </w:r>
      <w:r w:rsidRPr="00486A0C">
        <w:t xml:space="preserve"> such as social events</w:t>
      </w:r>
      <w:r>
        <w:t>,</w:t>
      </w:r>
      <w:r w:rsidRPr="00486A0C">
        <w:t xml:space="preserve"> due to feelings of embarrassment and mental fatigue. Others attempted to reintegrate into society, which created more optimistic thoughts </w:t>
      </w:r>
      <w:r>
        <w:t>and</w:t>
      </w:r>
      <w:r w:rsidRPr="00486A0C">
        <w:t xml:space="preserve"> allowed these individuals to adapt to their dysphagia, improving their mental health. </w:t>
      </w:r>
      <w:r w:rsidRPr="00486A0C">
        <w:rPr>
          <w:b/>
          <w:bCs/>
        </w:rPr>
        <w:t>Conclusion:</w:t>
      </w:r>
      <w:r w:rsidRPr="00486A0C">
        <w:t xml:space="preserve"> The QoL of stroke-related dysphagia patients can be impacted by several interconnectedness factors that could initially have a negative impact on QoL</w:t>
      </w:r>
      <w:r>
        <w:t>;</w:t>
      </w:r>
      <w:r w:rsidRPr="00486A0C">
        <w:t xml:space="preserve"> however</w:t>
      </w:r>
      <w:r>
        <w:t>,</w:t>
      </w:r>
      <w:r w:rsidRPr="00486A0C">
        <w:t xml:space="preserve"> individual</w:t>
      </w:r>
      <w:r>
        <w:t>s</w:t>
      </w:r>
      <w:r w:rsidRPr="00486A0C">
        <w:t xml:space="preserve"> can create autonomy to cope with the situation </w:t>
      </w:r>
      <w:r>
        <w:t>and</w:t>
      </w:r>
      <w:r w:rsidRPr="00486A0C">
        <w:t xml:space="preserve"> better their well-being.</w:t>
      </w:r>
    </w:p>
    <w:p w14:paraId="37B73D13" w14:textId="699F8A0A" w:rsidR="002B247D" w:rsidRDefault="00240FC1" w:rsidP="00B322FB">
      <w:pPr>
        <w:spacing w:after="160" w:line="360" w:lineRule="auto"/>
      </w:pPr>
      <w:r w:rsidRPr="00ED039A">
        <w:rPr>
          <w:rStyle w:val="Heading1Char"/>
          <w:color w:val="auto"/>
          <w:sz w:val="22"/>
        </w:rPr>
        <w:t>Keywords:</w:t>
      </w:r>
      <w:r w:rsidRPr="00331418">
        <w:t xml:space="preserve">  </w:t>
      </w:r>
      <w:r w:rsidR="00486A0C">
        <w:t>dysphagia, stroke, quality of life, well-being.</w:t>
      </w:r>
    </w:p>
    <w:p w14:paraId="5CEC8B74" w14:textId="2DBA7C26" w:rsidR="00313E93" w:rsidRPr="00331418" w:rsidRDefault="095AE28A" w:rsidP="00B322FB">
      <w:pPr>
        <w:spacing w:after="160" w:line="360" w:lineRule="auto"/>
      </w:pPr>
      <w:r w:rsidRPr="095AE28A">
        <w:rPr>
          <w:b/>
          <w:bCs/>
        </w:rPr>
        <w:t>Date of Submission:</w:t>
      </w:r>
      <w:r w:rsidRPr="095AE28A">
        <w:t xml:space="preserve"> </w:t>
      </w:r>
      <w:r w:rsidR="00486A0C">
        <w:t>28</w:t>
      </w:r>
      <w:r w:rsidRPr="095AE28A">
        <w:t>.</w:t>
      </w:r>
      <w:r w:rsidR="00486A0C">
        <w:t>09</w:t>
      </w:r>
      <w:r w:rsidRPr="095AE28A">
        <w:t>.</w:t>
      </w:r>
      <w:r w:rsidR="00486A0C">
        <w:t>2023</w:t>
      </w:r>
      <w:r w:rsidR="00313E93">
        <w:tab/>
      </w:r>
      <w:r w:rsidR="00313E93">
        <w:tab/>
      </w:r>
      <w:r w:rsidR="00313E93">
        <w:tab/>
      </w:r>
      <w:r w:rsidRPr="095AE28A">
        <w:rPr>
          <w:b/>
          <w:bCs/>
        </w:rPr>
        <w:t>Date of Acceptance:</w:t>
      </w:r>
      <w:r w:rsidRPr="095AE28A">
        <w:t xml:space="preserve"> </w:t>
      </w:r>
      <w:r w:rsidR="00486A0C">
        <w:t>08</w:t>
      </w:r>
      <w:r w:rsidRPr="095AE28A">
        <w:t>.</w:t>
      </w:r>
      <w:r w:rsidR="00486A0C">
        <w:t>01</w:t>
      </w:r>
      <w:r w:rsidRPr="095AE28A">
        <w:t>.</w:t>
      </w:r>
      <w:r w:rsidR="00486A0C">
        <w:t>2024</w:t>
      </w:r>
    </w:p>
    <w:p w14:paraId="55306EC3" w14:textId="03F9DA56" w:rsidR="095AE28A" w:rsidRDefault="095AE28A" w:rsidP="00CF5C0C"/>
    <w:p w14:paraId="16572EA0" w14:textId="095B7A2F" w:rsidR="00B45D8B" w:rsidRPr="00331418" w:rsidRDefault="00486A0C" w:rsidP="00486A0C">
      <w:pPr>
        <w:pStyle w:val="Heading2"/>
      </w:pPr>
      <w:r>
        <w:lastRenderedPageBreak/>
        <w:t>Literature Review</w:t>
      </w:r>
    </w:p>
    <w:p w14:paraId="6AB39F1E" w14:textId="07EDDC36" w:rsidR="00A10993" w:rsidRPr="00CF5C0C" w:rsidRDefault="00486A0C" w:rsidP="00CF5C0C">
      <w:pPr>
        <w:pStyle w:val="Heading3"/>
      </w:pPr>
      <w:r>
        <w:t>Introduction</w:t>
      </w:r>
    </w:p>
    <w:p w14:paraId="1B3A7D52" w14:textId="299B9F54" w:rsidR="00486A0C" w:rsidRDefault="00486A0C" w:rsidP="00486A0C">
      <w:pPr>
        <w:spacing w:before="240" w:line="360" w:lineRule="auto"/>
        <w:jc w:val="both"/>
      </w:pPr>
      <w:r>
        <w:t xml:space="preserve">Dysphagia is the medical term for swallowing difficulties (Langdon </w:t>
      </w:r>
      <w:r w:rsidR="00674826">
        <w:t>and</w:t>
      </w:r>
      <w:r>
        <w:t xml:space="preserve"> Blacker, 2010). Stroke is a condition where </w:t>
      </w:r>
      <w:r w:rsidR="00443BC9">
        <w:t xml:space="preserve">the </w:t>
      </w:r>
      <w:r>
        <w:t xml:space="preserve">blood supply to a part of the brain is disrupted (Moloney </w:t>
      </w:r>
      <w:r w:rsidR="00674826">
        <w:t>and</w:t>
      </w:r>
      <w:r>
        <w:t xml:space="preserve"> Walshe, 2017). Approximately 50% of stroke survivors have experienced dysphagia, compared to </w:t>
      </w:r>
      <w:r w:rsidR="00443BC9">
        <w:t xml:space="preserve">those with </w:t>
      </w:r>
      <w:r>
        <w:t xml:space="preserve">Parkinson’s and </w:t>
      </w:r>
      <w:r w:rsidR="00443BC9">
        <w:t>m</w:t>
      </w:r>
      <w:r>
        <w:t xml:space="preserve">ultiple </w:t>
      </w:r>
      <w:r w:rsidR="00443BC9">
        <w:t>s</w:t>
      </w:r>
      <w:r>
        <w:t xml:space="preserve">clerosis. As a result of </w:t>
      </w:r>
      <w:r w:rsidR="00443BC9">
        <w:t>the</w:t>
      </w:r>
      <w:r>
        <w:t xml:space="preserve"> high prevalence of stroke-related dysphagia, this literature review will be focusing on this client group (Stroke Association, 2021). </w:t>
      </w:r>
    </w:p>
    <w:p w14:paraId="2DE6800B" w14:textId="64071A6B" w:rsidR="00486A0C" w:rsidRDefault="00486A0C" w:rsidP="00486A0C">
      <w:pPr>
        <w:spacing w:before="240" w:line="360" w:lineRule="auto"/>
        <w:jc w:val="both"/>
      </w:pPr>
      <w:r>
        <w:t xml:space="preserve">This review will be examining the impact of dysphagia on the Quality of Life (QoL) of stroke patients by reviewing eight research papers. The World Health Organisation (2022a) defines QoL in relation to an individual’s perception of their living </w:t>
      </w:r>
      <w:r w:rsidR="00EC3D43">
        <w:t xml:space="preserve">conditions </w:t>
      </w:r>
      <w:r>
        <w:t xml:space="preserve">with regards to their expectations, concerns, </w:t>
      </w:r>
      <w:r w:rsidR="001057B8">
        <w:t>goals,</w:t>
      </w:r>
      <w:r>
        <w:t xml:space="preserve"> and standards. The significance of this question has been highlighted </w:t>
      </w:r>
      <w:r w:rsidR="00EC3D43">
        <w:t>in</w:t>
      </w:r>
      <w:r>
        <w:t xml:space="preserve"> previous studies (Carlsson </w:t>
      </w:r>
      <w:r w:rsidRPr="00674826">
        <w:rPr>
          <w:i/>
          <w:iCs/>
        </w:rPr>
        <w:t>et al</w:t>
      </w:r>
      <w:r w:rsidR="00674826">
        <w:rPr>
          <w:i/>
          <w:iCs/>
        </w:rPr>
        <w:t>.</w:t>
      </w:r>
      <w:r>
        <w:t xml:space="preserve">, 2004; </w:t>
      </w:r>
      <w:proofErr w:type="spellStart"/>
      <w:r>
        <w:t>Jacobsson</w:t>
      </w:r>
      <w:proofErr w:type="spellEnd"/>
      <w:r>
        <w:t xml:space="preserve"> </w:t>
      </w:r>
      <w:r w:rsidRPr="00674826">
        <w:rPr>
          <w:i/>
          <w:iCs/>
        </w:rPr>
        <w:t>et al</w:t>
      </w:r>
      <w:r w:rsidR="00674826">
        <w:rPr>
          <w:i/>
          <w:iCs/>
        </w:rPr>
        <w:t>.</w:t>
      </w:r>
      <w:r>
        <w:t xml:space="preserve">, 2000; </w:t>
      </w:r>
      <w:proofErr w:type="spellStart"/>
      <w:r>
        <w:t>Medin</w:t>
      </w:r>
      <w:proofErr w:type="spellEnd"/>
      <w:r>
        <w:t xml:space="preserve"> </w:t>
      </w:r>
      <w:r w:rsidRPr="00674826">
        <w:rPr>
          <w:i/>
          <w:iCs/>
        </w:rPr>
        <w:t>et al</w:t>
      </w:r>
      <w:r w:rsidR="00674826">
        <w:rPr>
          <w:i/>
          <w:iCs/>
        </w:rPr>
        <w:t>.</w:t>
      </w:r>
      <w:r>
        <w:t xml:space="preserve">, 2010; Perry </w:t>
      </w:r>
      <w:r w:rsidR="00674826">
        <w:t>and</w:t>
      </w:r>
      <w:r>
        <w:t xml:space="preserve"> McLaren, 2003), which primarily focused more on dysphagia symptoms and impairment and less on QoL, </w:t>
      </w:r>
      <w:r w:rsidR="00674826">
        <w:t>suggesting</w:t>
      </w:r>
      <w:r>
        <w:t xml:space="preserve"> a possible research gap (Hellden </w:t>
      </w:r>
      <w:r w:rsidRPr="00674826">
        <w:rPr>
          <w:i/>
          <w:iCs/>
        </w:rPr>
        <w:t>et al</w:t>
      </w:r>
      <w:r w:rsidR="00674826">
        <w:t>.</w:t>
      </w:r>
      <w:r>
        <w:t>, 2018).</w:t>
      </w:r>
    </w:p>
    <w:p w14:paraId="489556A7" w14:textId="61BD3EA0" w:rsidR="00486A0C" w:rsidRDefault="00486A0C" w:rsidP="00486A0C">
      <w:pPr>
        <w:spacing w:before="240" w:line="360" w:lineRule="auto"/>
        <w:jc w:val="both"/>
      </w:pPr>
      <w:r>
        <w:t xml:space="preserve">Addressing this </w:t>
      </w:r>
      <w:r w:rsidR="00EC3D43">
        <w:t xml:space="preserve">gap </w:t>
      </w:r>
      <w:r>
        <w:t>is essential because dysphagia can negatively impact QoL</w:t>
      </w:r>
      <w:r w:rsidR="00674826">
        <w:t>.</w:t>
      </w:r>
      <w:r>
        <w:t xml:space="preserve"> </w:t>
      </w:r>
      <w:r w:rsidR="00674826">
        <w:t>F</w:t>
      </w:r>
      <w:r>
        <w:t>or example</w:t>
      </w:r>
      <w:r w:rsidR="00674826">
        <w:t>,</w:t>
      </w:r>
      <w:r>
        <w:t xml:space="preserve"> Drozdz </w:t>
      </w:r>
      <w:r w:rsidRPr="00674826">
        <w:rPr>
          <w:i/>
          <w:iCs/>
        </w:rPr>
        <w:t>et al</w:t>
      </w:r>
      <w:r w:rsidR="00674826">
        <w:rPr>
          <w:i/>
          <w:iCs/>
        </w:rPr>
        <w:t>.</w:t>
      </w:r>
      <w:r>
        <w:t xml:space="preserve"> (2014) discovered dysphagia resulted in feelings of anxiety. Moreover, Smith </w:t>
      </w:r>
      <w:r w:rsidRPr="00674826">
        <w:rPr>
          <w:i/>
          <w:iCs/>
        </w:rPr>
        <w:t>et al</w:t>
      </w:r>
      <w:r w:rsidR="00674826">
        <w:rPr>
          <w:i/>
          <w:iCs/>
        </w:rPr>
        <w:t>.</w:t>
      </w:r>
      <w:r>
        <w:t xml:space="preserve"> (2023) </w:t>
      </w:r>
      <w:r w:rsidR="00674826">
        <w:t xml:space="preserve">directly </w:t>
      </w:r>
      <w:r>
        <w:t>discovered from the views of adults with swallowing difficulties that dysphagia had reduced their physical safety when eating and drinking, which inevitably limited their choice</w:t>
      </w:r>
      <w:r w:rsidR="005309C2">
        <w:t>s</w:t>
      </w:r>
      <w:r>
        <w:t xml:space="preserve"> and control </w:t>
      </w:r>
      <w:r w:rsidR="00E85A0D">
        <w:t>overeating</w:t>
      </w:r>
      <w:r>
        <w:t>, result</w:t>
      </w:r>
      <w:r w:rsidR="00EC3D43">
        <w:t>ing</w:t>
      </w:r>
      <w:r>
        <w:t xml:space="preserve"> in poor mealtime experiences and social engagement. Clinicians can use this information to understand patient experiences </w:t>
      </w:r>
      <w:r w:rsidR="005309C2">
        <w:t>and</w:t>
      </w:r>
      <w:r>
        <w:t xml:space="preserve"> improve patient care and services, thus promoting multi-disciplinary work (Fernandez </w:t>
      </w:r>
      <w:r w:rsidRPr="00674826">
        <w:rPr>
          <w:i/>
          <w:iCs/>
        </w:rPr>
        <w:t>et al</w:t>
      </w:r>
      <w:r w:rsidR="00EC3D43">
        <w:rPr>
          <w:i/>
          <w:iCs/>
        </w:rPr>
        <w:t>.</w:t>
      </w:r>
      <w:r>
        <w:t>, 2013). This takes a person-centred and holistic approach because it encourages understanding clients beyond their impairment (</w:t>
      </w:r>
      <w:r w:rsidR="00BD2F4E" w:rsidRPr="004313AA">
        <w:rPr>
          <w:rFonts w:eastAsia="Times New Roman"/>
        </w:rPr>
        <w:t>World Health Organisation</w:t>
      </w:r>
      <w:r>
        <w:t xml:space="preserve">, 2022b). </w:t>
      </w:r>
    </w:p>
    <w:p w14:paraId="7F376F04" w14:textId="7F9B7559" w:rsidR="00486A0C" w:rsidRDefault="00486A0C" w:rsidP="00486A0C">
      <w:pPr>
        <w:spacing w:before="240" w:line="360" w:lineRule="auto"/>
        <w:jc w:val="both"/>
      </w:pPr>
      <w:r>
        <w:t xml:space="preserve">This review proposes importance within the field of Speech and Language Therapy (SLT) because professionals are favoured for providing dysphagia services, with support from an inter-professional team. Therefore, this review </w:t>
      </w:r>
      <w:r w:rsidR="005309C2">
        <w:t>aims</w:t>
      </w:r>
      <w:r>
        <w:t xml:space="preserve"> to inform clinicians about how to improve difficulties related to </w:t>
      </w:r>
      <w:r w:rsidRPr="00BD2F4E">
        <w:t>dysphagia, whether physical or psychosocial (</w:t>
      </w:r>
      <w:r w:rsidR="00BD2F4E" w:rsidRPr="00084D0D">
        <w:rPr>
          <w:rFonts w:eastAsia="Times New Roman"/>
        </w:rPr>
        <w:t>Royal College of Speech and Language Therapy</w:t>
      </w:r>
      <w:r w:rsidRPr="00BD2F4E">
        <w:t>,</w:t>
      </w:r>
      <w:r>
        <w:t xml:space="preserve"> 2021). </w:t>
      </w:r>
    </w:p>
    <w:p w14:paraId="12ECCA4D" w14:textId="154255BB" w:rsidR="00486A0C" w:rsidRDefault="00486A0C" w:rsidP="00486A0C">
      <w:pPr>
        <w:spacing w:before="240" w:line="360" w:lineRule="auto"/>
        <w:jc w:val="both"/>
      </w:pPr>
      <w:r>
        <w:lastRenderedPageBreak/>
        <w:t xml:space="preserve">A recent qualitative meta-analysis by Li </w:t>
      </w:r>
      <w:r w:rsidRPr="00EC3D43">
        <w:rPr>
          <w:i/>
          <w:iCs/>
        </w:rPr>
        <w:t>et al</w:t>
      </w:r>
      <w:r w:rsidR="00EC3D43">
        <w:rPr>
          <w:i/>
          <w:iCs/>
        </w:rPr>
        <w:t>.</w:t>
      </w:r>
      <w:r>
        <w:t xml:space="preserve"> (2021) aimed to uncover the experiences of stroke patients with dysphagia. Although this may seem similar to this literature review, it differ</w:t>
      </w:r>
      <w:r w:rsidR="005309C2">
        <w:t>ed</w:t>
      </w:r>
      <w:r>
        <w:t xml:space="preserve"> in many ways. The studies included in this review provide a more up-to-date view of the experiences of patients with stroke-related dysphagia. For example, papers within the last 10 years, up to January 2022</w:t>
      </w:r>
      <w:r w:rsidR="00EC3D43">
        <w:t>,</w:t>
      </w:r>
      <w:r>
        <w:t xml:space="preserve"> </w:t>
      </w:r>
      <w:r w:rsidR="005309C2">
        <w:t>are</w:t>
      </w:r>
      <w:r>
        <w:t xml:space="preserve"> included, whereas Li </w:t>
      </w:r>
      <w:r w:rsidR="00EC3D43" w:rsidRPr="00EC3D43">
        <w:rPr>
          <w:i/>
          <w:iCs/>
        </w:rPr>
        <w:t>et al</w:t>
      </w:r>
      <w:r w:rsidR="00EC3D43">
        <w:rPr>
          <w:i/>
          <w:iCs/>
        </w:rPr>
        <w:t>.</w:t>
      </w:r>
      <w:r w:rsidR="00EC3D43">
        <w:t xml:space="preserve"> </w:t>
      </w:r>
      <w:r>
        <w:t xml:space="preserve">(2021) included older papers. This is important because dysphagia research is continuously evolving due to advances in technology, impacting how individuals experience dysphagia, which suggests that the findings </w:t>
      </w:r>
      <w:r w:rsidR="00EC3D43">
        <w:t>published by</w:t>
      </w:r>
      <w:r>
        <w:t xml:space="preserve"> Li </w:t>
      </w:r>
      <w:r w:rsidR="00EC3D43" w:rsidRPr="00EC3D43">
        <w:rPr>
          <w:i/>
          <w:iCs/>
        </w:rPr>
        <w:t>et al</w:t>
      </w:r>
      <w:r w:rsidR="00EC3D43">
        <w:rPr>
          <w:i/>
          <w:iCs/>
        </w:rPr>
        <w:t>.</w:t>
      </w:r>
      <w:r w:rsidR="00EC3D43">
        <w:t xml:space="preserve"> </w:t>
      </w:r>
      <w:r>
        <w:t xml:space="preserve">(2021) </w:t>
      </w:r>
      <w:r w:rsidR="00EC3D43">
        <w:t>may</w:t>
      </w:r>
      <w:r>
        <w:t xml:space="preserve"> be different to </w:t>
      </w:r>
      <w:r w:rsidR="00EC3D43">
        <w:t xml:space="preserve">those in </w:t>
      </w:r>
      <w:r>
        <w:t xml:space="preserve">this review (Triggs </w:t>
      </w:r>
      <w:r w:rsidR="00EC3D43">
        <w:t>and</w:t>
      </w:r>
      <w:r>
        <w:t xml:space="preserve"> Pandolfino, 2019). This review also include</w:t>
      </w:r>
      <w:r w:rsidR="00EC3D43">
        <w:t>s</w:t>
      </w:r>
      <w:r>
        <w:t xml:space="preserve"> quantitative papers and not solely qualitative</w:t>
      </w:r>
      <w:r w:rsidR="00EC3D43">
        <w:t xml:space="preserve"> studies</w:t>
      </w:r>
      <w:r>
        <w:t xml:space="preserve">, unlike </w:t>
      </w:r>
      <w:r w:rsidR="00EC3D43">
        <w:t xml:space="preserve">that of </w:t>
      </w:r>
      <w:r>
        <w:t xml:space="preserve">Li </w:t>
      </w:r>
      <w:r w:rsidR="00EC3D43" w:rsidRPr="00EC3D43">
        <w:rPr>
          <w:i/>
          <w:iCs/>
        </w:rPr>
        <w:t>et al</w:t>
      </w:r>
      <w:r w:rsidR="00EC3D43">
        <w:rPr>
          <w:i/>
          <w:iCs/>
        </w:rPr>
        <w:t>.</w:t>
      </w:r>
      <w:r w:rsidR="00EC3D43">
        <w:t xml:space="preserve"> </w:t>
      </w:r>
      <w:r>
        <w:t>(2021), there</w:t>
      </w:r>
      <w:r w:rsidR="00EC3D43">
        <w:t>by</w:t>
      </w:r>
      <w:r>
        <w:t xml:space="preserve"> enabling broader and more thorough insight</w:t>
      </w:r>
      <w:r w:rsidR="005309C2">
        <w:t>s</w:t>
      </w:r>
      <w:r>
        <w:t xml:space="preserve"> into QoL.</w:t>
      </w:r>
    </w:p>
    <w:p w14:paraId="32485874" w14:textId="602F49D7" w:rsidR="00990D5E" w:rsidRDefault="007B39A3" w:rsidP="00486A0C">
      <w:pPr>
        <w:spacing w:before="240" w:line="360" w:lineRule="auto"/>
        <w:jc w:val="both"/>
      </w:pPr>
      <w:r>
        <w:t xml:space="preserve">Al </w:t>
      </w:r>
      <w:proofErr w:type="spellStart"/>
      <w:r w:rsidR="00486A0C">
        <w:t>Rjoob</w:t>
      </w:r>
      <w:proofErr w:type="spellEnd"/>
      <w:r w:rsidR="00486A0C">
        <w:t xml:space="preserve"> </w:t>
      </w:r>
      <w:r w:rsidR="00EC3D43" w:rsidRPr="00EC3D43">
        <w:rPr>
          <w:i/>
          <w:iCs/>
        </w:rPr>
        <w:t>et al</w:t>
      </w:r>
      <w:r w:rsidR="00EC3D43">
        <w:rPr>
          <w:i/>
          <w:iCs/>
        </w:rPr>
        <w:t>.</w:t>
      </w:r>
      <w:r w:rsidR="00EC3D43">
        <w:t xml:space="preserve"> </w:t>
      </w:r>
      <w:r w:rsidR="00486A0C">
        <w:t xml:space="preserve">(2022) also conducted a recent review on the current literature regarding the </w:t>
      </w:r>
      <w:r w:rsidR="00EC3D43">
        <w:t>QoL</w:t>
      </w:r>
      <w:r w:rsidR="00486A0C">
        <w:t xml:space="preserve"> in stroke patients with dysphagia. Despite the fact that this may also seem very similar to this literature review, it </w:t>
      </w:r>
      <w:r w:rsidR="00023DB4">
        <w:t>wa</w:t>
      </w:r>
      <w:r w:rsidR="00486A0C">
        <w:t xml:space="preserve">s slightly different. This is because </w:t>
      </w:r>
      <w:r>
        <w:t xml:space="preserve">Al </w:t>
      </w:r>
      <w:proofErr w:type="spellStart"/>
      <w:r w:rsidR="00486A0C">
        <w:t>Rjoob</w:t>
      </w:r>
      <w:proofErr w:type="spellEnd"/>
      <w:r w:rsidR="00486A0C">
        <w:t xml:space="preserve"> </w:t>
      </w:r>
      <w:r w:rsidR="00EC3D43" w:rsidRPr="00EC3D43">
        <w:rPr>
          <w:i/>
          <w:iCs/>
        </w:rPr>
        <w:t>et al</w:t>
      </w:r>
      <w:r w:rsidR="00EC3D43">
        <w:rPr>
          <w:i/>
          <w:iCs/>
        </w:rPr>
        <w:t>.</w:t>
      </w:r>
      <w:r w:rsidR="00486A0C">
        <w:t xml:space="preserve"> (2022) specifically selected papers focused on how the </w:t>
      </w:r>
      <w:r w:rsidR="00EC3D43">
        <w:t>QoL</w:t>
      </w:r>
      <w:r w:rsidR="00486A0C">
        <w:t xml:space="preserve"> of individuals with stroke-related dysphagia may be impacted by receiving dysphagia therapy. </w:t>
      </w:r>
      <w:r w:rsidR="00EC3D43">
        <w:t>T</w:t>
      </w:r>
      <w:r w:rsidR="00486A0C">
        <w:t>his literature review focuses more on the general experience</w:t>
      </w:r>
      <w:r w:rsidR="00EC3D43">
        <w:t>s</w:t>
      </w:r>
      <w:r w:rsidR="00486A0C">
        <w:t xml:space="preserve"> of </w:t>
      </w:r>
      <w:r w:rsidR="00EC3D43">
        <w:t xml:space="preserve">those with </w:t>
      </w:r>
      <w:r w:rsidR="00486A0C">
        <w:t xml:space="preserve">stroke-related dysphagia and </w:t>
      </w:r>
      <w:r w:rsidR="00EC3D43">
        <w:t>its</w:t>
      </w:r>
      <w:r w:rsidR="00486A0C">
        <w:t xml:space="preserve"> impact on four aspects of </w:t>
      </w:r>
      <w:r w:rsidR="00EC3D43">
        <w:t>QoL,</w:t>
      </w:r>
      <w:r w:rsidR="00486A0C">
        <w:t xml:space="preserve"> </w:t>
      </w:r>
      <w:r w:rsidR="00023DB4">
        <w:t>including</w:t>
      </w:r>
      <w:r w:rsidR="00486A0C">
        <w:t xml:space="preserve"> mental well-being, the environment, physical health, and personal factors, rather than intervention effectiveness. Furthermore, </w:t>
      </w:r>
      <w:r>
        <w:t xml:space="preserve">Al </w:t>
      </w:r>
      <w:proofErr w:type="spellStart"/>
      <w:r w:rsidR="00486A0C">
        <w:t>Rjoob</w:t>
      </w:r>
      <w:proofErr w:type="spellEnd"/>
      <w:r w:rsidR="00486A0C">
        <w:t xml:space="preserve"> </w:t>
      </w:r>
      <w:r w:rsidR="00EC3D43" w:rsidRPr="00EC3D43">
        <w:rPr>
          <w:i/>
          <w:iCs/>
        </w:rPr>
        <w:t>et al</w:t>
      </w:r>
      <w:r w:rsidR="00EC3D43">
        <w:rPr>
          <w:i/>
          <w:iCs/>
        </w:rPr>
        <w:t>.</w:t>
      </w:r>
      <w:r w:rsidR="00EC3D43">
        <w:t xml:space="preserve"> </w:t>
      </w:r>
      <w:r w:rsidR="00486A0C">
        <w:t xml:space="preserve">(2022), </w:t>
      </w:r>
      <w:proofErr w:type="gramStart"/>
      <w:r w:rsidR="00486A0C">
        <w:t>similar to</w:t>
      </w:r>
      <w:proofErr w:type="gramEnd"/>
      <w:r w:rsidR="00486A0C">
        <w:t xml:space="preserve"> Li </w:t>
      </w:r>
      <w:r w:rsidR="00EC3D43" w:rsidRPr="00EC3D43">
        <w:rPr>
          <w:i/>
          <w:iCs/>
        </w:rPr>
        <w:t>et al</w:t>
      </w:r>
      <w:r w:rsidR="00EC3D43">
        <w:rPr>
          <w:i/>
          <w:iCs/>
        </w:rPr>
        <w:t>.</w:t>
      </w:r>
      <w:r w:rsidR="00EC3D43">
        <w:t xml:space="preserve"> </w:t>
      </w:r>
      <w:r w:rsidR="00486A0C">
        <w:t>(2021)</w:t>
      </w:r>
      <w:r w:rsidR="00EC3D43">
        <w:t>,</w:t>
      </w:r>
      <w:r w:rsidR="00486A0C">
        <w:t xml:space="preserve"> only included quantitative papers, which could limit the </w:t>
      </w:r>
      <w:r w:rsidR="00EC3D43">
        <w:t>possibility of there being</w:t>
      </w:r>
      <w:r w:rsidR="00486A0C">
        <w:t xml:space="preserve"> a more detailed understanding of how stroke-related dysphagia </w:t>
      </w:r>
      <w:r w:rsidR="00EC3D43">
        <w:t>can</w:t>
      </w:r>
      <w:r w:rsidR="00486A0C">
        <w:t xml:space="preserve"> impact QoL.</w:t>
      </w:r>
    </w:p>
    <w:p w14:paraId="2635EDD0" w14:textId="77777777" w:rsidR="00990D5E" w:rsidRDefault="00990D5E" w:rsidP="00990D5E"/>
    <w:p w14:paraId="37691FEA" w14:textId="34A7FC06" w:rsidR="00990D5E" w:rsidRPr="00CF5C0C" w:rsidRDefault="00903F46" w:rsidP="00903F46">
      <w:pPr>
        <w:pStyle w:val="Heading3"/>
      </w:pPr>
      <w:r>
        <w:t>Search Strategy</w:t>
      </w:r>
    </w:p>
    <w:p w14:paraId="185358A7" w14:textId="6926C311" w:rsidR="00903F46" w:rsidRDefault="00903F46" w:rsidP="00903F46">
      <w:pPr>
        <w:spacing w:after="240" w:line="360" w:lineRule="auto"/>
        <w:jc w:val="both"/>
      </w:pPr>
      <w:r>
        <w:t xml:space="preserve">This section will </w:t>
      </w:r>
      <w:r w:rsidR="00023DB4">
        <w:t>focus</w:t>
      </w:r>
      <w:r>
        <w:t xml:space="preserve"> on the retrieval of papers for this review. </w:t>
      </w:r>
    </w:p>
    <w:p w14:paraId="5D3ACB0C" w14:textId="6CE5CD1F" w:rsidR="00903F46" w:rsidRDefault="00903F46" w:rsidP="00903F46">
      <w:pPr>
        <w:spacing w:after="240" w:line="360" w:lineRule="auto"/>
        <w:jc w:val="both"/>
      </w:pPr>
      <w:r>
        <w:t xml:space="preserve">The PEO framework was chosen to frame the research question and search strategy because it has been commonly used for qualitative research focused on subjective experiences (Aveyard, 2019), which allow to better select studies: </w:t>
      </w:r>
    </w:p>
    <w:p w14:paraId="338C7F33" w14:textId="77777777" w:rsidR="00903F46" w:rsidRDefault="00903F46" w:rsidP="00903F46">
      <w:pPr>
        <w:spacing w:after="240" w:line="360" w:lineRule="auto"/>
        <w:jc w:val="both"/>
      </w:pPr>
      <w:r>
        <w:t xml:space="preserve">P (population): Stroke patients. </w:t>
      </w:r>
    </w:p>
    <w:p w14:paraId="2FF89A53" w14:textId="77777777" w:rsidR="00903F46" w:rsidRDefault="00903F46" w:rsidP="00903F46">
      <w:pPr>
        <w:spacing w:after="240" w:line="360" w:lineRule="auto"/>
        <w:jc w:val="both"/>
      </w:pPr>
      <w:r>
        <w:t>E (exposure): Dysphagia post-stroke.</w:t>
      </w:r>
    </w:p>
    <w:p w14:paraId="4C74C3F5" w14:textId="4F9BC526" w:rsidR="00903F46" w:rsidRDefault="00903F46" w:rsidP="00903F46">
      <w:pPr>
        <w:spacing w:after="240" w:line="360" w:lineRule="auto"/>
        <w:jc w:val="both"/>
      </w:pPr>
      <w:r>
        <w:lastRenderedPageBreak/>
        <w:t>O (outcome</w:t>
      </w:r>
      <w:r w:rsidR="00C471D1">
        <w:t>)</w:t>
      </w:r>
      <w:r>
        <w:t xml:space="preserve">: Quality of </w:t>
      </w:r>
      <w:r w:rsidR="00C471D1">
        <w:t>L</w:t>
      </w:r>
      <w:r>
        <w:t xml:space="preserve">ife / patient experiences. </w:t>
      </w:r>
    </w:p>
    <w:p w14:paraId="0EF0A9A1" w14:textId="654BFBCF" w:rsidR="00903F46" w:rsidRDefault="00903F46" w:rsidP="00903F46">
      <w:pPr>
        <w:spacing w:after="240" w:line="360" w:lineRule="auto"/>
        <w:jc w:val="both"/>
      </w:pPr>
      <w:r>
        <w:t>The creation of a research question was the initial step in conducting this literature review. The identification of key terms and synonyms was a crucial step in choosing the most appropriate terms for the research question, which helped define the terms for the search strategy. To select these, various strategies were used</w:t>
      </w:r>
      <w:r w:rsidR="00B04BE3">
        <w:t>,</w:t>
      </w:r>
      <w:r>
        <w:t xml:space="preserve"> such as the Medical Subject Headings (MeSH) thesaurus, an Oxford thesaurus, and broad reading to identify alternative terms (Waite, 2009). This reduced bias because thesauruses </w:t>
      </w:r>
      <w:r w:rsidR="001057B8">
        <w:t>provide</w:t>
      </w:r>
      <w:r>
        <w:t xml:space="preserve"> a variety of synonyms for a term, increasing the likelihood of finding appropriate research papers, rather than selecting terms subjectively. Moreover, MeSH provides a standardised list of subject headings, </w:t>
      </w:r>
      <w:r w:rsidR="00873FFB">
        <w:t xml:space="preserve">thereby </w:t>
      </w:r>
      <w:r>
        <w:t xml:space="preserve">increasing the number of articles discovered. Controlled key terms were also used, </w:t>
      </w:r>
      <w:r w:rsidR="00873FFB">
        <w:t>which</w:t>
      </w:r>
      <w:r>
        <w:t xml:space="preserve"> involved using the databases’ own search terms to increase the </w:t>
      </w:r>
      <w:r w:rsidR="001057B8">
        <w:t>number</w:t>
      </w:r>
      <w:r>
        <w:t xml:space="preserve"> of synonyms found (Aveyard, 2019).</w:t>
      </w:r>
    </w:p>
    <w:p w14:paraId="5D03C8DF" w14:textId="322FB312" w:rsidR="00990D5E" w:rsidRDefault="00691311" w:rsidP="00903F46">
      <w:pPr>
        <w:spacing w:after="240" w:line="360" w:lineRule="auto"/>
        <w:jc w:val="both"/>
      </w:pPr>
      <w:r>
        <w:t xml:space="preserve"> </w:t>
      </w:r>
      <w:r w:rsidR="00903F46">
        <w:t xml:space="preserve">Combining key terms involved using </w:t>
      </w:r>
      <w:r w:rsidR="00873FFB">
        <w:t xml:space="preserve">the </w:t>
      </w:r>
      <w:r w:rsidR="00903F46">
        <w:t xml:space="preserve">Boolean </w:t>
      </w:r>
      <w:r w:rsidR="00873FFB">
        <w:t>o</w:t>
      </w:r>
      <w:r w:rsidR="00903F46">
        <w:t xml:space="preserve">perators </w:t>
      </w:r>
      <w:r w:rsidR="00873FFB">
        <w:t>‘</w:t>
      </w:r>
      <w:r w:rsidR="00903F46">
        <w:t>AND</w:t>
      </w:r>
      <w:r w:rsidR="00873FFB">
        <w:t>’</w:t>
      </w:r>
      <w:r w:rsidR="00903F46">
        <w:t xml:space="preserve">, </w:t>
      </w:r>
      <w:r w:rsidR="00873FFB">
        <w:t>‘</w:t>
      </w:r>
      <w:r w:rsidR="00903F46">
        <w:t>NOT</w:t>
      </w:r>
      <w:r w:rsidR="00873FFB">
        <w:t>’,</w:t>
      </w:r>
      <w:r w:rsidR="00903F46">
        <w:t xml:space="preserve"> and </w:t>
      </w:r>
      <w:r w:rsidR="00873FFB">
        <w:t>‘</w:t>
      </w:r>
      <w:r w:rsidR="00903F46">
        <w:t>OR</w:t>
      </w:r>
      <w:r w:rsidR="00873FFB">
        <w:t>’</w:t>
      </w:r>
      <w:r w:rsidR="00903F46">
        <w:t>. The Boolean operator ‘AND’ helped limit the search to focus on the interconnection between dysphagia, stroke</w:t>
      </w:r>
      <w:r w:rsidR="00873FFB">
        <w:t>,</w:t>
      </w:r>
      <w:r w:rsidR="00903F46">
        <w:t xml:space="preserve"> and QoL. Similarly, ‘NOT’ limited the search number by excluding intervention-focused papers. However, ‘OR’ widened the search to include a variety of synonyms for a word. Double quotation marks were used for the term ‘’QoL’’ to instruct the database to search for the words together (Aveyard, 2019). In the databases Medline Full Text and PubMed, the following combinations of key terms were used: ‘’dysphagia’’ OR ‘’swallowing difficulties’’ OR ‘’swallowing disorders’’ AND ‘’Experience’’ OR ‘’Quality of Life’’ OR ‘’QoL’’ OR ‘’Social Participation’’ OR ‘’Pleasure’’ AND ‘’Stroke’’ OR ‘’CVA’’ OR ‘’Cerebrovascular accident’’ OR ‘’Cerebrovascular event’’ NOT ‘’Intervention’’ OR ‘’Therapy’’. </w:t>
      </w:r>
      <w:r w:rsidR="00873FFB">
        <w:t>T</w:t>
      </w:r>
      <w:r w:rsidR="00903F46">
        <w:t xml:space="preserve">he other databases </w:t>
      </w:r>
      <w:r w:rsidR="00873FFB">
        <w:t>were</w:t>
      </w:r>
      <w:r w:rsidR="00903F46">
        <w:t xml:space="preserve"> more limited and restricted</w:t>
      </w:r>
      <w:r w:rsidR="00873FFB">
        <w:t>; therefore, a</w:t>
      </w:r>
      <w:r w:rsidR="00903F46">
        <w:t xml:space="preserve"> string search</w:t>
      </w:r>
      <w:r w:rsidR="00171C79">
        <w:t xml:space="preserve"> using ‘’quality of life’’ AND ‘’dysphagia’’ AND ‘’stroke’’ NOT ‘’intervention’’</w:t>
      </w:r>
      <w:r w:rsidR="00903F46">
        <w:t xml:space="preserve"> was applied to filter out relevant articles</w:t>
      </w:r>
      <w:r w:rsidR="00575297">
        <w:t>.</w:t>
      </w:r>
    </w:p>
    <w:p w14:paraId="3F3C407B" w14:textId="77777777" w:rsidR="00903F46" w:rsidRDefault="00903F46" w:rsidP="00B45D8B">
      <w:pPr>
        <w:spacing w:after="240" w:line="360" w:lineRule="auto"/>
        <w:jc w:val="both"/>
      </w:pPr>
    </w:p>
    <w:p w14:paraId="79C2651C" w14:textId="477B99AB" w:rsidR="00903F46" w:rsidRDefault="00903F46" w:rsidP="00903F46">
      <w:pPr>
        <w:pStyle w:val="Heading2"/>
      </w:pPr>
      <w:r>
        <w:t>Eligibility Criteria</w:t>
      </w:r>
    </w:p>
    <w:p w14:paraId="327E436F" w14:textId="32D6BFE2" w:rsidR="00903F46" w:rsidRDefault="00903F46" w:rsidP="00AC1E55">
      <w:pPr>
        <w:spacing w:after="240" w:line="360" w:lineRule="auto"/>
        <w:jc w:val="both"/>
      </w:pPr>
      <w:r w:rsidRPr="00903F46">
        <w:t xml:space="preserve">The inclusion criteria included English language papers, journal articles, papers </w:t>
      </w:r>
      <w:r w:rsidR="00873FFB">
        <w:t xml:space="preserve">published </w:t>
      </w:r>
      <w:r w:rsidRPr="00903F46">
        <w:t>within the last 5</w:t>
      </w:r>
      <w:r w:rsidR="008314F4" w:rsidRPr="008314F4">
        <w:t>–</w:t>
      </w:r>
      <w:r w:rsidRPr="00903F46">
        <w:t xml:space="preserve">10 years, papers focused on stroke being the main cause of dysphagia, patient experiences, qualitative studies, quantitative studies, and peer-reviewed articles. </w:t>
      </w:r>
      <w:r w:rsidR="00873FFB">
        <w:t>E</w:t>
      </w:r>
      <w:r w:rsidRPr="00903F46">
        <w:t xml:space="preserve">xclusion criteria included </w:t>
      </w:r>
      <w:r w:rsidRPr="00903F46">
        <w:lastRenderedPageBreak/>
        <w:t xml:space="preserve">non-stroke dysphagia, experiences </w:t>
      </w:r>
      <w:r w:rsidR="00873FFB">
        <w:t>from non-</w:t>
      </w:r>
      <w:r w:rsidRPr="00903F46">
        <w:t>dysphagia patients, intervention</w:t>
      </w:r>
      <w:r w:rsidR="00873FFB">
        <w:t>-</w:t>
      </w:r>
      <w:r w:rsidRPr="00903F46">
        <w:t>related studies, and grey literature.</w:t>
      </w:r>
    </w:p>
    <w:p w14:paraId="5DDAC5F1" w14:textId="77777777" w:rsidR="00903F46" w:rsidRDefault="00903F46" w:rsidP="00903F46"/>
    <w:p w14:paraId="74587A55" w14:textId="47E76D17" w:rsidR="00903F46" w:rsidRDefault="00903F46" w:rsidP="00903F46">
      <w:pPr>
        <w:pStyle w:val="Heading2"/>
      </w:pPr>
      <w:r>
        <w:t>Study Selection</w:t>
      </w:r>
    </w:p>
    <w:p w14:paraId="05991C9E" w14:textId="1521104C" w:rsidR="00903F46" w:rsidRDefault="00903F46" w:rsidP="00AC1E55">
      <w:pPr>
        <w:spacing w:after="240" w:line="360" w:lineRule="auto"/>
        <w:jc w:val="both"/>
      </w:pPr>
      <w:r>
        <w:t>To avoid bias associated with subjectively selecting papers, keywords were made to appear in the title</w:t>
      </w:r>
      <w:r w:rsidR="00873FFB">
        <w:t>s</w:t>
      </w:r>
      <w:r>
        <w:t xml:space="preserve"> and abstracts only. This </w:t>
      </w:r>
      <w:r w:rsidR="00873FFB">
        <w:t>was</w:t>
      </w:r>
      <w:r>
        <w:t xml:space="preserve"> because searching for these terms to appear in the whole article resulted in an overwhelming number of papers. However, the entire volume of relevant databases was not used, reducing the reliability of the search process. To reduce this limitation, a technique known as the </w:t>
      </w:r>
      <w:r w:rsidR="00873FFB">
        <w:t>“</w:t>
      </w:r>
      <w:r>
        <w:t>snowball method</w:t>
      </w:r>
      <w:r w:rsidR="00873FFB">
        <w:t>”</w:t>
      </w:r>
      <w:r>
        <w:t xml:space="preserve"> was used. This involved identifying possible papers during the database search </w:t>
      </w:r>
      <w:r w:rsidR="00873FFB">
        <w:t>and</w:t>
      </w:r>
      <w:r>
        <w:t xml:space="preserve"> scanning through the reference list to identify potential articles. During this method, there was a repetition in the same articles found during the database search, highlighting that data saturation had been achieved</w:t>
      </w:r>
      <w:r w:rsidR="00873FFB">
        <w:t>,</w:t>
      </w:r>
      <w:r>
        <w:t xml:space="preserve"> making it appropriate to cease the search (Aveyard, 2019). </w:t>
      </w:r>
    </w:p>
    <w:p w14:paraId="5DEB9D6F" w14:textId="77777777" w:rsidR="00903F46" w:rsidRDefault="00903F46" w:rsidP="00903F46"/>
    <w:p w14:paraId="7DAAD9FD" w14:textId="33038278" w:rsidR="00903F46" w:rsidRDefault="00903F46" w:rsidP="00AC1E55">
      <w:pPr>
        <w:spacing w:after="240" w:line="360" w:lineRule="auto"/>
        <w:jc w:val="both"/>
      </w:pPr>
      <w:r>
        <w:t>A systematic search was conducted on PubMed, Google Scholar, Medline Full Text, APA PsycArticles, APA Psycinfo, CINAL Complete, E-journals, Speech bite, PubMed, and Cochrane Library to increase the relevancy of articles (ASHA, 2022). Conducting multiple database searches evaluated the consistency of the search process. For example, there was repetition in the same articles across the different databases, suggesting high reliability in the search process. In appendix 1, a PRISMA (2009) diagram has been provided to document the systematic overview of the steps involved during this literature search.</w:t>
      </w:r>
    </w:p>
    <w:p w14:paraId="275738CA" w14:textId="77777777" w:rsidR="00903F46" w:rsidRDefault="00903F46" w:rsidP="00903F46"/>
    <w:p w14:paraId="6C69A2B3" w14:textId="38B42C6F" w:rsidR="00903F46" w:rsidRDefault="00903F46" w:rsidP="00903F46">
      <w:pPr>
        <w:pStyle w:val="Heading3"/>
      </w:pPr>
      <w:r>
        <w:t>Summary of Results</w:t>
      </w:r>
    </w:p>
    <w:p w14:paraId="30D94F50" w14:textId="4B1F99A0" w:rsidR="00903F46" w:rsidRDefault="00903F46" w:rsidP="00AC1E55">
      <w:pPr>
        <w:spacing w:after="240" w:line="360" w:lineRule="auto"/>
        <w:jc w:val="both"/>
      </w:pPr>
      <w:r w:rsidRPr="00903F46">
        <w:t xml:space="preserve">Four qualitative and four quantitative papers were identified. The sample sizes ranged from 2 to 79 participants. The settings ranged from acute stroke units, inpatient hospitals, </w:t>
      </w:r>
      <w:r w:rsidR="001057B8" w:rsidRPr="00903F46">
        <w:t>patients’</w:t>
      </w:r>
      <w:r w:rsidRPr="00903F46">
        <w:t xml:space="preserve"> homes</w:t>
      </w:r>
      <w:r w:rsidR="00391EB2">
        <w:t>,</w:t>
      </w:r>
      <w:r w:rsidRPr="00903F46">
        <w:t xml:space="preserve"> and rehabilitation units. These studies were conducted in the United Kingdom, Denmark, Sweden, South Korea, Iran, and Brazil.</w:t>
      </w:r>
    </w:p>
    <w:p w14:paraId="3DAB52A8" w14:textId="77777777" w:rsidR="00903F46" w:rsidRDefault="00903F46" w:rsidP="00903F46"/>
    <w:p w14:paraId="32EFA12D" w14:textId="01A26011" w:rsidR="00903F46" w:rsidRDefault="00903F46" w:rsidP="00903F46">
      <w:pPr>
        <w:pStyle w:val="Heading3"/>
      </w:pPr>
      <w:r>
        <w:lastRenderedPageBreak/>
        <w:t>Method of Analysis</w:t>
      </w:r>
    </w:p>
    <w:p w14:paraId="7C55DC1D" w14:textId="3DB1A13E" w:rsidR="00903F46" w:rsidRDefault="00903F46" w:rsidP="00AC1E55">
      <w:pPr>
        <w:spacing w:after="240" w:line="360" w:lineRule="auto"/>
        <w:jc w:val="both"/>
      </w:pPr>
      <w:r w:rsidRPr="00903F46">
        <w:t xml:space="preserve">The findings of each paper were read several times to identify common themes related to the research question. Potential themes were then grouped together to analyse which papers displayed similar findings. This process is known as thematic </w:t>
      </w:r>
      <w:r w:rsidR="001057B8" w:rsidRPr="00903F46">
        <w:t>analysis and</w:t>
      </w:r>
      <w:r w:rsidRPr="00903F46">
        <w:t xml:space="preserve"> is encouraged by Aveyard (2019) for novice researchers, compared to advanced approaches such as meta-analysis or meta-ethnography, because of the high level of expertise required. Four themes were identified: cognitive health, adaptation and coping, environmental consequences</w:t>
      </w:r>
      <w:r w:rsidR="008314F4">
        <w:t>,</w:t>
      </w:r>
      <w:r w:rsidRPr="00903F46">
        <w:t xml:space="preserve"> and physiological consequences. To establish confidence that these themes were robust, each theme was checked to make sure the titles were appropriate and that the sub</w:t>
      </w:r>
      <w:r w:rsidR="008314F4">
        <w:t>-</w:t>
      </w:r>
      <w:r w:rsidRPr="00903F46">
        <w:t xml:space="preserve">themes suited the main themes, which involved manoeuvring and altering the titles until a comprehensive understanding of the findings was achieved, </w:t>
      </w:r>
      <w:r w:rsidR="008314F4">
        <w:t xml:space="preserve">in a process </w:t>
      </w:r>
      <w:r w:rsidRPr="00903F46">
        <w:t xml:space="preserve">known as comparative analysis (Braun </w:t>
      </w:r>
      <w:r w:rsidR="000D7DD6">
        <w:t>and</w:t>
      </w:r>
      <w:r w:rsidRPr="00903F46">
        <w:t xml:space="preserve"> Clarke, 2022; Jason </w:t>
      </w:r>
      <w:r w:rsidR="000D7DD6">
        <w:t>and</w:t>
      </w:r>
      <w:r w:rsidRPr="00903F46">
        <w:t xml:space="preserve"> Glenwick, 2016).</w:t>
      </w:r>
    </w:p>
    <w:p w14:paraId="55D032E6" w14:textId="77777777" w:rsidR="00903F46" w:rsidRDefault="00903F46" w:rsidP="00903F46"/>
    <w:p w14:paraId="68C7146A" w14:textId="30378DBF" w:rsidR="00903F46" w:rsidRDefault="00903F46" w:rsidP="00903F46">
      <w:pPr>
        <w:pStyle w:val="Heading3"/>
      </w:pPr>
      <w:r>
        <w:t>CASP Tools</w:t>
      </w:r>
    </w:p>
    <w:p w14:paraId="31FE7650" w14:textId="37A89EB6" w:rsidR="00903F46" w:rsidRDefault="00903F46" w:rsidP="00AC1E55">
      <w:pPr>
        <w:spacing w:after="240" w:line="360" w:lineRule="auto"/>
        <w:jc w:val="both"/>
      </w:pPr>
      <w:r w:rsidRPr="00903F46">
        <w:t xml:space="preserve">The qualitative papers were critiqued using the qualitative Critical Appraisal Skills Programme (CASP) tool (CASP, 2021). CASP tools are well established and recommended for quality approval in health-related evidence syntheses and for novice researchers (Long </w:t>
      </w:r>
      <w:r w:rsidRPr="000D7DD6">
        <w:rPr>
          <w:i/>
          <w:iCs/>
        </w:rPr>
        <w:t>et al</w:t>
      </w:r>
      <w:r w:rsidR="000D7DD6" w:rsidRPr="000D7DD6">
        <w:rPr>
          <w:i/>
          <w:iCs/>
        </w:rPr>
        <w:t>.</w:t>
      </w:r>
      <w:r w:rsidRPr="00903F46">
        <w:t xml:space="preserve">, 2020). The </w:t>
      </w:r>
      <w:r w:rsidR="008314F4">
        <w:t>q</w:t>
      </w:r>
      <w:r w:rsidRPr="00903F46">
        <w:t>uantitative papers were critiqued using the Joanna Briggs Institute (JBI) critical appraisal checklist for cross-sectional studies</w:t>
      </w:r>
      <w:r w:rsidR="003E584F">
        <w:t xml:space="preserve"> (</w:t>
      </w:r>
      <w:r w:rsidR="003E584F" w:rsidRPr="004313AA">
        <w:rPr>
          <w:rFonts w:eastAsia="Times New Roman"/>
        </w:rPr>
        <w:t>Joanna Briggs Institute</w:t>
      </w:r>
      <w:r w:rsidR="003E584F">
        <w:rPr>
          <w:rFonts w:eastAsia="Times New Roman"/>
        </w:rPr>
        <w:t>, 2017)</w:t>
      </w:r>
      <w:r w:rsidRPr="00903F46">
        <w:t xml:space="preserve">. The JBI tool is an established tool praised by clinicians for providing detail and a rationale for the questions asked (Aveyard, 2019; Holland </w:t>
      </w:r>
      <w:r w:rsidR="000D7DD6">
        <w:t>and</w:t>
      </w:r>
      <w:r w:rsidRPr="00903F46">
        <w:t xml:space="preserve"> Rees, 2010).</w:t>
      </w:r>
    </w:p>
    <w:p w14:paraId="6E12F6FF" w14:textId="77777777" w:rsidR="00903F46" w:rsidRDefault="00903F46" w:rsidP="00903F46"/>
    <w:p w14:paraId="0C331A88" w14:textId="33DD3C5C" w:rsidR="00903F46" w:rsidRDefault="00903F46" w:rsidP="000F5D30">
      <w:pPr>
        <w:pStyle w:val="Heading2"/>
      </w:pPr>
      <w:r>
        <w:t>Thematic Analysis</w:t>
      </w:r>
    </w:p>
    <w:p w14:paraId="36195B80" w14:textId="2572F32C" w:rsidR="00903F46" w:rsidRDefault="00903F46" w:rsidP="00AC1E55">
      <w:pPr>
        <w:spacing w:after="240" w:line="360" w:lineRule="auto"/>
        <w:jc w:val="both"/>
      </w:pPr>
      <w:r w:rsidRPr="00903F46">
        <w:t>This section will be comparing and contrasting the findings in relation to addressing the research question.</w:t>
      </w:r>
    </w:p>
    <w:p w14:paraId="622690CD" w14:textId="77777777" w:rsidR="00903F46" w:rsidRDefault="00903F46" w:rsidP="00903F46"/>
    <w:p w14:paraId="6DB3A041" w14:textId="770AC0FB" w:rsidR="00903F46" w:rsidRDefault="00903F46" w:rsidP="00903F46">
      <w:pPr>
        <w:pStyle w:val="Heading3"/>
      </w:pPr>
      <w:r>
        <w:t>Physiological Consequences</w:t>
      </w:r>
    </w:p>
    <w:p w14:paraId="4CC3E9B8" w14:textId="1DCBF2A1" w:rsidR="00903F46" w:rsidRDefault="00903F46" w:rsidP="00AC1E55">
      <w:pPr>
        <w:spacing w:after="240" w:line="360" w:lineRule="auto"/>
        <w:jc w:val="both"/>
      </w:pPr>
      <w:r>
        <w:t>Stroke-related dysphagia can cause physiological consequences</w:t>
      </w:r>
      <w:r w:rsidR="00CD45A0">
        <w:t>,</w:t>
      </w:r>
      <w:r>
        <w:t xml:space="preserve"> such as recurrent pneumonia, throat clearing</w:t>
      </w:r>
      <w:r w:rsidR="00CD45A0">
        <w:t>,</w:t>
      </w:r>
      <w:r>
        <w:t xml:space="preserve"> and repetitive swallowing, which ha</w:t>
      </w:r>
      <w:r w:rsidR="00CD45A0">
        <w:t>ve been</w:t>
      </w:r>
      <w:r>
        <w:t xml:space="preserve"> shown to impact the QoL of </w:t>
      </w:r>
      <w:r>
        <w:lastRenderedPageBreak/>
        <w:t xml:space="preserve">individuals (Moloney </w:t>
      </w:r>
      <w:r w:rsidR="000D7DD6">
        <w:t>and</w:t>
      </w:r>
      <w:r>
        <w:t xml:space="preserve"> Walshe, 2017). Moloney </w:t>
      </w:r>
      <w:r w:rsidR="000D7DD6">
        <w:t>and</w:t>
      </w:r>
      <w:r>
        <w:t xml:space="preserve"> Walshe (2017) conducted a qualitative study using autobiographical accounts to explore the personal experiences of 10 individuals with stroke-related dysphagia. The findings demonstrated </w:t>
      </w:r>
      <w:r w:rsidR="00CD45A0">
        <w:t xml:space="preserve">that </w:t>
      </w:r>
      <w:r>
        <w:t xml:space="preserve">oral structure abnormalities decreased QoL. This can be supported by a quantitative study by Hong </w:t>
      </w:r>
      <w:r w:rsidR="000D7DD6">
        <w:t>and</w:t>
      </w:r>
      <w:r>
        <w:t xml:space="preserve"> Yoo (2017) that used the </w:t>
      </w:r>
      <w:r w:rsidR="00B377BF">
        <w:t xml:space="preserve">swallowing QoL (SWAL-QoL) </w:t>
      </w:r>
      <w:r>
        <w:t xml:space="preserve">to compare swallowing function and QoL in 79 stroke patients with dysphagia. However, they discovered that better anatomical oral structures improved swallowing function due to personal factors such as high motivation, which increased QoL. </w:t>
      </w:r>
    </w:p>
    <w:p w14:paraId="12EA1CB3" w14:textId="539D8EEF" w:rsidR="00903F46" w:rsidRDefault="00903F46" w:rsidP="00AC1E55">
      <w:pPr>
        <w:spacing w:after="240" w:line="360" w:lineRule="auto"/>
        <w:jc w:val="both"/>
      </w:pPr>
      <w:r>
        <w:t xml:space="preserve">To have a clearer understanding of these structural abnormalities, Kjaersgaard </w:t>
      </w:r>
      <w:r w:rsidR="000D7DD6">
        <w:t>and</w:t>
      </w:r>
      <w:r>
        <w:t xml:space="preserve"> Pallesen (2020) used semi-structured interviews to explore the experiences of two individuals with brain-stem stroke-related </w:t>
      </w:r>
      <w:r w:rsidR="001057B8">
        <w:t>dysphagia and</w:t>
      </w:r>
      <w:r>
        <w:t xml:space="preserve"> identified that these anatomical structure abnormalities </w:t>
      </w:r>
      <w:r w:rsidR="00CD45A0">
        <w:t>involved</w:t>
      </w:r>
      <w:r>
        <w:t xml:space="preserve"> constant saliva production, coughing attacks</w:t>
      </w:r>
      <w:r w:rsidR="00CD45A0">
        <w:t>,</w:t>
      </w:r>
      <w:r>
        <w:t xml:space="preserve"> and pneumonia, which resulted in both individuals </w:t>
      </w:r>
      <w:r w:rsidR="00B377BF">
        <w:t>struggling</w:t>
      </w:r>
      <w:r>
        <w:t xml:space="preserve"> to eat and drink due to atypical changes in sensation and taste of the tongue. Similarly, in a qualitative study that conducted unstructured interviews to investigate how stroke-related dysphagia impact</w:t>
      </w:r>
      <w:r w:rsidR="00B377BF">
        <w:t>s</w:t>
      </w:r>
      <w:r>
        <w:t xml:space="preserve"> daily living, Hellden </w:t>
      </w:r>
      <w:r w:rsidR="000D7DD6" w:rsidRPr="000D7DD6">
        <w:rPr>
          <w:i/>
          <w:iCs/>
        </w:rPr>
        <w:t>et al.</w:t>
      </w:r>
      <w:r w:rsidR="000D7DD6">
        <w:t xml:space="preserve"> </w:t>
      </w:r>
      <w:r>
        <w:t>(2018) uncovered that dysphagia resulted in weight loss, difficulty with managing saliva</w:t>
      </w:r>
      <w:r w:rsidR="00B377BF">
        <w:t>,</w:t>
      </w:r>
      <w:r>
        <w:t xml:space="preserve"> and taste changes. Although</w:t>
      </w:r>
      <w:r w:rsidR="00B377BF">
        <w:t xml:space="preserve"> the</w:t>
      </w:r>
      <w:r>
        <w:t xml:space="preserve"> findings are similar, both studies included small sample sizes, which may </w:t>
      </w:r>
      <w:r w:rsidR="00B377BF">
        <w:t>have limited</w:t>
      </w:r>
      <w:r>
        <w:t xml:space="preserve"> the generalisability of the findings to a whole stroke population (Faber </w:t>
      </w:r>
      <w:r w:rsidR="000D7DD6">
        <w:t>and</w:t>
      </w:r>
      <w:r>
        <w:t xml:space="preserve"> Fonseca, 2014). Nevertheless, Hellden </w:t>
      </w:r>
      <w:r w:rsidR="000D7DD6" w:rsidRPr="000D7DD6">
        <w:rPr>
          <w:i/>
          <w:iCs/>
        </w:rPr>
        <w:t>et al.</w:t>
      </w:r>
      <w:r w:rsidR="000D7DD6">
        <w:t xml:space="preserve"> </w:t>
      </w:r>
      <w:r>
        <w:t>(2018) argued the findings could be applied to other populations because symptoms in oropharyngeal dysphagia are similar in other neurological conditions. However, Aveyard (2019) would disagree and argue that classifying a qualitative study’s sample size as small is based on quantitative frameworks, because in qualitative research to achieve replicability and generalisability, data saturation would need to be achieved</w:t>
      </w:r>
      <w:r w:rsidR="00B377BF">
        <w:t>.</w:t>
      </w:r>
      <w:r>
        <w:t xml:space="preserve"> Hellden </w:t>
      </w:r>
      <w:r w:rsidR="000D7DD6" w:rsidRPr="000D7DD6">
        <w:rPr>
          <w:i/>
          <w:iCs/>
        </w:rPr>
        <w:t>et al.</w:t>
      </w:r>
      <w:r w:rsidR="000D7DD6">
        <w:t xml:space="preserve"> </w:t>
      </w:r>
      <w:r>
        <w:t>(2018)</w:t>
      </w:r>
      <w:r w:rsidR="00B377BF">
        <w:t>, however,</w:t>
      </w:r>
      <w:r>
        <w:t xml:space="preserve"> did not mention achieving data saturation. Alternatively, Kjaersgaard </w:t>
      </w:r>
      <w:r w:rsidR="000D7DD6">
        <w:t>and</w:t>
      </w:r>
      <w:r>
        <w:t xml:space="preserve"> Pallesen (2020) explained that data saturation was avoided because the inclusion of additional participants until saturation would have added more experiences, resulting in possible alterations of the findings and conclusions. </w:t>
      </w:r>
    </w:p>
    <w:p w14:paraId="3A5BC53C" w14:textId="37527B81" w:rsidR="00903F46" w:rsidRDefault="00903F46" w:rsidP="00AC1E55">
      <w:pPr>
        <w:spacing w:after="240" w:line="360" w:lineRule="auto"/>
        <w:jc w:val="both"/>
      </w:pPr>
      <w:r>
        <w:t xml:space="preserve">On the other hand, Martin-Harris </w:t>
      </w:r>
      <w:r w:rsidR="000D7DD6">
        <w:t>and</w:t>
      </w:r>
      <w:r>
        <w:t xml:space="preserve"> Jones (2008) would argue that it would have been more appropriate to use standardised measures to assess physiological symptoms, such as a Videofluoroscopy, the gold standard diagnostic tool for oropharyngeal dysphagia; a glossary for specialist terms can be seen in </w:t>
      </w:r>
      <w:r w:rsidR="00B377BF">
        <w:t>A</w:t>
      </w:r>
      <w:r>
        <w:t xml:space="preserve">ppendix 2 (Martin-Harris </w:t>
      </w:r>
      <w:r w:rsidR="000D7DD6">
        <w:t>and</w:t>
      </w:r>
      <w:r>
        <w:t xml:space="preserve"> Jones, 2008). For example, Kim </w:t>
      </w:r>
      <w:r w:rsidR="000D7DD6" w:rsidRPr="000D7DD6">
        <w:rPr>
          <w:i/>
          <w:iCs/>
        </w:rPr>
        <w:t>et al.</w:t>
      </w:r>
      <w:r w:rsidR="000D7DD6">
        <w:t xml:space="preserve"> </w:t>
      </w:r>
      <w:r>
        <w:t xml:space="preserve">(2020) used a standardised measure to conduct a retrospective, cross-sectional study where 75 stroke </w:t>
      </w:r>
      <w:r>
        <w:lastRenderedPageBreak/>
        <w:t xml:space="preserve">patients with dysphagia participated in the </w:t>
      </w:r>
      <w:r w:rsidR="00B377BF">
        <w:t>SWAL</w:t>
      </w:r>
      <w:r>
        <w:t>-QoL questionnaire. A correlation between the SWAL-QoL and Videofluoroscopic dysphagia score (VDS)</w:t>
      </w:r>
      <w:r w:rsidR="00B377BF">
        <w:t>, which is used to predict the long-term prognosis of stroke-related dysphagia,</w:t>
      </w:r>
      <w:r>
        <w:t xml:space="preserve"> was obtained. The findings from the VDS score illustrated that as pharyngeal function decreases, QoL also decreases. This suggests that the severer the physiological consequences of dysphagia, the greater impact on QoL. This deduction was supported by Bakhtiyari </w:t>
      </w:r>
      <w:r w:rsidR="000D7DD6" w:rsidRPr="000D7DD6">
        <w:rPr>
          <w:i/>
          <w:iCs/>
        </w:rPr>
        <w:t>et al.</w:t>
      </w:r>
      <w:r w:rsidR="000D7DD6">
        <w:t xml:space="preserve"> </w:t>
      </w:r>
      <w:r>
        <w:t>(2020)</w:t>
      </w:r>
      <w:r w:rsidR="00B377BF">
        <w:t>,</w:t>
      </w:r>
      <w:r>
        <w:t xml:space="preserve"> who conducted a cross-sectional study investigat</w:t>
      </w:r>
      <w:r w:rsidR="00B377BF">
        <w:t>ing</w:t>
      </w:r>
      <w:r>
        <w:t xml:space="preserve"> the impact of dysphagia on QoL in 60 Iranian stroke survivors using the Dysphagia Handicap Index (DHI), which determin</w:t>
      </w:r>
      <w:r w:rsidR="00B377BF">
        <w:t>ed</w:t>
      </w:r>
      <w:r>
        <w:t xml:space="preserve"> the impact of dysphagia on QoL, and found that the severer the dysphagia</w:t>
      </w:r>
      <w:r w:rsidR="00B377BF">
        <w:t>,</w:t>
      </w:r>
      <w:r>
        <w:t xml:space="preserve"> the greater impact on QoL.</w:t>
      </w:r>
    </w:p>
    <w:p w14:paraId="26C3F34D" w14:textId="0F47FE0A" w:rsidR="00903F46" w:rsidRDefault="00903F46" w:rsidP="00AC1E55">
      <w:pPr>
        <w:spacing w:after="240" w:line="360" w:lineRule="auto"/>
        <w:jc w:val="both"/>
      </w:pPr>
      <w:r>
        <w:t xml:space="preserve">Kim </w:t>
      </w:r>
      <w:r w:rsidR="000D7DD6" w:rsidRPr="000D7DD6">
        <w:rPr>
          <w:i/>
          <w:iCs/>
        </w:rPr>
        <w:t>et al.</w:t>
      </w:r>
      <w:r w:rsidR="000D7DD6">
        <w:t xml:space="preserve"> </w:t>
      </w:r>
      <w:r>
        <w:t>(2020) also found in the SWAL-Q</w:t>
      </w:r>
      <w:r w:rsidR="00B377BF">
        <w:t>o</w:t>
      </w:r>
      <w:r>
        <w:t>L subdomains ‘fatigue’ and ‘sleep’ that patients scored very lowly (</w:t>
      </w:r>
      <w:r w:rsidR="00E85A0D">
        <w:t xml:space="preserve">45.27 </w:t>
      </w:r>
      <w:r w:rsidR="00E85A0D">
        <w:rPr>
          <w:rFonts w:ascii="Times New Roman" w:hAnsi="Times New Roman" w:cs="Times New Roman"/>
        </w:rPr>
        <w:t>±</w:t>
      </w:r>
      <w:r w:rsidR="00E85A0D">
        <w:rPr>
          <w:rFonts w:cs="Sylfaen"/>
        </w:rPr>
        <w:t xml:space="preserve"> </w:t>
      </w:r>
      <w:r w:rsidR="00E85A0D">
        <w:rPr>
          <w:rFonts w:ascii="Times New Roman" w:hAnsi="Times New Roman" w:cs="Times New Roman"/>
        </w:rPr>
        <w:t>21.94</w:t>
      </w:r>
      <w:r>
        <w:t>) compared to</w:t>
      </w:r>
      <w:r w:rsidR="00B377BF">
        <w:t xml:space="preserve"> those in</w:t>
      </w:r>
      <w:r>
        <w:t xml:space="preserve"> other domains</w:t>
      </w:r>
      <w:r w:rsidR="00B377BF">
        <w:t>,</w:t>
      </w:r>
      <w:r>
        <w:t xml:space="preserve"> </w:t>
      </w:r>
      <w:r w:rsidR="00B377BF">
        <w:t>such as</w:t>
      </w:r>
      <w:r>
        <w:t xml:space="preserve"> social functioning</w:t>
      </w:r>
      <w:r w:rsidR="00B377BF">
        <w:t>,</w:t>
      </w:r>
      <w:r>
        <w:t xml:space="preserve"> </w:t>
      </w:r>
      <w:r w:rsidR="00B377BF">
        <w:t xml:space="preserve">which had scores of </w:t>
      </w:r>
      <w:r>
        <w:t xml:space="preserve">54.19 ± 35.32. Similarly, Pontes </w:t>
      </w:r>
      <w:r w:rsidR="000D7DD6" w:rsidRPr="000D7DD6">
        <w:rPr>
          <w:i/>
          <w:iCs/>
        </w:rPr>
        <w:t>et al.</w:t>
      </w:r>
      <w:r w:rsidR="000D7DD6">
        <w:t xml:space="preserve"> </w:t>
      </w:r>
      <w:r>
        <w:t xml:space="preserve">(2017) conducted a cross-sectional study </w:t>
      </w:r>
      <w:r w:rsidR="00054636">
        <w:t>using the SWAL-QoL to examine</w:t>
      </w:r>
      <w:r>
        <w:t xml:space="preserve"> the QoL of 35 stroke patients with dysphagia. The questionnaire illustrated that dysphagia negatively impacted sleep (43.9) and fatigue (45.7). Thus, both studies confirm the impact of physiological consequences on QoL. Both researchers can be praised for choosing the SWAL-QoL, the gold standard for determining QoL for individuals with dysphagia, with good internal consistency and reproducibility (McHorney </w:t>
      </w:r>
      <w:r w:rsidR="000D7DD6" w:rsidRPr="000D7DD6">
        <w:rPr>
          <w:i/>
          <w:iCs/>
        </w:rPr>
        <w:t>et al.</w:t>
      </w:r>
      <w:r>
        <w:t xml:space="preserve">, 2002). These findings </w:t>
      </w:r>
      <w:r w:rsidR="00054636">
        <w:t>may</w:t>
      </w:r>
      <w:r>
        <w:t xml:space="preserve"> </w:t>
      </w:r>
      <w:r w:rsidR="00054636">
        <w:t>further</w:t>
      </w:r>
      <w:r>
        <w:t xml:space="preserve"> highlight that using more standardised measures for assessing </w:t>
      </w:r>
      <w:r w:rsidR="00054636">
        <w:t xml:space="preserve">the </w:t>
      </w:r>
      <w:r>
        <w:t xml:space="preserve">physiological symptoms of dysphagia could increase the trustworthiness of the </w:t>
      </w:r>
      <w:r w:rsidR="001057B8">
        <w:t>findings or</w:t>
      </w:r>
      <w:r>
        <w:t xml:space="preserve"> be interpreted as confirming the findings from the earlier qualitative studies mentioned above.</w:t>
      </w:r>
    </w:p>
    <w:p w14:paraId="428DED06" w14:textId="77777777" w:rsidR="00AC1E55" w:rsidRDefault="00AC1E55" w:rsidP="00903F46"/>
    <w:p w14:paraId="573937E0" w14:textId="2DBD651C" w:rsidR="00AC1E55" w:rsidRDefault="00AC1E55" w:rsidP="00AC1E55">
      <w:pPr>
        <w:pStyle w:val="Heading3"/>
      </w:pPr>
      <w:r>
        <w:t>Environmental Consequences</w:t>
      </w:r>
    </w:p>
    <w:p w14:paraId="63A2528E" w14:textId="20A94EB0" w:rsidR="00AC1E55" w:rsidRDefault="00AC1E55" w:rsidP="00AC1E55">
      <w:pPr>
        <w:spacing w:after="240" w:line="360" w:lineRule="auto"/>
        <w:jc w:val="both"/>
      </w:pPr>
      <w:r>
        <w:t>Although physiological abnormalities have</w:t>
      </w:r>
      <w:r w:rsidR="00687721">
        <w:t xml:space="preserve"> been</w:t>
      </w:r>
      <w:r>
        <w:t xml:space="preserve"> shown to impact QoL, Threats (2007) emphasised that the interconnectedness between biological and environmental factors would provide a better understanding of the impact of dysphagia on QoL. For example, Kjaersgaard and Pallesen (2020) discovered that physiological consequences</w:t>
      </w:r>
      <w:r w:rsidR="00160C98">
        <w:t>,</w:t>
      </w:r>
      <w:r>
        <w:t xml:space="preserve"> such as coughing attacks</w:t>
      </w:r>
      <w:r w:rsidR="00160C98">
        <w:t>,</w:t>
      </w:r>
      <w:r>
        <w:t xml:space="preserve"> minimised patients’ participation in social activities</w:t>
      </w:r>
      <w:r w:rsidR="00160C98">
        <w:t>.</w:t>
      </w:r>
      <w:r>
        <w:t xml:space="preserve"> </w:t>
      </w:r>
      <w:r w:rsidR="00C80634">
        <w:t>S</w:t>
      </w:r>
      <w:r>
        <w:t xml:space="preserve">ome participants would actively choose which social events to attend and avoid. However, the researchers acknowledged that sufficient data </w:t>
      </w:r>
      <w:r w:rsidR="00C80634">
        <w:t>were</w:t>
      </w:r>
      <w:r>
        <w:t xml:space="preserve"> not present to support this finding</w:t>
      </w:r>
      <w:r w:rsidR="00160C98">
        <w:t>.</w:t>
      </w:r>
      <w:r>
        <w:t xml:space="preserve"> </w:t>
      </w:r>
      <w:r w:rsidR="00160C98">
        <w:t>A</w:t>
      </w:r>
      <w:r>
        <w:t>s a result</w:t>
      </w:r>
      <w:r w:rsidR="00160C98">
        <w:t>,</w:t>
      </w:r>
      <w:r>
        <w:t xml:space="preserve"> triangulation was undertaken to increase credibility (Carter </w:t>
      </w:r>
      <w:r w:rsidR="000D7DD6" w:rsidRPr="000D7DD6">
        <w:rPr>
          <w:i/>
          <w:iCs/>
        </w:rPr>
        <w:t>et al.</w:t>
      </w:r>
      <w:r>
        <w:t xml:space="preserve">, 2014). Similarly, Hellden </w:t>
      </w:r>
      <w:r w:rsidR="000D7DD6" w:rsidRPr="000D7DD6">
        <w:rPr>
          <w:i/>
          <w:iCs/>
        </w:rPr>
        <w:t>et al.</w:t>
      </w:r>
      <w:r w:rsidR="000D7DD6">
        <w:t xml:space="preserve"> </w:t>
      </w:r>
      <w:r>
        <w:t xml:space="preserve">(2018) found participants would avoid social situations because of </w:t>
      </w:r>
      <w:r>
        <w:lastRenderedPageBreak/>
        <w:t xml:space="preserve">the unpredictable nature of dysphagia symptoms, which resulted in difficulty maintaining intimate relations with friends and family. Eltringham </w:t>
      </w:r>
      <w:r w:rsidRPr="00160C98">
        <w:rPr>
          <w:i/>
          <w:iCs/>
        </w:rPr>
        <w:t>et al</w:t>
      </w:r>
      <w:r w:rsidR="00160C98">
        <w:t xml:space="preserve">. </w:t>
      </w:r>
      <w:r>
        <w:t xml:space="preserve">(2019) also discovered that one participant chose not </w:t>
      </w:r>
      <w:r w:rsidR="00C80634">
        <w:t xml:space="preserve">to </w:t>
      </w:r>
      <w:r>
        <w:t>drink tea anymore. However, Moloney and Walshe’s (2017) findings were slightly different, explaining that others in the environment would avoid inviting participants to social occasions, rather than patients excluding themselves. Both Kjaersgaard and Pallesen (2020) and Moloney and Walshe (2017) explain</w:t>
      </w:r>
      <w:r w:rsidR="00C80634">
        <w:t>ed</w:t>
      </w:r>
      <w:r>
        <w:t xml:space="preserve"> this is because of the negative impact of others’ perception of dysphagia. For example, a participant explained the fear of conversing and coughing simultaneously</w:t>
      </w:r>
      <w:r w:rsidR="00C80634">
        <w:t xml:space="preserve"> was due to others </w:t>
      </w:r>
      <w:r w:rsidR="00160C98">
        <w:t>becoming</w:t>
      </w:r>
      <w:r>
        <w:t xml:space="preserve"> repulsed. As a result, both studies found patients would choose to eat alone and isolate themselves from society</w:t>
      </w:r>
      <w:r w:rsidR="00160C98">
        <w:t>,</w:t>
      </w:r>
      <w:r>
        <w:t xml:space="preserve"> </w:t>
      </w:r>
      <w:r w:rsidR="00160C98">
        <w:t>d</w:t>
      </w:r>
      <w:r>
        <w:t xml:space="preserve">emonstrating that an unsupportive environment could cause social isolation, </w:t>
      </w:r>
      <w:r w:rsidR="00160C98">
        <w:t xml:space="preserve">thereby </w:t>
      </w:r>
      <w:r>
        <w:t xml:space="preserve">decreasing QoL. </w:t>
      </w:r>
    </w:p>
    <w:p w14:paraId="6545F8FC" w14:textId="3038ED71" w:rsidR="00AC1E55" w:rsidRDefault="00AC1E55" w:rsidP="00AC1E55">
      <w:pPr>
        <w:spacing w:after="240" w:line="360" w:lineRule="auto"/>
        <w:jc w:val="both"/>
      </w:pPr>
      <w:r>
        <w:t xml:space="preserve">It should be noted that Eltringham </w:t>
      </w:r>
      <w:r w:rsidR="000D7DD6" w:rsidRPr="000D7DD6">
        <w:rPr>
          <w:i/>
          <w:iCs/>
        </w:rPr>
        <w:t>et al.</w:t>
      </w:r>
      <w:r>
        <w:t>’s (2019) study took place in the same hospital that the primary researcher worked in, leading to possible researcher bias because the author may have previously had contact with the sample population</w:t>
      </w:r>
      <w:r w:rsidR="00160C98">
        <w:t>;</w:t>
      </w:r>
      <w:r>
        <w:t xml:space="preserve"> therefore</w:t>
      </w:r>
      <w:r w:rsidR="00160C98">
        <w:t>,</w:t>
      </w:r>
      <w:r>
        <w:t xml:space="preserve"> the researcher did not recruit participants who they may have had direct clinical contact with. Despite this, credibility </w:t>
      </w:r>
      <w:r w:rsidR="00160C98">
        <w:t>wa</w:t>
      </w:r>
      <w:r>
        <w:t xml:space="preserve">s still compromised due to the researcher being an SLT, which may have blurred the boundaries of being a clinician and researcher (Noble </w:t>
      </w:r>
      <w:r w:rsidR="000D7DD6">
        <w:t>and</w:t>
      </w:r>
      <w:r>
        <w:t xml:space="preserve"> Smith, 2015). </w:t>
      </w:r>
    </w:p>
    <w:p w14:paraId="486DCEDC" w14:textId="45B67570" w:rsidR="00AC1E55" w:rsidRDefault="00AC1E55" w:rsidP="00AC1E55">
      <w:pPr>
        <w:spacing w:after="240" w:line="360" w:lineRule="auto"/>
        <w:jc w:val="both"/>
      </w:pPr>
      <w:r>
        <w:t xml:space="preserve">Despite others excluding patients from social activities, </w:t>
      </w:r>
      <w:r w:rsidR="00160C98">
        <w:t xml:space="preserve">as </w:t>
      </w:r>
      <w:r>
        <w:t>mentioned in Moloney and Walshe’s (2017) study, some patients attempted to reintegrate back into society</w:t>
      </w:r>
      <w:r w:rsidR="00160C98">
        <w:t xml:space="preserve"> to </w:t>
      </w:r>
      <w:r>
        <w:t xml:space="preserve">reduce social isolation and better social relations, </w:t>
      </w:r>
      <w:r w:rsidR="00160C98">
        <w:t xml:space="preserve">thereby </w:t>
      </w:r>
      <w:r>
        <w:t xml:space="preserve">increasing their QoL (Moloney </w:t>
      </w:r>
      <w:r w:rsidR="000D7DD6">
        <w:t>and</w:t>
      </w:r>
      <w:r>
        <w:t xml:space="preserve"> Walshe, 2017). These findings can be praised for demonstrating inter-rater reliability because two researchers examined the data, and if there were disagreements, then this was resolved through discussion, reducing researcher bias (Scheel </w:t>
      </w:r>
      <w:r w:rsidR="000D7DD6" w:rsidRPr="000D7DD6">
        <w:rPr>
          <w:i/>
          <w:iCs/>
        </w:rPr>
        <w:t>et al.</w:t>
      </w:r>
      <w:r>
        <w:t xml:space="preserve">, 2018). Bias was further reduced because there was no presence of a researcher when the autobiographies were written, increasing the credibility of the findings. However, a level of bias </w:t>
      </w:r>
      <w:r w:rsidR="00C80634">
        <w:t>was</w:t>
      </w:r>
      <w:r>
        <w:t xml:space="preserve"> still present as autobiographies are mostly written with an audience in mind, hindering the truth of the accounts expressed. Moreover, two authors were journalists, which could suggest a hidden motive for </w:t>
      </w:r>
      <w:r w:rsidR="00C80634">
        <w:t>wanting</w:t>
      </w:r>
      <w:r>
        <w:t xml:space="preserve"> to publish and write autobiographical texts (Krans </w:t>
      </w:r>
      <w:r w:rsidR="000D7DD6" w:rsidRPr="000D7DD6">
        <w:rPr>
          <w:i/>
          <w:iCs/>
        </w:rPr>
        <w:t>et al.</w:t>
      </w:r>
      <w:r>
        <w:t xml:space="preserve">, 2013). Hellden </w:t>
      </w:r>
      <w:r w:rsidR="000D7DD6" w:rsidRPr="000D7DD6">
        <w:rPr>
          <w:i/>
          <w:iCs/>
        </w:rPr>
        <w:t>et al.</w:t>
      </w:r>
      <w:r w:rsidR="000D7DD6">
        <w:t xml:space="preserve"> </w:t>
      </w:r>
      <w:r>
        <w:t>(2018) also had more than one researcher analyse the findings</w:t>
      </w:r>
      <w:r w:rsidR="00C80634">
        <w:t xml:space="preserve"> but</w:t>
      </w:r>
      <w:r>
        <w:t xml:space="preserve"> chose not to analyse the findings together because other interpretations could have been made, which may </w:t>
      </w:r>
      <w:r w:rsidR="00C80634">
        <w:t xml:space="preserve">have </w:t>
      </w:r>
      <w:r>
        <w:t>limit</w:t>
      </w:r>
      <w:r w:rsidR="00C80634">
        <w:t>ed</w:t>
      </w:r>
      <w:r>
        <w:t xml:space="preserve"> the validity of the findings if all interpretations were not considered (Tonon, 2015). </w:t>
      </w:r>
    </w:p>
    <w:p w14:paraId="0CF6342D" w14:textId="1F8BE241" w:rsidR="00AC1E55" w:rsidRDefault="00AC1E55" w:rsidP="00AC1E55">
      <w:pPr>
        <w:spacing w:after="240" w:line="360" w:lineRule="auto"/>
        <w:jc w:val="both"/>
      </w:pPr>
      <w:r>
        <w:lastRenderedPageBreak/>
        <w:t xml:space="preserve">A phenomenon known as </w:t>
      </w:r>
      <w:r w:rsidR="00C80634">
        <w:t>‘</w:t>
      </w:r>
      <w:r>
        <w:t>role reversal’ was also common. This was present in Moloney and Walshe</w:t>
      </w:r>
      <w:r w:rsidR="00C80634">
        <w:t>’s</w:t>
      </w:r>
      <w:r>
        <w:t xml:space="preserve"> (2017) and Eltringham </w:t>
      </w:r>
      <w:r w:rsidR="000D7DD6" w:rsidRPr="000D7DD6">
        <w:rPr>
          <w:i/>
          <w:iCs/>
        </w:rPr>
        <w:t>et al.</w:t>
      </w:r>
      <w:r>
        <w:t>’s (2019) stud</w:t>
      </w:r>
      <w:r w:rsidR="00C80634">
        <w:t>ies</w:t>
      </w:r>
      <w:r>
        <w:t>, explaining that participants prior to having dysphagia experienced a complete reversal in social roles by becoming dependent on others, which impacted their dignity, there</w:t>
      </w:r>
      <w:r w:rsidR="00C80634">
        <w:t>by</w:t>
      </w:r>
      <w:r>
        <w:t xml:space="preserve"> decreas</w:t>
      </w:r>
      <w:r w:rsidR="00C80634">
        <w:t>ing</w:t>
      </w:r>
      <w:r>
        <w:t xml:space="preserve"> their QoL. This impact on social functioning was also seen in Kim </w:t>
      </w:r>
      <w:r w:rsidR="000D7DD6" w:rsidRPr="000D7DD6">
        <w:rPr>
          <w:i/>
          <w:iCs/>
        </w:rPr>
        <w:t>et al.</w:t>
      </w:r>
      <w:r w:rsidR="000D7DD6">
        <w:t xml:space="preserve"> </w:t>
      </w:r>
      <w:r>
        <w:t xml:space="preserve">(2020), Pontes </w:t>
      </w:r>
      <w:r w:rsidR="000D7DD6" w:rsidRPr="000D7DD6">
        <w:rPr>
          <w:i/>
          <w:iCs/>
        </w:rPr>
        <w:t>et al.</w:t>
      </w:r>
      <w:r w:rsidR="000D7DD6">
        <w:t xml:space="preserve"> </w:t>
      </w:r>
      <w:r>
        <w:t>(2017)</w:t>
      </w:r>
      <w:r w:rsidR="00C80634">
        <w:t>,</w:t>
      </w:r>
      <w:r>
        <w:t xml:space="preserve"> and Hong and Yoo’s (2017) studies. This suggests that stroke-related dysphagia not only affect</w:t>
      </w:r>
      <w:r w:rsidR="00C80634">
        <w:t>s</w:t>
      </w:r>
      <w:r>
        <w:t xml:space="preserve"> patients but also others in the environment.</w:t>
      </w:r>
    </w:p>
    <w:p w14:paraId="25F243E4" w14:textId="77777777" w:rsidR="00AC1E55" w:rsidRDefault="00AC1E55" w:rsidP="00AC1E55"/>
    <w:p w14:paraId="1547B16C" w14:textId="6515EDEC" w:rsidR="00AC1E55" w:rsidRDefault="00AC1E55" w:rsidP="00AC1E55">
      <w:pPr>
        <w:pStyle w:val="Heading3"/>
      </w:pPr>
      <w:r>
        <w:t>Cognitive Health</w:t>
      </w:r>
    </w:p>
    <w:p w14:paraId="26144501" w14:textId="36DEDCE5" w:rsidR="00AC1E55" w:rsidRDefault="00AC1E55" w:rsidP="00733AC7">
      <w:pPr>
        <w:spacing w:after="240" w:line="360" w:lineRule="auto"/>
        <w:jc w:val="both"/>
      </w:pPr>
      <w:r>
        <w:t xml:space="preserve">Some papers </w:t>
      </w:r>
      <w:r w:rsidR="00C80634">
        <w:t xml:space="preserve">have </w:t>
      </w:r>
      <w:r>
        <w:t>discussed the impact of stroke-related dysphagia on patients’ cognitive health.</w:t>
      </w:r>
      <w:r w:rsidR="00C80634">
        <w:t xml:space="preserve"> </w:t>
      </w:r>
      <w:r>
        <w:t xml:space="preserve">Bakhtiyari </w:t>
      </w:r>
      <w:r w:rsidR="000D7DD6" w:rsidRPr="000D7DD6">
        <w:rPr>
          <w:i/>
          <w:iCs/>
        </w:rPr>
        <w:t>et al.</w:t>
      </w:r>
      <w:r w:rsidR="000D7DD6">
        <w:t xml:space="preserve"> </w:t>
      </w:r>
      <w:r>
        <w:t xml:space="preserve">(2020) demonstrated that dysphagia negatively impacted participants’ emotional state, decreasing QoL. However, there was no control group to compare QoL between stroke patients with and without dysphagia, which </w:t>
      </w:r>
      <w:r w:rsidR="00C80634">
        <w:t>would have been</w:t>
      </w:r>
      <w:r>
        <w:t xml:space="preserve"> important to confirm</w:t>
      </w:r>
      <w:r w:rsidR="00C80634">
        <w:t xml:space="preserve"> the</w:t>
      </w:r>
      <w:r>
        <w:t xml:space="preserve"> results were due to </w:t>
      </w:r>
      <w:r w:rsidR="00C80634">
        <w:t xml:space="preserve">the </w:t>
      </w:r>
      <w:r>
        <w:t xml:space="preserve">manipulation of the independent variables and not extraneous variables (Pithon, 2013). </w:t>
      </w:r>
    </w:p>
    <w:p w14:paraId="72A7ED62" w14:textId="4B48D47B" w:rsidR="00AC1E55" w:rsidRDefault="00AC1E55" w:rsidP="00733AC7">
      <w:pPr>
        <w:spacing w:after="240" w:line="360" w:lineRule="auto"/>
        <w:jc w:val="both"/>
      </w:pPr>
      <w:r>
        <w:t xml:space="preserve">Pontes </w:t>
      </w:r>
      <w:r w:rsidR="000D7DD6" w:rsidRPr="000D7DD6">
        <w:rPr>
          <w:i/>
          <w:iCs/>
        </w:rPr>
        <w:t>et al.</w:t>
      </w:r>
      <w:r w:rsidR="000D7DD6">
        <w:t xml:space="preserve"> </w:t>
      </w:r>
      <w:r>
        <w:t xml:space="preserve">(2017), Kim </w:t>
      </w:r>
      <w:r w:rsidR="000D7DD6" w:rsidRPr="000D7DD6">
        <w:rPr>
          <w:i/>
          <w:iCs/>
        </w:rPr>
        <w:t>et al.</w:t>
      </w:r>
      <w:r w:rsidR="000D7DD6">
        <w:t xml:space="preserve"> </w:t>
      </w:r>
      <w:r>
        <w:t xml:space="preserve">(2020), and Hong and Yoo (2017) used the SWAL-QoL to quantitatively measure the impact of dysphagia on QoL. Pontes </w:t>
      </w:r>
      <w:r w:rsidRPr="00C80634">
        <w:rPr>
          <w:i/>
          <w:iCs/>
        </w:rPr>
        <w:t>et al</w:t>
      </w:r>
      <w:r w:rsidR="00C80634">
        <w:t>.</w:t>
      </w:r>
      <w:r>
        <w:t xml:space="preserve"> (2017) demonstrated a severe impact of dysphagia on mental health, obtaining a mean score of 47.6. Hong and Yoo (2017) also demonstrated that mental health was negatively impacted by dysphagia. These researchers also sampled participants into two groups (oral-intake and non-oral-intake)</w:t>
      </w:r>
      <w:r w:rsidR="00C80634">
        <w:t>,</w:t>
      </w:r>
      <w:r>
        <w:t xml:space="preserve"> where scores were obtained for both groups. The oral-intake group scored significantly higher (20.00 ± 4.30) than the non-oral-intake group (13.54 ± 6.03), suggesting mental health is better in those with less severe dysphagia, there</w:t>
      </w:r>
      <w:r w:rsidR="00C80634">
        <w:t>by</w:t>
      </w:r>
      <w:r>
        <w:t xml:space="preserve"> bettering QoL. Similarly, Kim </w:t>
      </w:r>
      <w:r w:rsidR="000D7DD6" w:rsidRPr="000D7DD6">
        <w:rPr>
          <w:i/>
          <w:iCs/>
        </w:rPr>
        <w:t>et al.</w:t>
      </w:r>
      <w:r w:rsidR="000D7DD6">
        <w:t xml:space="preserve"> </w:t>
      </w:r>
      <w:r>
        <w:t>(2020) demonstrated a higher score in the mental health domain for oral feeding (</w:t>
      </w:r>
      <w:r w:rsidR="00E85A0D">
        <w:t xml:space="preserve">56.83 </w:t>
      </w:r>
      <w:r w:rsidR="00E85A0D">
        <w:rPr>
          <w:rFonts w:ascii="Times New Roman" w:hAnsi="Times New Roman" w:cs="Times New Roman"/>
        </w:rPr>
        <w:t>± 31.78</w:t>
      </w:r>
      <w:r>
        <w:t xml:space="preserve">) than the tube-feeding group (55.15 </w:t>
      </w:r>
      <w:r>
        <w:rPr>
          <w:rFonts w:cs="Sylfaen"/>
        </w:rPr>
        <w:t>±</w:t>
      </w:r>
      <w:r>
        <w:rPr>
          <w:rFonts w:ascii="Times New Roman" w:hAnsi="Times New Roman" w:cs="Times New Roman"/>
        </w:rPr>
        <w:t> </w:t>
      </w:r>
      <w:r>
        <w:t xml:space="preserve"> 25.42). These findings </w:t>
      </w:r>
      <w:r w:rsidR="00C80634">
        <w:t>indicate</w:t>
      </w:r>
      <w:r>
        <w:t xml:space="preserve"> that although dysphagia decreased patients</w:t>
      </w:r>
      <w:r>
        <w:rPr>
          <w:rFonts w:cs="Sylfaen"/>
        </w:rPr>
        <w:t>’</w:t>
      </w:r>
      <w:r>
        <w:t xml:space="preserve"> mental health overall, this was gravely impacted by the severity of an individual</w:t>
      </w:r>
      <w:r>
        <w:rPr>
          <w:rFonts w:cs="Sylfaen"/>
        </w:rPr>
        <w:t>’</w:t>
      </w:r>
      <w:r>
        <w:t xml:space="preserve">s dysphagia, which could highlight the importance of prioritising certain client groups when carrying out risk assessments. </w:t>
      </w:r>
    </w:p>
    <w:p w14:paraId="2F4AC762" w14:textId="17BA4F21" w:rsidR="00AC1E55" w:rsidRDefault="00AC1E55" w:rsidP="00733AC7">
      <w:pPr>
        <w:spacing w:after="240" w:line="360" w:lineRule="auto"/>
        <w:jc w:val="both"/>
      </w:pPr>
      <w:r>
        <w:t xml:space="preserve">The findings from Kim </w:t>
      </w:r>
      <w:r w:rsidR="000D7DD6" w:rsidRPr="000D7DD6">
        <w:rPr>
          <w:i/>
          <w:iCs/>
        </w:rPr>
        <w:t>et al.</w:t>
      </w:r>
      <w:r>
        <w:t xml:space="preserve"> (2020) and Pontes </w:t>
      </w:r>
      <w:r w:rsidR="000D7DD6" w:rsidRPr="000D7DD6">
        <w:rPr>
          <w:i/>
          <w:iCs/>
        </w:rPr>
        <w:t>et al.</w:t>
      </w:r>
      <w:r w:rsidR="000D7DD6">
        <w:t xml:space="preserve"> </w:t>
      </w:r>
      <w:r>
        <w:t xml:space="preserve">(2017) could be questioned because participants were enrolled based on retrospective accounts of presenting with dysphagia, rather than a standardised diagnostic test. This can be criticised because retrospective data </w:t>
      </w:r>
      <w:r w:rsidR="00C80634">
        <w:t>are</w:t>
      </w:r>
      <w:r>
        <w:t xml:space="preserve"> susceptible to recall and misclassification bias, decreasing the validity of the findings (Krans </w:t>
      </w:r>
      <w:r w:rsidR="000D7DD6" w:rsidRPr="000D7DD6">
        <w:rPr>
          <w:i/>
          <w:iCs/>
        </w:rPr>
        <w:t>et al.</w:t>
      </w:r>
      <w:r>
        <w:t xml:space="preserve">, 2013).  On the </w:t>
      </w:r>
      <w:r>
        <w:lastRenderedPageBreak/>
        <w:t>other hand, Hong and Yoo (2017) used the swallowing function test, a diagnostic tool for classifying swallowing function levels, with high specificity and sensitivity, increasing the robustness of these findings.</w:t>
      </w:r>
    </w:p>
    <w:p w14:paraId="62CFBAF7" w14:textId="651F1DAD" w:rsidR="00AC1E55" w:rsidRDefault="00AC1E55" w:rsidP="00733AC7">
      <w:pPr>
        <w:spacing w:after="240" w:line="360" w:lineRule="auto"/>
        <w:jc w:val="both"/>
      </w:pPr>
      <w:r>
        <w:t xml:space="preserve">Daher </w:t>
      </w:r>
      <w:r w:rsidR="000D7DD6" w:rsidRPr="000D7DD6">
        <w:rPr>
          <w:i/>
          <w:iCs/>
        </w:rPr>
        <w:t>et al.</w:t>
      </w:r>
      <w:r w:rsidR="000D7DD6">
        <w:t xml:space="preserve"> </w:t>
      </w:r>
      <w:r>
        <w:t xml:space="preserve">(2017) would argue that qualitative methods are more appropriate for examining QoL because these methods provide deeper insight into individuals’ experiences and opinions. Eltringham </w:t>
      </w:r>
      <w:r w:rsidRPr="00C80634">
        <w:rPr>
          <w:i/>
          <w:iCs/>
        </w:rPr>
        <w:t>et al</w:t>
      </w:r>
      <w:r w:rsidR="00C80634">
        <w:rPr>
          <w:i/>
          <w:iCs/>
        </w:rPr>
        <w:t>.</w:t>
      </w:r>
      <w:r>
        <w:t xml:space="preserve"> (</w:t>
      </w:r>
      <w:r w:rsidR="00084D0D">
        <w:t>2019</w:t>
      </w:r>
      <w:r>
        <w:t>) used interviews, which allowed participants to personally explain their feelings, such as fear</w:t>
      </w:r>
      <w:r w:rsidR="00C80634">
        <w:t xml:space="preserve"> or</w:t>
      </w:r>
      <w:r>
        <w:t xml:space="preserve"> embarrass</w:t>
      </w:r>
      <w:r w:rsidR="00C80634">
        <w:t>ment</w:t>
      </w:r>
      <w:r>
        <w:t xml:space="preserve">, due to not being able to eat in front of others. This was also present </w:t>
      </w:r>
      <w:r w:rsidR="00610606">
        <w:t>in</w:t>
      </w:r>
      <w:r>
        <w:t xml:space="preserve"> </w:t>
      </w:r>
      <w:r w:rsidR="00610606">
        <w:t xml:space="preserve">the studies by </w:t>
      </w:r>
      <w:r>
        <w:t>Moloney and Walshe (2017) and Kjaersgaard and Pallesen (2020), demonstrating that</w:t>
      </w:r>
      <w:r w:rsidR="00610606">
        <w:t xml:space="preserve"> the</w:t>
      </w:r>
      <w:r>
        <w:t xml:space="preserve"> negative psychosocial consequences of dysphagia decreased QoL. For example, Kjaersgaard and Pallesen (2020) and Moloney and Walshe (2017) highlighted that eating required a lot of concentration, causing patients mental fatigue, which caused these individuals to avoid social situations due to feeling embarrassed and annoyed. However, Hellden </w:t>
      </w:r>
      <w:r w:rsidR="000D7DD6" w:rsidRPr="000D7DD6">
        <w:rPr>
          <w:i/>
          <w:iCs/>
        </w:rPr>
        <w:t>et al.</w:t>
      </w:r>
      <w:r w:rsidR="000D7DD6">
        <w:t xml:space="preserve"> </w:t>
      </w:r>
      <w:r>
        <w:t>(2018) and Moloney and Walshe (2017) also discovered some participants altered feeling these negative emotions with more optimistic thoughts</w:t>
      </w:r>
      <w:r w:rsidR="00610606">
        <w:t>,</w:t>
      </w:r>
      <w:r>
        <w:t xml:space="preserve"> such as the possibility </w:t>
      </w:r>
      <w:r w:rsidR="00610606">
        <w:t>of</w:t>
      </w:r>
      <w:r>
        <w:t xml:space="preserve"> improvement and recovery, there</w:t>
      </w:r>
      <w:r w:rsidR="00610606">
        <w:t>by</w:t>
      </w:r>
      <w:r>
        <w:t xml:space="preserve"> feeling hopeful</w:t>
      </w:r>
      <w:r w:rsidR="00610606">
        <w:t>,</w:t>
      </w:r>
      <w:r>
        <w:t xml:space="preserve"> which improved their mental well-being</w:t>
      </w:r>
      <w:r w:rsidR="00610606">
        <w:t xml:space="preserve"> and</w:t>
      </w:r>
      <w:r>
        <w:t xml:space="preserve"> increas</w:t>
      </w:r>
      <w:r w:rsidR="00610606">
        <w:t>ed</w:t>
      </w:r>
      <w:r>
        <w:t xml:space="preserve"> their QoL. Although randomised controlled trials are considered the gold standard for quality of evidence, they were not appropriate for discovering personal experiences; </w:t>
      </w:r>
      <w:r w:rsidR="001057B8">
        <w:t>therefore,</w:t>
      </w:r>
      <w:r>
        <w:t xml:space="preserve"> Kjaersgaard and Pallesen (2020) can be praised for justifying the use of case studies</w:t>
      </w:r>
      <w:r w:rsidR="00610606">
        <w:t>,</w:t>
      </w:r>
      <w:r>
        <w:t xml:space="preserve"> because this methodology is recommended for investigating contemporary phenomen</w:t>
      </w:r>
      <w:r w:rsidR="00610606">
        <w:t>a</w:t>
      </w:r>
      <w:r>
        <w:t xml:space="preserve"> within real-life contexts (Daher </w:t>
      </w:r>
      <w:r w:rsidR="000D7DD6" w:rsidRPr="000D7DD6">
        <w:rPr>
          <w:i/>
          <w:iCs/>
        </w:rPr>
        <w:t>et al.</w:t>
      </w:r>
      <w:r>
        <w:t xml:space="preserve">, 2017). </w:t>
      </w:r>
    </w:p>
    <w:p w14:paraId="0800668C" w14:textId="005C335B" w:rsidR="00AC1E55" w:rsidRDefault="00AC1E55" w:rsidP="00733AC7">
      <w:pPr>
        <w:spacing w:after="240" w:line="360" w:lineRule="auto"/>
        <w:jc w:val="both"/>
      </w:pPr>
      <w:r>
        <w:t xml:space="preserve">To discuss the trustworthiness of the above findings, Eltringham </w:t>
      </w:r>
      <w:r w:rsidR="000D7DD6" w:rsidRPr="000D7DD6">
        <w:rPr>
          <w:i/>
          <w:iCs/>
        </w:rPr>
        <w:t>et al.</w:t>
      </w:r>
      <w:r w:rsidR="000D7DD6">
        <w:t xml:space="preserve"> </w:t>
      </w:r>
      <w:r>
        <w:t>(</w:t>
      </w:r>
      <w:r w:rsidR="00084D0D">
        <w:t>2019</w:t>
      </w:r>
      <w:r>
        <w:t xml:space="preserve">) included patients during the interpretation of the findings, which would have made sure that the researchers made appropriate inferences during data analysis. Hellden </w:t>
      </w:r>
      <w:r w:rsidR="000D7DD6" w:rsidRPr="000D7DD6">
        <w:rPr>
          <w:i/>
          <w:iCs/>
        </w:rPr>
        <w:t>et al.</w:t>
      </w:r>
      <w:r>
        <w:t xml:space="preserve">’s (2018) methodology may have needed to be strengthened because the sample did not consist of female participants, which would have increased the validity of the findings, because women are twice as likely </w:t>
      </w:r>
      <w:r w:rsidR="00610606">
        <w:t>as</w:t>
      </w:r>
      <w:r>
        <w:t xml:space="preserve"> men to experience poor mental health (Aneshensel </w:t>
      </w:r>
      <w:r w:rsidR="000D7DD6" w:rsidRPr="000D7DD6">
        <w:rPr>
          <w:i/>
          <w:iCs/>
        </w:rPr>
        <w:t>et al.</w:t>
      </w:r>
      <w:r>
        <w:t xml:space="preserve">, 2013). </w:t>
      </w:r>
      <w:r w:rsidR="001057B8">
        <w:t>However,</w:t>
      </w:r>
      <w:r>
        <w:t xml:space="preserve"> there were no females that met the inclusion criteria. Similarly, Moloney and Walshe</w:t>
      </w:r>
      <w:r w:rsidR="00610606">
        <w:t>’s</w:t>
      </w:r>
      <w:r>
        <w:t xml:space="preserve"> (2017) </w:t>
      </w:r>
      <w:r w:rsidR="00610606">
        <w:t xml:space="preserve">study </w:t>
      </w:r>
      <w:r>
        <w:t xml:space="preserve">encompassed significantly more men than </w:t>
      </w:r>
      <w:r w:rsidR="00610606">
        <w:t>women</w:t>
      </w:r>
      <w:r>
        <w:t xml:space="preserve">, limiting the </w:t>
      </w:r>
      <w:r w:rsidR="00610606">
        <w:t>applicability</w:t>
      </w:r>
      <w:r>
        <w:t xml:space="preserve"> of the findings (Faber </w:t>
      </w:r>
      <w:r w:rsidR="000D7DD6">
        <w:t>and</w:t>
      </w:r>
      <w:r>
        <w:t xml:space="preserve"> Fonseca, 2014). This could propose that </w:t>
      </w:r>
      <w:proofErr w:type="spellStart"/>
      <w:r>
        <w:t>Eltringham</w:t>
      </w:r>
      <w:proofErr w:type="spellEnd"/>
      <w:r>
        <w:t xml:space="preserve"> </w:t>
      </w:r>
      <w:r w:rsidR="000D7DD6" w:rsidRPr="000D7DD6">
        <w:rPr>
          <w:i/>
          <w:iCs/>
        </w:rPr>
        <w:t>et al.</w:t>
      </w:r>
      <w:r>
        <w:t>’s (</w:t>
      </w:r>
      <w:r w:rsidR="00084D0D">
        <w:t>2019</w:t>
      </w:r>
      <w:r>
        <w:t xml:space="preserve">) findings are more valid and </w:t>
      </w:r>
      <w:r w:rsidR="001057B8">
        <w:t>well-grounded</w:t>
      </w:r>
      <w:r>
        <w:t xml:space="preserve"> when interpreting the impact cognitive health can have on QoL.</w:t>
      </w:r>
    </w:p>
    <w:p w14:paraId="2E1B60A0" w14:textId="77777777" w:rsidR="00AC1E55" w:rsidRDefault="00AC1E55" w:rsidP="00AC1E55"/>
    <w:p w14:paraId="774BA785" w14:textId="515043DF" w:rsidR="00AC1E55" w:rsidRDefault="00AC1E55" w:rsidP="00AC1E55">
      <w:pPr>
        <w:pStyle w:val="Heading3"/>
      </w:pPr>
      <w:r>
        <w:t>Adjustment &amp; Coping</w:t>
      </w:r>
    </w:p>
    <w:p w14:paraId="0A12AD03" w14:textId="07EF30B4" w:rsidR="00AC1E55" w:rsidRDefault="00AC1E55" w:rsidP="00733AC7">
      <w:pPr>
        <w:spacing w:after="240" w:line="360" w:lineRule="auto"/>
        <w:jc w:val="both"/>
      </w:pPr>
      <w:r>
        <w:t>Three papers demonstrated that patients chose to adjust and adopt coping methods to deal with the impact of dysphagia on their QoL.  Moloney and Walshe (2017) highlighted that patients developed self-management strategies such as visual imagery</w:t>
      </w:r>
      <w:r w:rsidR="00C30B14">
        <w:t>,</w:t>
      </w:r>
      <w:r>
        <w:t xml:space="preserve"> where they would only remember previous joyful experiences of eating and drinking. This demonstrates that participants learned to live and adjust with their dysphagia to improve their QoL. Similarly, Kjaersgaard and Pallesen (2020) found patients also developed self-management strategies</w:t>
      </w:r>
      <w:r w:rsidR="00C30B14">
        <w:t>,</w:t>
      </w:r>
      <w:r>
        <w:t xml:space="preserve"> such as keeping food or drink in the mouth for longer to increase taste </w:t>
      </w:r>
      <w:r w:rsidR="001057B8">
        <w:t>sensation and</w:t>
      </w:r>
      <w:r>
        <w:t xml:space="preserve"> would not talk whilst eating to prevent discomforting symptoms such as coughing attacks. Furthermore, patients explained that adapting to dysphagia was necessary to live a meaningful and valued life with friends and family, there</w:t>
      </w:r>
      <w:r w:rsidR="00C30B14">
        <w:t>by</w:t>
      </w:r>
      <w:r>
        <w:t xml:space="preserve"> taking an optimistic approach to enhance their QoL. Hellden </w:t>
      </w:r>
      <w:r w:rsidR="000D7DD6" w:rsidRPr="000D7DD6">
        <w:rPr>
          <w:i/>
          <w:iCs/>
        </w:rPr>
        <w:t>et al.</w:t>
      </w:r>
      <w:r w:rsidR="000D7DD6">
        <w:t xml:space="preserve"> </w:t>
      </w:r>
      <w:r>
        <w:t>(2018) also found patients would adjust social situations by choosing a seat near a door if coughing were to occur</w:t>
      </w:r>
      <w:r w:rsidR="00C30B14">
        <w:t>;</w:t>
      </w:r>
      <w:r>
        <w:t xml:space="preserve"> </w:t>
      </w:r>
      <w:r w:rsidR="00C30B14">
        <w:t>t</w:t>
      </w:r>
      <w:r>
        <w:t>hus, underlining that dysphagia resulted in participants having to plan ahead to prevent undesirable situations, feelings</w:t>
      </w:r>
      <w:r w:rsidR="00C30B14">
        <w:t>,</w:t>
      </w:r>
      <w:r>
        <w:t xml:space="preserve"> and symptoms, increasing their QoL.  </w:t>
      </w:r>
    </w:p>
    <w:p w14:paraId="732D6239" w14:textId="67BF496B" w:rsidR="00AC1E55" w:rsidRDefault="00AC1E55" w:rsidP="00733AC7">
      <w:pPr>
        <w:spacing w:after="240" w:line="360" w:lineRule="auto"/>
        <w:jc w:val="both"/>
      </w:pPr>
      <w:r>
        <w:t>To determine more robust findings, it was important to examine whether researchers acknowledged their own biases and rationale for decision-making</w:t>
      </w:r>
      <w:r w:rsidR="00C30B14">
        <w:t>.</w:t>
      </w:r>
      <w:r>
        <w:t xml:space="preserve"> </w:t>
      </w:r>
      <w:r w:rsidR="00C30B14">
        <w:t>T</w:t>
      </w:r>
      <w:r>
        <w:t xml:space="preserve">his is known as </w:t>
      </w:r>
      <w:r w:rsidR="00C30B14">
        <w:t>‘</w:t>
      </w:r>
      <w:r>
        <w:t>researcher reflexivity</w:t>
      </w:r>
      <w:r w:rsidR="00C30B14">
        <w:t>’</w:t>
      </w:r>
      <w:r>
        <w:t xml:space="preserve">, which ensures rigour (Johnson </w:t>
      </w:r>
      <w:r w:rsidR="000D7DD6" w:rsidRPr="000D7DD6">
        <w:rPr>
          <w:i/>
          <w:iCs/>
        </w:rPr>
        <w:t>et al.</w:t>
      </w:r>
      <w:r>
        <w:t>, 2020). The qualitative CASP tool highlighted that Moloney and Walshe (2017) explained that bias associated with the presence or direction of a researcher during data collection was unlikely because the data consisted of autobiographies. Moreover, the researchers immersed themselves during data analysis to develop a thorough understanding</w:t>
      </w:r>
      <w:r w:rsidR="00C30B14">
        <w:t>;</w:t>
      </w:r>
      <w:r>
        <w:t xml:space="preserve"> however</w:t>
      </w:r>
      <w:r w:rsidR="00C30B14">
        <w:t>,</w:t>
      </w:r>
      <w:r>
        <w:t xml:space="preserve"> subjectivity bias during this process was not considered. Therefore, ensuring researcher reflexivity would have increased the trustworthiness of the findings (Johnson </w:t>
      </w:r>
      <w:r w:rsidR="000D7DD6" w:rsidRPr="000D7DD6">
        <w:rPr>
          <w:i/>
          <w:iCs/>
        </w:rPr>
        <w:t>et al.</w:t>
      </w:r>
      <w:r>
        <w:t xml:space="preserve">, 2020). On the other hand, Hellden </w:t>
      </w:r>
      <w:r w:rsidR="000D7DD6" w:rsidRPr="000D7DD6">
        <w:rPr>
          <w:i/>
          <w:iCs/>
        </w:rPr>
        <w:t>et al.</w:t>
      </w:r>
      <w:r w:rsidR="000D7DD6">
        <w:t xml:space="preserve"> </w:t>
      </w:r>
      <w:r>
        <w:t>(2018) was aware of potential biases</w:t>
      </w:r>
      <w:r w:rsidR="00C30B14">
        <w:t xml:space="preserve"> and</w:t>
      </w:r>
      <w:r>
        <w:t xml:space="preserve"> strived to consider the perspectives of the participants when searching for meaning during data analysis by analysing data at manifest (visible) and latent (underlying) level</w:t>
      </w:r>
      <w:r w:rsidR="00C30B14">
        <w:t>s</w:t>
      </w:r>
      <w:r>
        <w:t>, which increased the richness of the findings. Kjaersgaard and Pallesen (2020) also reduced researcher bias by obtaining an individual not involved in the study to fully transcribe patients</w:t>
      </w:r>
      <w:r w:rsidR="00C30B14">
        <w:t>’ words</w:t>
      </w:r>
      <w:r>
        <w:t xml:space="preserve"> verbatim</w:t>
      </w:r>
      <w:r w:rsidR="00C30B14">
        <w:t>;</w:t>
      </w:r>
      <w:r>
        <w:t xml:space="preserve"> however</w:t>
      </w:r>
      <w:r w:rsidR="00C30B14">
        <w:t>,</w:t>
      </w:r>
      <w:r>
        <w:t xml:space="preserve"> the authors themselves recognised the lack of data to support these findings because data saturation was not obtained.</w:t>
      </w:r>
    </w:p>
    <w:p w14:paraId="106844BE" w14:textId="77777777" w:rsidR="00AC1E55" w:rsidRDefault="00AC1E55" w:rsidP="00AC1E55"/>
    <w:p w14:paraId="2D9D20F3" w14:textId="62FA1919" w:rsidR="00AC1E55" w:rsidRDefault="00AC1E55" w:rsidP="00AC1E55">
      <w:pPr>
        <w:pStyle w:val="Heading2"/>
      </w:pPr>
      <w:r>
        <w:t>Discussion</w:t>
      </w:r>
    </w:p>
    <w:p w14:paraId="6D5711D4" w14:textId="1FC89C08" w:rsidR="00AC1E55" w:rsidRDefault="00AC1E55" w:rsidP="00AC1E55">
      <w:pPr>
        <w:pStyle w:val="Heading3"/>
      </w:pPr>
      <w:r>
        <w:t>Research Gap</w:t>
      </w:r>
    </w:p>
    <w:p w14:paraId="74593B7E" w14:textId="7227D227" w:rsidR="00AC1E55" w:rsidRDefault="00AC1E55" w:rsidP="00733AC7">
      <w:pPr>
        <w:spacing w:after="240" w:line="360" w:lineRule="auto"/>
        <w:jc w:val="both"/>
      </w:pPr>
      <w:r w:rsidRPr="00AC1E55">
        <w:t xml:space="preserve">The most significant research gap </w:t>
      </w:r>
      <w:r w:rsidR="00B442CD">
        <w:t>concerned</w:t>
      </w:r>
      <w:r w:rsidRPr="00AC1E55">
        <w:t xml:space="preserve"> the long-term impact of dysphagia on QoL. This is because patients primarily in hospitals or rehabilitation settings were targeted</w:t>
      </w:r>
      <w:r w:rsidR="00B442CD">
        <w:t xml:space="preserve"> in the studies</w:t>
      </w:r>
      <w:r w:rsidRPr="00AC1E55">
        <w:t xml:space="preserve">, with a lack of focus on those who have lived with dysphagia for a long period of time. Although Kjaersgaard and Pallesen (2020) did interview patients once in their homes, one month following injury, the authors recognised that further research would </w:t>
      </w:r>
      <w:r w:rsidR="00B442CD">
        <w:t>be needed</w:t>
      </w:r>
      <w:r w:rsidRPr="00AC1E55">
        <w:t xml:space="preserve"> to explore these experiences several years following dysphagia. Moloney and Walshe (2017) also highlighted this need. Three papers discussed the importance of examining the long-term impact of stroke-related dysphagia beyond a hospital environment (Eltringham </w:t>
      </w:r>
      <w:r w:rsidR="000D7DD6" w:rsidRPr="000D7DD6">
        <w:rPr>
          <w:i/>
          <w:iCs/>
        </w:rPr>
        <w:t>et al.</w:t>
      </w:r>
      <w:r w:rsidRPr="00AC1E55">
        <w:t xml:space="preserve">, 2019; Hellden </w:t>
      </w:r>
      <w:r w:rsidR="000D7DD6" w:rsidRPr="000D7DD6">
        <w:rPr>
          <w:i/>
          <w:iCs/>
        </w:rPr>
        <w:t>et al.</w:t>
      </w:r>
      <w:r w:rsidRPr="00AC1E55">
        <w:t xml:space="preserve">, 2018; Kim </w:t>
      </w:r>
      <w:r w:rsidR="000D7DD6" w:rsidRPr="000D7DD6">
        <w:rPr>
          <w:i/>
          <w:iCs/>
        </w:rPr>
        <w:t>et al.</w:t>
      </w:r>
      <w:r w:rsidRPr="00AC1E55">
        <w:t xml:space="preserve">, 2020). This gap is valuable because investigating long-term consequences allows clinicians to provide long-term care services to improve QoL (Forder </w:t>
      </w:r>
      <w:r w:rsidR="000D7DD6" w:rsidRPr="000D7DD6">
        <w:rPr>
          <w:i/>
          <w:iCs/>
        </w:rPr>
        <w:t>et al.</w:t>
      </w:r>
      <w:r w:rsidRPr="00AC1E55">
        <w:t>, 2017).</w:t>
      </w:r>
    </w:p>
    <w:p w14:paraId="62F9D337" w14:textId="77777777" w:rsidR="00AC1E55" w:rsidRDefault="00AC1E55" w:rsidP="00AC1E55"/>
    <w:p w14:paraId="27FC46A7" w14:textId="10BF77C9" w:rsidR="00AC1E55" w:rsidRDefault="00AC1E55" w:rsidP="00AC1E55">
      <w:pPr>
        <w:pStyle w:val="Heading3"/>
      </w:pPr>
      <w:r>
        <w:t>Implications</w:t>
      </w:r>
    </w:p>
    <w:p w14:paraId="0F8B0785" w14:textId="552E1659" w:rsidR="00AC1E55" w:rsidRDefault="00AC1E55" w:rsidP="00733AC7">
      <w:pPr>
        <w:spacing w:after="240" w:line="360" w:lineRule="auto"/>
        <w:jc w:val="both"/>
      </w:pPr>
      <w:r>
        <w:t xml:space="preserve">These findings contribute to existing knowledge regarding the current understanding of the experiences of individuals with stroke-related dysphagia. Hellden </w:t>
      </w:r>
      <w:r w:rsidR="000D7DD6" w:rsidRPr="000D7DD6">
        <w:rPr>
          <w:i/>
          <w:iCs/>
        </w:rPr>
        <w:t>et al.</w:t>
      </w:r>
      <w:r w:rsidR="000D7DD6">
        <w:t xml:space="preserve"> </w:t>
      </w:r>
      <w:r>
        <w:t>(2018) underlined the need for improvements in healthcare support following discharge from a hospital setting to improve health outcomes and patients</w:t>
      </w:r>
      <w:r w:rsidR="00B442CD">
        <w:t>’</w:t>
      </w:r>
      <w:r>
        <w:t xml:space="preserve"> QoL. Pontes </w:t>
      </w:r>
      <w:r w:rsidR="000D7DD6" w:rsidRPr="000D7DD6">
        <w:rPr>
          <w:i/>
          <w:iCs/>
        </w:rPr>
        <w:t>et al.</w:t>
      </w:r>
      <w:r w:rsidR="000D7DD6">
        <w:t xml:space="preserve"> </w:t>
      </w:r>
      <w:r>
        <w:t xml:space="preserve">(2017) also explained examining the impact of stroke-related dysphagia on QoL allowed clinicians to practice and </w:t>
      </w:r>
      <w:r w:rsidR="00B442CD">
        <w:t xml:space="preserve">acquire </w:t>
      </w:r>
      <w:r>
        <w:t xml:space="preserve">skills to improve the rehabilitation experiences of patients.  </w:t>
      </w:r>
    </w:p>
    <w:p w14:paraId="2198F553" w14:textId="09F1C182" w:rsidR="00AC1E55" w:rsidRDefault="00AC1E55" w:rsidP="00733AC7">
      <w:pPr>
        <w:spacing w:after="240" w:line="360" w:lineRule="auto"/>
        <w:jc w:val="both"/>
      </w:pPr>
      <w:r>
        <w:t xml:space="preserve">Kjaersgaard and Pallesen (2020) </w:t>
      </w:r>
      <w:r w:rsidR="00B442CD">
        <w:t xml:space="preserve">further </w:t>
      </w:r>
      <w:r>
        <w:t>discovered a lack of dysphagia</w:t>
      </w:r>
      <w:r w:rsidR="00B442CD">
        <w:t>-related</w:t>
      </w:r>
      <w:r>
        <w:t xml:space="preserve"> knowledge amongst healthcare professionals, which is necessary </w:t>
      </w:r>
      <w:r w:rsidR="00B442CD">
        <w:t>for</w:t>
      </w:r>
      <w:r>
        <w:t xml:space="preserve"> understand</w:t>
      </w:r>
      <w:r w:rsidR="00B442CD">
        <w:t>ing</w:t>
      </w:r>
      <w:r>
        <w:t xml:space="preserve"> the impact of dysphagia on patients</w:t>
      </w:r>
      <w:r w:rsidR="00B442CD">
        <w:t>’</w:t>
      </w:r>
      <w:r>
        <w:t xml:space="preserve"> QoL. To increase this understanding, it is suggested that SLTs educate and inform members of the multidisciplinary team regarding dysphagia symptoms, </w:t>
      </w:r>
      <w:r w:rsidR="00B442CD">
        <w:t>care,</w:t>
      </w:r>
      <w:r>
        <w:t xml:space="preserve"> and management to improve </w:t>
      </w:r>
      <w:r w:rsidRPr="00BD2F4E">
        <w:t>interprofessional practice (</w:t>
      </w:r>
      <w:r w:rsidR="00BD2F4E" w:rsidRPr="00084D0D">
        <w:rPr>
          <w:rFonts w:eastAsia="Times New Roman"/>
        </w:rPr>
        <w:t>Royal College of Speech and Language Therapy</w:t>
      </w:r>
      <w:r w:rsidRPr="00BD2F4E">
        <w:t xml:space="preserve">, 2021). </w:t>
      </w:r>
      <w:r w:rsidR="00B442CD" w:rsidRPr="00BD2F4E">
        <w:t>I</w:t>
      </w:r>
      <w:r w:rsidRPr="00BD2F4E">
        <w:t>ncreasing</w:t>
      </w:r>
      <w:r>
        <w:t xml:space="preserve"> healthcare professional</w:t>
      </w:r>
      <w:r w:rsidR="00B442CD">
        <w:t>s’</w:t>
      </w:r>
      <w:r>
        <w:t xml:space="preserve"> awareness of these experiences could allow clinicians to provide higher-quality and evidence-based care, ensuring holistic and patient-centred service delivery (Moloney </w:t>
      </w:r>
      <w:r w:rsidR="00B442CD">
        <w:t>and</w:t>
      </w:r>
      <w:r>
        <w:t xml:space="preserve"> Walshe, 2017).</w:t>
      </w:r>
    </w:p>
    <w:p w14:paraId="6057D3C3" w14:textId="77777777" w:rsidR="00AC1E55" w:rsidRDefault="00AC1E55" w:rsidP="00AC1E55"/>
    <w:p w14:paraId="20E5793D" w14:textId="02ADA251" w:rsidR="00AC1E55" w:rsidRDefault="00AC1E55" w:rsidP="00AC1E55">
      <w:pPr>
        <w:pStyle w:val="Heading2"/>
      </w:pPr>
      <w:r>
        <w:t>Conclusion</w:t>
      </w:r>
    </w:p>
    <w:p w14:paraId="49F05639" w14:textId="57FC4569" w:rsidR="00AC1E55" w:rsidRDefault="00B442CD" w:rsidP="00733AC7">
      <w:pPr>
        <w:spacing w:after="240" w:line="360" w:lineRule="auto"/>
        <w:jc w:val="both"/>
      </w:pPr>
      <w:r>
        <w:t>T</w:t>
      </w:r>
      <w:r w:rsidR="00AC1E55" w:rsidRPr="00AC1E55">
        <w:t>his literature review highlight</w:t>
      </w:r>
      <w:r>
        <w:t>s</w:t>
      </w:r>
      <w:r w:rsidR="00AC1E55" w:rsidRPr="00AC1E55">
        <w:t xml:space="preserve"> the interconnectedness between </w:t>
      </w:r>
      <w:r>
        <w:t xml:space="preserve">the </w:t>
      </w:r>
      <w:r w:rsidR="00AC1E55" w:rsidRPr="00AC1E55">
        <w:t xml:space="preserve">biological, environmental, </w:t>
      </w:r>
      <w:r w:rsidR="001057B8" w:rsidRPr="00AC1E55">
        <w:t>personal,</w:t>
      </w:r>
      <w:r w:rsidR="00AC1E55" w:rsidRPr="00AC1E55">
        <w:t xml:space="preserve"> and emotional factors </w:t>
      </w:r>
      <w:r>
        <w:t>that</w:t>
      </w:r>
      <w:r w:rsidR="00AC1E55" w:rsidRPr="00AC1E55">
        <w:t xml:space="preserve"> </w:t>
      </w:r>
      <w:r>
        <w:t xml:space="preserve">greatly </w:t>
      </w:r>
      <w:r w:rsidR="00AC1E55" w:rsidRPr="00AC1E55">
        <w:t xml:space="preserve">impact the QoL of individuals with stroke-related dysphagia. However, future research </w:t>
      </w:r>
      <w:r>
        <w:t>should</w:t>
      </w:r>
      <w:r w:rsidR="00AC1E55" w:rsidRPr="00AC1E55">
        <w:t xml:space="preserve"> examine the long-term impact of stroke-related dysphagia on QoL to improve long-term care services for patients, especially within community settings. This is because the above findings may only be generalisable to individuals living with post-stroke dysphagia in hospital and rehabilitation settings, as most studies </w:t>
      </w:r>
      <w:r>
        <w:t xml:space="preserve">have </w:t>
      </w:r>
      <w:r w:rsidR="00AC1E55" w:rsidRPr="00AC1E55">
        <w:t xml:space="preserve">only examined patients in this environment. Therefore, it is likely that the physiological consequences of dysphagia from stroke may be different </w:t>
      </w:r>
      <w:r>
        <w:t>in</w:t>
      </w:r>
      <w:r w:rsidR="00AC1E55" w:rsidRPr="00AC1E55">
        <w:t xml:space="preserve"> individuals in community settings who have lived with this condition for a longer time. Thus, QoL is likely to be impacted by the length of time an individual has lived with the condition, as recovery and factors such as coping would also impact QoL (Forder </w:t>
      </w:r>
      <w:r w:rsidR="000D7DD6" w:rsidRPr="000D7DD6">
        <w:rPr>
          <w:i/>
          <w:iCs/>
        </w:rPr>
        <w:t>et al.</w:t>
      </w:r>
      <w:r w:rsidR="00AC1E55" w:rsidRPr="00AC1E55">
        <w:t>, 2017).</w:t>
      </w:r>
    </w:p>
    <w:p w14:paraId="097571D7" w14:textId="77777777" w:rsidR="001B6A43" w:rsidRDefault="001B6A43" w:rsidP="00733AC7">
      <w:pPr>
        <w:spacing w:after="240" w:line="360" w:lineRule="auto"/>
        <w:jc w:val="both"/>
      </w:pPr>
    </w:p>
    <w:p w14:paraId="15A5E18E" w14:textId="0C642BEB" w:rsidR="001B6A43" w:rsidRDefault="001B6A43" w:rsidP="001B6A43">
      <w:pPr>
        <w:pStyle w:val="Heading2"/>
      </w:pPr>
      <w:r>
        <w:t>Methodology</w:t>
      </w:r>
    </w:p>
    <w:p w14:paraId="5748B5E7" w14:textId="61606844" w:rsidR="001B6A43" w:rsidRDefault="001B6A43" w:rsidP="001B6A43">
      <w:pPr>
        <w:spacing w:after="240" w:line="360" w:lineRule="auto"/>
        <w:jc w:val="both"/>
      </w:pPr>
      <w:r>
        <w:t xml:space="preserve">This </w:t>
      </w:r>
      <w:r w:rsidR="009160DF">
        <w:t>study</w:t>
      </w:r>
      <w:r>
        <w:t xml:space="preserve"> </w:t>
      </w:r>
      <w:r w:rsidR="00610299">
        <w:t>would take</w:t>
      </w:r>
      <w:r>
        <w:t xml:space="preserve"> an interpretivist approach because the purpose is to gain an in-depth insight into the lived experiences of individuals with stroke-related dysphagia to develop an empathetic understanding of human action, known as ‘verstehen’. </w:t>
      </w:r>
      <w:r w:rsidR="009160DF">
        <w:t>I</w:t>
      </w:r>
      <w:r>
        <w:t>nterpretivists favour qualitative methods to allow for close interaction</w:t>
      </w:r>
      <w:r w:rsidR="009160DF">
        <w:t>s</w:t>
      </w:r>
      <w:r>
        <w:t xml:space="preserve"> with respondent</w:t>
      </w:r>
      <w:r w:rsidR="009160DF">
        <w:t>s</w:t>
      </w:r>
      <w:r>
        <w:t xml:space="preserve"> to grasp a detailed understanding of their experiences (Willis </w:t>
      </w:r>
      <w:r w:rsidR="000D7DD6">
        <w:t>and</w:t>
      </w:r>
      <w:r>
        <w:t xml:space="preserve"> Nilakanta, 2007; Engel </w:t>
      </w:r>
      <w:r w:rsidR="000D7DD6">
        <w:t>and</w:t>
      </w:r>
      <w:r>
        <w:t xml:space="preserve"> Schutt, 2005). </w:t>
      </w:r>
    </w:p>
    <w:p w14:paraId="4981085C" w14:textId="457CF401" w:rsidR="001B6A43" w:rsidRDefault="001B6A43" w:rsidP="001B6A43">
      <w:pPr>
        <w:spacing w:after="240" w:line="360" w:lineRule="auto"/>
        <w:jc w:val="both"/>
      </w:pPr>
      <w:r>
        <w:t>There are different forms of qualitative approaches</w:t>
      </w:r>
      <w:r w:rsidR="00BD4E1D">
        <w:t>,</w:t>
      </w:r>
      <w:r>
        <w:t xml:space="preserve"> such as ethnography or </w:t>
      </w:r>
      <w:r w:rsidR="00BD4E1D">
        <w:t xml:space="preserve">the </w:t>
      </w:r>
      <w:r>
        <w:t>grounded theory approach</w:t>
      </w:r>
      <w:r w:rsidR="00BD4E1D">
        <w:t>;</w:t>
      </w:r>
      <w:r>
        <w:t xml:space="preserve"> however</w:t>
      </w:r>
      <w:r w:rsidR="00BD4E1D">
        <w:t>,</w:t>
      </w:r>
      <w:r>
        <w:t xml:space="preserve"> this project </w:t>
      </w:r>
      <w:r w:rsidR="00610299">
        <w:t>would take</w:t>
      </w:r>
      <w:r>
        <w:t xml:space="preserve"> a phenomenological approach by focusing on subjective, lived experiences,</w:t>
      </w:r>
      <w:r w:rsidR="00BD4E1D">
        <w:t xml:space="preserve"> as</w:t>
      </w:r>
      <w:r>
        <w:t xml:space="preserve"> opposed to studying cultural issues (ethnography) or the development of theories (grounded theory) (Green </w:t>
      </w:r>
      <w:r w:rsidR="000D7DD6">
        <w:t>and</w:t>
      </w:r>
      <w:r>
        <w:t xml:space="preserve"> Thorogood, 2018). </w:t>
      </w:r>
    </w:p>
    <w:p w14:paraId="5C5AD669" w14:textId="50832883" w:rsidR="001B6A43" w:rsidRDefault="001B6A43" w:rsidP="001B6A43">
      <w:pPr>
        <w:spacing w:after="240" w:line="360" w:lineRule="auto"/>
        <w:jc w:val="both"/>
      </w:pPr>
      <w:r>
        <w:t xml:space="preserve">Semi-structured interviews </w:t>
      </w:r>
      <w:r w:rsidR="00610299">
        <w:t>would be</w:t>
      </w:r>
      <w:r>
        <w:t xml:space="preserve"> chosen because this method is favoured in qualitative research with a focus on uncovering and understanding the personal experiences of participants. Interviews </w:t>
      </w:r>
      <w:r w:rsidR="00610299">
        <w:t xml:space="preserve">would </w:t>
      </w:r>
      <w:r>
        <w:t xml:space="preserve">consist of a two-way dialogue between the researcher and respondent to explore participants’ feelings, </w:t>
      </w:r>
      <w:r w:rsidR="009160DF">
        <w:t>thoughts,</w:t>
      </w:r>
      <w:r>
        <w:t xml:space="preserve"> and experiences, supplemented by follow-up questions, probes</w:t>
      </w:r>
      <w:r w:rsidR="00BD4E1D">
        <w:t>,</w:t>
      </w:r>
      <w:r>
        <w:t xml:space="preserve"> and comments </w:t>
      </w:r>
      <w:r>
        <w:lastRenderedPageBreak/>
        <w:t xml:space="preserve">to delve deeper into the topic. Semi-structured interviews </w:t>
      </w:r>
      <w:r w:rsidR="00610299">
        <w:t>would be</w:t>
      </w:r>
      <w:r>
        <w:t xml:space="preserve"> chosen </w:t>
      </w:r>
      <w:r w:rsidR="00BD4E1D">
        <w:t xml:space="preserve">as </w:t>
      </w:r>
      <w:r>
        <w:t xml:space="preserve">opposed to unstructured interviews because an element of structure </w:t>
      </w:r>
      <w:r w:rsidR="00BD4E1D">
        <w:t>was</w:t>
      </w:r>
      <w:r>
        <w:t xml:space="preserve"> still present</w:t>
      </w:r>
      <w:r w:rsidR="00BD4E1D">
        <w:t>.</w:t>
      </w:r>
      <w:r>
        <w:t xml:space="preserve"> </w:t>
      </w:r>
      <w:r w:rsidR="00BD4E1D">
        <w:t>F</w:t>
      </w:r>
      <w:r>
        <w:t xml:space="preserve">or </w:t>
      </w:r>
      <w:r w:rsidR="00BD4E1D">
        <w:t>example,</w:t>
      </w:r>
      <w:r>
        <w:t xml:space="preserve"> having pre-set topic questions </w:t>
      </w:r>
      <w:r w:rsidR="00610299">
        <w:t>would allow</w:t>
      </w:r>
      <w:r>
        <w:t xml:space="preserve"> the interviewer to remain on course and focused, minimising the amount of irrelevant information gathered. Furthermore, unlike </w:t>
      </w:r>
      <w:r w:rsidR="00BD4E1D">
        <w:t xml:space="preserve">in </w:t>
      </w:r>
      <w:r>
        <w:t xml:space="preserve">structured interviews, </w:t>
      </w:r>
      <w:r w:rsidR="00BD4E1D">
        <w:t xml:space="preserve">the </w:t>
      </w:r>
      <w:r>
        <w:t>detail and richness of data would still be obtained due to the open-ended nature, allowing participants to rephrase, clarify</w:t>
      </w:r>
      <w:r w:rsidR="00BD4E1D">
        <w:t>,</w:t>
      </w:r>
      <w:r>
        <w:t xml:space="preserve"> and elaborate on their answers if needed (Green </w:t>
      </w:r>
      <w:r w:rsidR="000D7DD6">
        <w:t>and</w:t>
      </w:r>
      <w:r>
        <w:t xml:space="preserve"> Thorogood, 2018).</w:t>
      </w:r>
    </w:p>
    <w:p w14:paraId="5A320CF6" w14:textId="07F70549" w:rsidR="001B6A43" w:rsidRDefault="00BD4E1D" w:rsidP="001B6A43">
      <w:pPr>
        <w:spacing w:after="240" w:line="360" w:lineRule="auto"/>
        <w:jc w:val="both"/>
      </w:pPr>
      <w:r>
        <w:t>T</w:t>
      </w:r>
      <w:r w:rsidR="001B6A43">
        <w:t xml:space="preserve">his study </w:t>
      </w:r>
      <w:r w:rsidR="00610299">
        <w:t>would undertake</w:t>
      </w:r>
      <w:r w:rsidR="001B6A43">
        <w:t xml:space="preserve"> an interpretive phenomenological approach because there would be an emphasis on interpreting and understanding the long-term lived experiences of </w:t>
      </w:r>
      <w:r>
        <w:t xml:space="preserve">individuals with </w:t>
      </w:r>
      <w:r w:rsidR="001B6A43">
        <w:t xml:space="preserve">stroke-related dysphagia and not just the description of these experiences, which is the focus in descriptive phenomenological studies. Interpretive phenomenology examines the contextual features of an experience in relation to other influences, such as how well-being, employment, gender, or culture may influence the experiences of a phenomenon. Therefore, interpretative phenomenology is praised for allowing researchers to develop a deeper understanding of how participants’ context may influence the phenomenon being studied (Matua </w:t>
      </w:r>
      <w:r w:rsidR="000D7DD6">
        <w:t>and</w:t>
      </w:r>
      <w:r w:rsidR="001B6A43">
        <w:t xml:space="preserve"> Der-Wal, 2015).</w:t>
      </w:r>
    </w:p>
    <w:p w14:paraId="25630E64" w14:textId="77777777" w:rsidR="001B6A43" w:rsidRDefault="001B6A43" w:rsidP="001B6A43"/>
    <w:p w14:paraId="7FE2AF66" w14:textId="5799FAEE" w:rsidR="001B6A43" w:rsidRDefault="001B6A43" w:rsidP="001B6A43">
      <w:pPr>
        <w:pStyle w:val="Heading3"/>
      </w:pPr>
      <w:r>
        <w:t>Sample Selection</w:t>
      </w:r>
    </w:p>
    <w:p w14:paraId="5A3CA99C" w14:textId="4806B08C" w:rsidR="00FD62F9" w:rsidRDefault="001B6A43" w:rsidP="001B6A43">
      <w:pPr>
        <w:spacing w:after="240" w:line="360" w:lineRule="auto"/>
        <w:jc w:val="both"/>
      </w:pPr>
      <w:r>
        <w:t xml:space="preserve">The sample target group for this study </w:t>
      </w:r>
      <w:r w:rsidR="00610299">
        <w:t>would consist</w:t>
      </w:r>
      <w:r>
        <w:t xml:space="preserve"> of adult participants </w:t>
      </w:r>
      <w:r w:rsidR="00BD4E1D">
        <w:t xml:space="preserve">in the community </w:t>
      </w:r>
      <w:r>
        <w:t xml:space="preserve">living with on-going implications of </w:t>
      </w:r>
      <w:r w:rsidR="00FD62F9">
        <w:t xml:space="preserve">stroke-related </w:t>
      </w:r>
      <w:r>
        <w:t xml:space="preserve">dysphagia </w:t>
      </w:r>
      <w:r w:rsidR="00FD62F9">
        <w:t>for at least 2</w:t>
      </w:r>
      <w:r w:rsidR="00FD62F9" w:rsidRPr="00BD4E1D">
        <w:t>–</w:t>
      </w:r>
      <w:r w:rsidR="00FD62F9">
        <w:t>5 years</w:t>
      </w:r>
      <w:r>
        <w:t xml:space="preserve">. Exclusion criteria </w:t>
      </w:r>
      <w:r w:rsidR="00610299">
        <w:t>would include</w:t>
      </w:r>
      <w:r>
        <w:t xml:space="preserve"> patients with severe cognitive or communication difficulties, as this would cause difficulty with engaging and answering questions during the interview process</w:t>
      </w:r>
      <w:r w:rsidR="00BD4E1D">
        <w:t>,</w:t>
      </w:r>
      <w:r>
        <w:t xml:space="preserve"> </w:t>
      </w:r>
      <w:r w:rsidR="00BD4E1D">
        <w:t>and</w:t>
      </w:r>
      <w:r>
        <w:t xml:space="preserve"> patients with co-morbidities, as the focus would be solely on stroke-related dysphagia experiences. To verify information such as a stroke diagnosis, on-going implications of stroke-related dysphagia</w:t>
      </w:r>
      <w:r w:rsidR="00BD4E1D">
        <w:t>,</w:t>
      </w:r>
      <w:r>
        <w:t xml:space="preserve"> and the presence of dysphagia, the researcher would need to access relevant medical information through participants</w:t>
      </w:r>
      <w:r w:rsidR="00BD4E1D">
        <w:t>’</w:t>
      </w:r>
      <w:r>
        <w:t xml:space="preserve"> </w:t>
      </w:r>
      <w:r w:rsidR="00BD4E1D">
        <w:t>g</w:t>
      </w:r>
      <w:r>
        <w:t xml:space="preserve">eneral </w:t>
      </w:r>
      <w:r w:rsidR="00BD4E1D">
        <w:t>p</w:t>
      </w:r>
      <w:r>
        <w:t>ractitioner</w:t>
      </w:r>
      <w:r w:rsidR="00BD4E1D">
        <w:t>s</w:t>
      </w:r>
      <w:r>
        <w:t>, whilst obtaining participants</w:t>
      </w:r>
      <w:r w:rsidR="00BD4E1D">
        <w:t>’</w:t>
      </w:r>
      <w:r>
        <w:t xml:space="preserve"> informed consent. The accuracy of medical records </w:t>
      </w:r>
      <w:r w:rsidR="00610299">
        <w:t>would be</w:t>
      </w:r>
      <w:r>
        <w:t xml:space="preserve"> considered because Hong </w:t>
      </w:r>
      <w:r w:rsidR="000D7DD6" w:rsidRPr="000D7DD6">
        <w:rPr>
          <w:i/>
          <w:iCs/>
        </w:rPr>
        <w:t>et al.</w:t>
      </w:r>
      <w:r w:rsidR="000D7DD6">
        <w:t xml:space="preserve"> </w:t>
      </w:r>
      <w:r>
        <w:t>(2015) demonstrated inaccuracies and incompleteness were commonly found in patients</w:t>
      </w:r>
      <w:r w:rsidR="00FD62F9">
        <w:t>’</w:t>
      </w:r>
      <w:r>
        <w:t xml:space="preserve"> documents containing </w:t>
      </w:r>
      <w:r w:rsidR="00FD62F9">
        <w:t xml:space="preserve">a </w:t>
      </w:r>
      <w:r>
        <w:t>history of their presenting illnesses. However, the authors did acknowledge the subjective nature of the term ‘</w:t>
      </w:r>
      <w:r w:rsidR="001057B8">
        <w:t>completeness’ because</w:t>
      </w:r>
      <w:r>
        <w:t xml:space="preserve"> what may be considered ‘complete’ for one doctor may be considered ‘incomplete’ for another.</w:t>
      </w:r>
    </w:p>
    <w:p w14:paraId="2ABC1A2A" w14:textId="30707FC3" w:rsidR="001B6A43" w:rsidRDefault="001B6A43" w:rsidP="001B6A43">
      <w:pPr>
        <w:spacing w:after="240" w:line="360" w:lineRule="auto"/>
        <w:jc w:val="both"/>
      </w:pPr>
      <w:r>
        <w:lastRenderedPageBreak/>
        <w:t xml:space="preserve">Vasileiou </w:t>
      </w:r>
      <w:r w:rsidR="000D7DD6" w:rsidRPr="000D7DD6">
        <w:rPr>
          <w:i/>
          <w:iCs/>
        </w:rPr>
        <w:t>et al.</w:t>
      </w:r>
      <w:r w:rsidR="000D7DD6">
        <w:t xml:space="preserve"> </w:t>
      </w:r>
      <w:r>
        <w:t xml:space="preserve">(2018) conducted a systematic analysis of qualitative health research over a 15-year period and </w:t>
      </w:r>
      <w:r w:rsidR="00FD62F9">
        <w:t>determined</w:t>
      </w:r>
      <w:r>
        <w:t xml:space="preserve"> the ideal sample size for interview-based studies is 12 participants. However, Dworkin (2012) suggests a range </w:t>
      </w:r>
      <w:r w:rsidR="00FD62F9">
        <w:t>of</w:t>
      </w:r>
      <w:r>
        <w:t xml:space="preserve"> 5</w:t>
      </w:r>
      <w:r w:rsidR="00FD62F9" w:rsidRPr="00FD62F9">
        <w:t>–</w:t>
      </w:r>
      <w:r>
        <w:t xml:space="preserve">50 participants is appropriate, </w:t>
      </w:r>
      <w:r w:rsidR="00BB78DF">
        <w:t>with</w:t>
      </w:r>
      <w:r>
        <w:t xml:space="preserve"> no ideal number, but depends on a variety of factors such as the phenomenon being studied, saturation of data</w:t>
      </w:r>
      <w:r w:rsidR="00BB78DF">
        <w:t>,</w:t>
      </w:r>
      <w:r>
        <w:t xml:space="preserve"> or the sample population. Green </w:t>
      </w:r>
      <w:r w:rsidR="000D7DD6">
        <w:t>and</w:t>
      </w:r>
      <w:r>
        <w:t xml:space="preserve"> Thorogood (2018) stated that data saturation is the most important because it ensures</w:t>
      </w:r>
      <w:r w:rsidR="00BB78DF">
        <w:t xml:space="preserve"> the</w:t>
      </w:r>
      <w:r>
        <w:t xml:space="preserve"> replicability of the study. The above qualitative papers in the literature review contained a sample size ranging from 2</w:t>
      </w:r>
      <w:r w:rsidR="00BB78DF" w:rsidRPr="00BB78DF">
        <w:t>–</w:t>
      </w:r>
      <w:r>
        <w:t>10 participants, suggesting a feasible size, due to the cumbersome nature of transcribing and analysing interviews</w:t>
      </w:r>
      <w:r w:rsidR="00BB78DF">
        <w:t>;</w:t>
      </w:r>
      <w:r>
        <w:t xml:space="preserve"> however</w:t>
      </w:r>
      <w:r w:rsidR="00BB78DF">
        <w:t>,</w:t>
      </w:r>
      <w:r>
        <w:t xml:space="preserve"> data saturation would still need to be achieved.</w:t>
      </w:r>
    </w:p>
    <w:p w14:paraId="3CD7E98D" w14:textId="77777777" w:rsidR="001B6A43" w:rsidRDefault="001B6A43" w:rsidP="001B6A43"/>
    <w:p w14:paraId="04EF5A98" w14:textId="7D794016" w:rsidR="001B6A43" w:rsidRDefault="001B6A43" w:rsidP="001B6A43">
      <w:pPr>
        <w:pStyle w:val="Heading3"/>
      </w:pPr>
      <w:r>
        <w:t>Recruitment</w:t>
      </w:r>
    </w:p>
    <w:p w14:paraId="3261F43D" w14:textId="7A0C5979" w:rsidR="001B6A43" w:rsidRDefault="001B6A43" w:rsidP="00A23FF0">
      <w:pPr>
        <w:spacing w:after="240" w:line="360" w:lineRule="auto"/>
        <w:jc w:val="both"/>
      </w:pPr>
      <w:r>
        <w:t>For this study</w:t>
      </w:r>
      <w:r w:rsidR="00610299">
        <w:t>,</w:t>
      </w:r>
      <w:r>
        <w:t xml:space="preserve"> purposeful sampling </w:t>
      </w:r>
      <w:r w:rsidR="00610299">
        <w:t>would be</w:t>
      </w:r>
      <w:r>
        <w:t xml:space="preserve"> the most appropriate because participants would need specific characteristics for participation, such as long-term post-stroke dysphagia in the community. Methods such as random sampling would not be appropriate as it involves the random selection of individuals from different populations. Purposeful sampling is also widely used in qualitative research because it allows for the selection of information-rich cases related to the phenomenon being studied (Palinkas </w:t>
      </w:r>
      <w:r w:rsidR="000D7DD6" w:rsidRPr="000D7DD6">
        <w:rPr>
          <w:i/>
          <w:iCs/>
        </w:rPr>
        <w:t>et al.</w:t>
      </w:r>
      <w:r>
        <w:t>, 2015). An element of convenience sampling could also be apparent if participants were recruited based on close proximity to the researcher (Aveyard, 2019).</w:t>
      </w:r>
    </w:p>
    <w:p w14:paraId="211B5390" w14:textId="79A3FA99" w:rsidR="001B6A43" w:rsidRDefault="001B6A43" w:rsidP="001B6A43">
      <w:pPr>
        <w:spacing w:after="240" w:line="360" w:lineRule="auto"/>
        <w:jc w:val="both"/>
      </w:pPr>
      <w:r>
        <w:t>The above literature review highlight</w:t>
      </w:r>
      <w:r w:rsidR="00610299">
        <w:t>s</w:t>
      </w:r>
      <w:r>
        <w:t xml:space="preserve"> a research gap regarding a lack of inclusion of women’s perspectives. Therefore, it may be beneficial to also use maximum variation sampling. This would involve the researcher attempting to collect data from the widest range of perspectives to achieve a balance of genders</w:t>
      </w:r>
      <w:r w:rsidR="00610299">
        <w:t>;</w:t>
      </w:r>
      <w:r>
        <w:t xml:space="preserve"> however</w:t>
      </w:r>
      <w:r w:rsidR="00610299">
        <w:t>,</w:t>
      </w:r>
      <w:r>
        <w:t xml:space="preserve"> this depends on the participants identified (Green </w:t>
      </w:r>
      <w:r w:rsidR="000D7DD6">
        <w:t>and</w:t>
      </w:r>
      <w:r>
        <w:t xml:space="preserve"> Thorogood, 2018). For example, in Hellden </w:t>
      </w:r>
      <w:r w:rsidR="000D7DD6" w:rsidRPr="000D7DD6">
        <w:rPr>
          <w:i/>
          <w:iCs/>
        </w:rPr>
        <w:t>et al.</w:t>
      </w:r>
      <w:r>
        <w:t xml:space="preserve">’s </w:t>
      </w:r>
      <w:r w:rsidR="00610299">
        <w:t xml:space="preserve">(2018) </w:t>
      </w:r>
      <w:r>
        <w:t xml:space="preserve">literature </w:t>
      </w:r>
      <w:r w:rsidR="00610299">
        <w:t>review, it</w:t>
      </w:r>
      <w:r>
        <w:t xml:space="preserve"> was highlighted that obtaining women’s perspectives was not possible, as most female participants did not meet the eligibility criteria.</w:t>
      </w:r>
    </w:p>
    <w:p w14:paraId="20349485" w14:textId="7A3BE082" w:rsidR="001B6A43" w:rsidRDefault="001B6A43" w:rsidP="001B6A43">
      <w:pPr>
        <w:spacing w:after="240" w:line="360" w:lineRule="auto"/>
        <w:jc w:val="both"/>
      </w:pPr>
      <w:r>
        <w:t xml:space="preserve">Recruitment would involve the researcher contacting SLT practices and organisations, such as the Stroke Association (2021) and East Suffolk and North Essex NHS Foundation Trust (ESNEFT, 2022). These services would be contacted through </w:t>
      </w:r>
      <w:r w:rsidR="00610299">
        <w:t xml:space="preserve">an </w:t>
      </w:r>
      <w:r>
        <w:t xml:space="preserve">email containing a letter of invitation to the study. This would allow the researcher to request the services to inform any suitable patients for the study </w:t>
      </w:r>
      <w:r>
        <w:lastRenderedPageBreak/>
        <w:t>and for the participants to contact the researcher themselves or to give consent for the researcher to contact them. Moreover, the researcher would request for the organisations to grant permission to advertise the study on their website, social media</w:t>
      </w:r>
      <w:r w:rsidR="008F343A">
        <w:t>,</w:t>
      </w:r>
      <w:r>
        <w:t xml:space="preserve"> or mailing lists to allow for volunteers to come forward. For individuals with any further questions and those seeking more detailed information, a leaflet would be provided, containing information about the aim, location, participant criteria, procedure, and potential benefits of the study. Informed consent would need to be gained to access potential participants’ medical records to verify suitability for the study.</w:t>
      </w:r>
    </w:p>
    <w:p w14:paraId="1C4CA915" w14:textId="77777777" w:rsidR="001B6A43" w:rsidRDefault="001B6A43" w:rsidP="001B6A43"/>
    <w:p w14:paraId="345CE832" w14:textId="16B56002" w:rsidR="001B6A43" w:rsidRDefault="001B6A43" w:rsidP="001B6A43">
      <w:pPr>
        <w:pStyle w:val="Heading3"/>
      </w:pPr>
      <w:r>
        <w:t>Procedure</w:t>
      </w:r>
    </w:p>
    <w:p w14:paraId="3B99DF98" w14:textId="1040C8C0" w:rsidR="001B6A43" w:rsidRDefault="001B6A43" w:rsidP="001B6A43">
      <w:pPr>
        <w:spacing w:after="240" w:line="360" w:lineRule="auto"/>
        <w:jc w:val="both"/>
      </w:pPr>
      <w:r w:rsidRPr="001B6A43">
        <w:t xml:space="preserve">The interviews would be held in either a private hired community room or participants’ homes due to the sensitive nature of the topic, which may cause participants to feel vulnerable. </w:t>
      </w:r>
      <w:r w:rsidR="001057B8" w:rsidRPr="001B6A43">
        <w:t>Therefore,</w:t>
      </w:r>
      <w:r w:rsidRPr="001B6A43">
        <w:t xml:space="preserve"> offering this choice would allow participants to feel more at ease. Participants would only have to participate in one 1-hour long interview</w:t>
      </w:r>
      <w:r w:rsidR="002C034E">
        <w:t>;</w:t>
      </w:r>
      <w:r w:rsidRPr="001B6A43">
        <w:t xml:space="preserve"> however</w:t>
      </w:r>
      <w:r w:rsidR="002C034E">
        <w:t>,</w:t>
      </w:r>
      <w:r w:rsidRPr="001B6A43">
        <w:t xml:space="preserve"> this </w:t>
      </w:r>
      <w:r w:rsidR="002C034E">
        <w:t>could</w:t>
      </w:r>
      <w:r w:rsidRPr="001B6A43">
        <w:t xml:space="preserve"> last slightly longer or shorter depending on the participants</w:t>
      </w:r>
      <w:r w:rsidR="002C034E">
        <w:t>’</w:t>
      </w:r>
      <w:r w:rsidRPr="001B6A43">
        <w:t xml:space="preserve"> preference to stop or talk </w:t>
      </w:r>
      <w:r w:rsidR="002C034E">
        <w:t>for</w:t>
      </w:r>
      <w:r w:rsidRPr="001B6A43">
        <w:t xml:space="preserve"> longer. The researcher would need to create an interview topic guide containing a list of topics to be discussed and a few preset open questions for each topic. The researcher would then improvise follow-up questions, as semi-structured interviews are a combination of structured and unstructured interviews (Aveyard, 2019).  A sample of an interview topic guide can be seen in </w:t>
      </w:r>
      <w:r w:rsidR="002C034E">
        <w:t>A</w:t>
      </w:r>
      <w:r w:rsidRPr="001B6A43">
        <w:t xml:space="preserve">ppendix 3, </w:t>
      </w:r>
      <w:r w:rsidR="002C034E">
        <w:t>which contains</w:t>
      </w:r>
      <w:r w:rsidRPr="001B6A43">
        <w:t xml:space="preserve"> a list of topics that could be discussed</w:t>
      </w:r>
      <w:r w:rsidR="002C034E">
        <w:t>,</w:t>
      </w:r>
      <w:r w:rsidRPr="001B6A43">
        <w:t xml:space="preserve"> such as the environment, mental well-being</w:t>
      </w:r>
      <w:r w:rsidR="002C034E">
        <w:t>,</w:t>
      </w:r>
      <w:r w:rsidRPr="001B6A43">
        <w:t xml:space="preserve"> and physiology, and a few preset open questions for each topic</w:t>
      </w:r>
      <w:r>
        <w:t>.</w:t>
      </w:r>
    </w:p>
    <w:p w14:paraId="35A38305" w14:textId="77777777" w:rsidR="001B6A43" w:rsidRDefault="001B6A43" w:rsidP="001B6A43"/>
    <w:p w14:paraId="0230D962" w14:textId="574C67D9" w:rsidR="001B6A43" w:rsidRDefault="001B6A43" w:rsidP="001B6A43">
      <w:pPr>
        <w:pStyle w:val="Heading3"/>
      </w:pPr>
      <w:r>
        <w:t>Ethics</w:t>
      </w:r>
    </w:p>
    <w:p w14:paraId="0324B715" w14:textId="3A1BB56F" w:rsidR="001B6A43" w:rsidRDefault="001B6A43" w:rsidP="001B6A43">
      <w:pPr>
        <w:spacing w:after="240" w:line="360" w:lineRule="auto"/>
        <w:jc w:val="both"/>
      </w:pPr>
      <w:r w:rsidRPr="001B6A43">
        <w:t xml:space="preserve">This study would </w:t>
      </w:r>
      <w:r w:rsidR="007F7C2C">
        <w:t>require</w:t>
      </w:r>
      <w:r w:rsidRPr="001B6A43">
        <w:t xml:space="preserve"> ethical approval from the National Healthcare Service (NHS) if participants were recruited from ESNEFT, an NHS foundation trust. This process would involve seeking approval from the Health Research Authority (HRA), which </w:t>
      </w:r>
      <w:r w:rsidR="007F7C2C">
        <w:t>would comprise</w:t>
      </w:r>
      <w:r w:rsidRPr="001B6A43">
        <w:t xml:space="preserve"> a review by an NHS Research Ethics Committee, study-wide research governance checks by HRA staff, and an assessment of regulatory compliance (NHS Health Research Authority, 2021). This study would also need ethical approval from the University of Essex because of the involvement of human participants conducted by the University’s taught student (University of Essex, 2022a). The Stroke </w:t>
      </w:r>
      <w:r w:rsidRPr="001B6A43">
        <w:lastRenderedPageBreak/>
        <w:t>Association would also require the study to meet certain criteria to consider the recruitment of their members (Stroke Association, 2022a).</w:t>
      </w:r>
    </w:p>
    <w:p w14:paraId="2A6B7455" w14:textId="77777777" w:rsidR="001B6A43" w:rsidRDefault="001B6A43" w:rsidP="001B6A43"/>
    <w:p w14:paraId="6A2AEB05" w14:textId="4F84E888" w:rsidR="001B6A43" w:rsidRDefault="001B6A43" w:rsidP="001B6A43">
      <w:pPr>
        <w:pStyle w:val="Heading3"/>
      </w:pPr>
      <w:r>
        <w:t>Psychological Harm</w:t>
      </w:r>
    </w:p>
    <w:p w14:paraId="0DCBBFB2" w14:textId="1270ADB1" w:rsidR="001B6A43" w:rsidRDefault="001B6A43" w:rsidP="001B6A43">
      <w:pPr>
        <w:spacing w:after="240" w:line="360" w:lineRule="auto"/>
        <w:jc w:val="both"/>
      </w:pPr>
      <w:r w:rsidRPr="001B6A43">
        <w:t xml:space="preserve">Possible risks of discomfort and psychological harm may be present, impacting participants’ well-being. For example, reflecting on current and past experiences of living with dysphagia may result in psychological harm (Jungmann </w:t>
      </w:r>
      <w:r w:rsidR="000D7DD6">
        <w:t>and</w:t>
      </w:r>
      <w:r w:rsidRPr="001B6A43">
        <w:t xml:space="preserve"> Witthoft, 2020). To manage the safety and well-being of participants, optional counselling </w:t>
      </w:r>
      <w:r w:rsidR="00722551" w:rsidRPr="001B6A43">
        <w:t xml:space="preserve">by a qualified psychologist to discuss any worries </w:t>
      </w:r>
      <w:r w:rsidRPr="001B6A43">
        <w:t xml:space="preserve">would need to be offered at the end of the study. A counselling session costs up to £70 per hour (NHS, 2022). If participants would like to seek further help, direction to their </w:t>
      </w:r>
      <w:r w:rsidR="00722551">
        <w:t>general practitioner</w:t>
      </w:r>
      <w:r w:rsidRPr="001B6A43">
        <w:t xml:space="preserve"> for NHS mental health services would also be provided.</w:t>
      </w:r>
    </w:p>
    <w:p w14:paraId="20A10C2A" w14:textId="77777777" w:rsidR="001B6A43" w:rsidRDefault="001B6A43" w:rsidP="001B6A43"/>
    <w:p w14:paraId="3F9AFBB9" w14:textId="6A436D2C" w:rsidR="001B6A43" w:rsidRDefault="001B6A43" w:rsidP="001B6A43">
      <w:pPr>
        <w:pStyle w:val="Heading3"/>
      </w:pPr>
      <w:r>
        <w:t>Confidentiality</w:t>
      </w:r>
    </w:p>
    <w:p w14:paraId="60ADACD1" w14:textId="3B884D4A" w:rsidR="001B6A43" w:rsidRDefault="001B6A43" w:rsidP="001B6A43">
      <w:pPr>
        <w:spacing w:after="240" w:line="360" w:lineRule="auto"/>
        <w:jc w:val="both"/>
      </w:pPr>
      <w:r w:rsidRPr="001B6A43">
        <w:t xml:space="preserve">Participants’ demographic and medical information would need to be kept anonymous, such as </w:t>
      </w:r>
      <w:r w:rsidR="00722551">
        <w:t xml:space="preserve">by </w:t>
      </w:r>
      <w:r w:rsidRPr="001B6A43">
        <w:t xml:space="preserve">using an electronic safe secured by password protection and data encryption, and this would possibly be kept for a period of at least 5 years, as required by the University. Once anonymised, this data </w:t>
      </w:r>
      <w:r w:rsidR="00722551">
        <w:t>would</w:t>
      </w:r>
      <w:r w:rsidRPr="001B6A43">
        <w:t xml:space="preserve"> likely be made available to other researchers via accessible data and public repositories and possibly used for novel purposes. However, this information would be kept fully anonymous and would not be identifiable by anyone. The intention of sharing this information publicly would be to spread awareness of these experiences to improve the quality of care received </w:t>
      </w:r>
      <w:r w:rsidR="00722551">
        <w:t>by</w:t>
      </w:r>
      <w:r w:rsidRPr="001B6A43">
        <w:t xml:space="preserve"> patients with long-term post-stroke dysphagia whilst providing a means to empower participants to feel heard, valued</w:t>
      </w:r>
      <w:r w:rsidR="000D7DD6">
        <w:t>,</w:t>
      </w:r>
      <w:r w:rsidRPr="001B6A43">
        <w:t xml:space="preserve"> and respected. Audio recordings and transcrip</w:t>
      </w:r>
      <w:r w:rsidR="00722551">
        <w:t>t</w:t>
      </w:r>
      <w:r w:rsidRPr="001B6A43">
        <w:t>s would need to be anonymous with no personal data linked to the recordings or transcripts, which would need to immediately be destroyed and discarded after the analysis process.</w:t>
      </w:r>
    </w:p>
    <w:p w14:paraId="26C82DCE" w14:textId="77777777" w:rsidR="001B6A43" w:rsidRDefault="001B6A43" w:rsidP="001B6A43"/>
    <w:p w14:paraId="41450A80" w14:textId="3BE2CE0F" w:rsidR="001B6A43" w:rsidRDefault="001B6A43" w:rsidP="001B6A43">
      <w:pPr>
        <w:pStyle w:val="Heading3"/>
      </w:pPr>
      <w:r>
        <w:lastRenderedPageBreak/>
        <w:t>Informed Consent</w:t>
      </w:r>
    </w:p>
    <w:p w14:paraId="23FB8043" w14:textId="77777777" w:rsidR="001B6A43" w:rsidRPr="00185E47" w:rsidRDefault="001B6A43" w:rsidP="001B6A43">
      <w:pPr>
        <w:spacing w:after="240" w:line="360" w:lineRule="auto"/>
        <w:jc w:val="both"/>
        <w:rPr>
          <w:rFonts w:cs="Arial"/>
        </w:rPr>
      </w:pPr>
      <w:r>
        <w:rPr>
          <w:rFonts w:cs="Arial"/>
        </w:rPr>
        <w:t>A</w:t>
      </w:r>
      <w:r w:rsidRPr="00185E47">
        <w:rPr>
          <w:rFonts w:cs="Arial"/>
        </w:rPr>
        <w:t xml:space="preserve">n information sheet </w:t>
      </w:r>
      <w:r>
        <w:rPr>
          <w:rFonts w:cs="Arial"/>
        </w:rPr>
        <w:t xml:space="preserve">would need to be constructed </w:t>
      </w:r>
      <w:r w:rsidRPr="00185E47">
        <w:rPr>
          <w:rFonts w:cs="Arial"/>
        </w:rPr>
        <w:t xml:space="preserve">containing all the necessary information participants </w:t>
      </w:r>
      <w:r w:rsidRPr="001B6A43">
        <w:t>would</w:t>
      </w:r>
      <w:r w:rsidRPr="00185E47">
        <w:rPr>
          <w:rFonts w:cs="Arial"/>
        </w:rPr>
        <w:t xml:space="preserve"> need to make an informed decision to decide on participation in the study, such as the purpose of the study, the procedure, sample questions, and more. </w:t>
      </w:r>
    </w:p>
    <w:p w14:paraId="0274520D" w14:textId="77777777" w:rsidR="001B6A43" w:rsidRPr="0032044B" w:rsidRDefault="001B6A43" w:rsidP="001B6A43">
      <w:pPr>
        <w:spacing w:line="360" w:lineRule="auto"/>
        <w:rPr>
          <w:rFonts w:cs="Arial"/>
        </w:rPr>
      </w:pPr>
    </w:p>
    <w:p w14:paraId="437C69AE" w14:textId="77777777" w:rsidR="001B6A43" w:rsidRPr="001B6A43" w:rsidRDefault="001B6A43" w:rsidP="001B6A43">
      <w:pPr>
        <w:pStyle w:val="Heading3"/>
      </w:pPr>
      <w:r w:rsidRPr="001B6A43">
        <w:t xml:space="preserve">Right to Withdraw </w:t>
      </w:r>
    </w:p>
    <w:p w14:paraId="16EF1175" w14:textId="14DE6A21" w:rsidR="001B6A43" w:rsidRPr="00185E47" w:rsidRDefault="001B6A43" w:rsidP="001B6A43">
      <w:pPr>
        <w:spacing w:after="240" w:line="360" w:lineRule="auto"/>
        <w:jc w:val="both"/>
        <w:rPr>
          <w:rFonts w:cs="Arial"/>
        </w:rPr>
      </w:pPr>
      <w:r w:rsidRPr="00185E47">
        <w:rPr>
          <w:rFonts w:cs="Arial"/>
        </w:rPr>
        <w:t xml:space="preserve">This study would be completely voluntary; </w:t>
      </w:r>
      <w:r w:rsidR="001057B8" w:rsidRPr="00185E47">
        <w:rPr>
          <w:rFonts w:cs="Arial"/>
        </w:rPr>
        <w:t>therefore,</w:t>
      </w:r>
      <w:r w:rsidRPr="00185E47">
        <w:rPr>
          <w:rFonts w:cs="Arial"/>
        </w:rPr>
        <w:t xml:space="preserve"> participants who </w:t>
      </w:r>
      <w:r w:rsidR="00547427" w:rsidRPr="00547427">
        <w:rPr>
          <w:rFonts w:cs="Arial"/>
        </w:rPr>
        <w:t xml:space="preserve">would </w:t>
      </w:r>
      <w:r w:rsidRPr="00185E47">
        <w:rPr>
          <w:rFonts w:cs="Arial"/>
        </w:rPr>
        <w:t>suddenly decide to stop participating as part of the study, at any time without explanation or due to personal circumstances</w:t>
      </w:r>
      <w:r w:rsidR="00547427">
        <w:rPr>
          <w:rFonts w:cs="Arial"/>
        </w:rPr>
        <w:t>,</w:t>
      </w:r>
      <w:r w:rsidRPr="00185E47">
        <w:rPr>
          <w:rFonts w:cs="Arial"/>
        </w:rPr>
        <w:t xml:space="preserve"> would be respected. Participants would have the right to ask for their personal data to be withdrawn or destroyed. Moreover, participants would have the right to omit or refuse to answer any </w:t>
      </w:r>
      <w:r w:rsidRPr="001B6A43">
        <w:t>question</w:t>
      </w:r>
      <w:r w:rsidRPr="00185E47">
        <w:rPr>
          <w:rFonts w:cs="Arial"/>
        </w:rPr>
        <w:t xml:space="preserve">, without experiencing any discriminatory treatment by the researcher. It is also important for the researcher to build a rapport with participants before the study because this could facilitate more open and honest answers during the interviews, which could also allow participants to feel more confident with withdrawing or refusing to answer a question (Bell </w:t>
      </w:r>
      <w:r w:rsidR="000D7DD6" w:rsidRPr="000D7DD6">
        <w:rPr>
          <w:i/>
          <w:iCs/>
        </w:rPr>
        <w:t>et al.</w:t>
      </w:r>
      <w:r w:rsidRPr="00185E47">
        <w:rPr>
          <w:rFonts w:cs="Arial"/>
        </w:rPr>
        <w:t xml:space="preserve">, 2016). </w:t>
      </w:r>
    </w:p>
    <w:p w14:paraId="21CF7B41" w14:textId="77777777" w:rsidR="001B6A43" w:rsidRPr="0032044B" w:rsidRDefault="001B6A43" w:rsidP="001B6A43">
      <w:pPr>
        <w:spacing w:line="360" w:lineRule="auto"/>
        <w:rPr>
          <w:rFonts w:cs="Arial"/>
          <w:highlight w:val="yellow"/>
        </w:rPr>
      </w:pPr>
    </w:p>
    <w:p w14:paraId="4962B99C" w14:textId="5D4BFA95" w:rsidR="001B6A43" w:rsidRPr="001B6A43" w:rsidRDefault="001B6A43" w:rsidP="001B6A43">
      <w:pPr>
        <w:pStyle w:val="Heading3"/>
      </w:pPr>
      <w:r w:rsidRPr="001B6A43">
        <w:t>Data Collection</w:t>
      </w:r>
    </w:p>
    <w:p w14:paraId="5E93968E" w14:textId="604E1C3C" w:rsidR="001B6A43" w:rsidRPr="00185E47" w:rsidRDefault="001B6A43" w:rsidP="001B6A43">
      <w:pPr>
        <w:spacing w:after="240" w:line="360" w:lineRule="auto"/>
        <w:jc w:val="both"/>
        <w:rPr>
          <w:rFonts w:cs="Arial"/>
        </w:rPr>
      </w:pPr>
      <w:r w:rsidRPr="00185E47">
        <w:rPr>
          <w:rFonts w:cs="Arial"/>
        </w:rPr>
        <w:t xml:space="preserve">To gather information, semi-structured interviews would be employed. This would be the most appropriate form of </w:t>
      </w:r>
      <w:r w:rsidRPr="001B6A43">
        <w:t>data</w:t>
      </w:r>
      <w:r w:rsidRPr="00185E47">
        <w:rPr>
          <w:rFonts w:cs="Arial"/>
        </w:rPr>
        <w:t xml:space="preserve"> collection for this study because interviews allow the researcher to ask participants questions, with opportunity to ask follow-up questions to clarify themselves or provide further detail on post-stroke dysphagia to increase </w:t>
      </w:r>
      <w:r w:rsidR="00D3717F">
        <w:rPr>
          <w:rFonts w:cs="Arial"/>
        </w:rPr>
        <w:t xml:space="preserve">the </w:t>
      </w:r>
      <w:r w:rsidRPr="00185E47">
        <w:rPr>
          <w:rFonts w:cs="Arial"/>
        </w:rPr>
        <w:t xml:space="preserve">understanding of these experiences. This is in contrast to quantitative methods such as closed questionnaires and experiments, which </w:t>
      </w:r>
      <w:r w:rsidR="00D3717F">
        <w:rPr>
          <w:rFonts w:cs="Arial"/>
        </w:rPr>
        <w:t>would</w:t>
      </w:r>
      <w:r w:rsidRPr="00185E47">
        <w:rPr>
          <w:rFonts w:cs="Arial"/>
        </w:rPr>
        <w:t xml:space="preserve"> not </w:t>
      </w:r>
      <w:r w:rsidR="00D3717F">
        <w:rPr>
          <w:rFonts w:cs="Arial"/>
        </w:rPr>
        <w:t xml:space="preserve">be </w:t>
      </w:r>
      <w:r w:rsidRPr="00185E47">
        <w:rPr>
          <w:rFonts w:cs="Arial"/>
        </w:rPr>
        <w:t xml:space="preserve">chosen because a quantitative approach would not allow the asking of open questions to allow the researcher to </w:t>
      </w:r>
      <w:r w:rsidR="001057B8" w:rsidRPr="00185E47">
        <w:rPr>
          <w:rFonts w:cs="Arial"/>
        </w:rPr>
        <w:t>explore and</w:t>
      </w:r>
      <w:r w:rsidRPr="00185E47">
        <w:rPr>
          <w:rFonts w:cs="Arial"/>
        </w:rPr>
        <w:t xml:space="preserve"> provide a deeper insight </w:t>
      </w:r>
      <w:r w:rsidR="00D3717F">
        <w:rPr>
          <w:rFonts w:cs="Arial"/>
        </w:rPr>
        <w:t>into</w:t>
      </w:r>
      <w:r w:rsidRPr="00185E47">
        <w:rPr>
          <w:rFonts w:cs="Arial"/>
        </w:rPr>
        <w:t xml:space="preserve"> these experiences (Green </w:t>
      </w:r>
      <w:r w:rsidR="000D7DD6">
        <w:rPr>
          <w:rFonts w:cs="Arial"/>
        </w:rPr>
        <w:t>and</w:t>
      </w:r>
      <w:r w:rsidRPr="00185E47">
        <w:rPr>
          <w:rFonts w:cs="Arial"/>
        </w:rPr>
        <w:t xml:space="preserve"> Thorogood, 2018). </w:t>
      </w:r>
    </w:p>
    <w:p w14:paraId="5F03B381" w14:textId="0730A2CD" w:rsidR="001B6A43" w:rsidRPr="00185E47" w:rsidRDefault="00D3717F" w:rsidP="001B6A43">
      <w:pPr>
        <w:spacing w:after="240" w:line="360" w:lineRule="auto"/>
        <w:jc w:val="both"/>
        <w:rPr>
          <w:rFonts w:cs="Arial"/>
        </w:rPr>
      </w:pPr>
      <w:r>
        <w:rPr>
          <w:rFonts w:cs="Arial"/>
        </w:rPr>
        <w:t>T</w:t>
      </w:r>
      <w:r w:rsidR="001B6A43" w:rsidRPr="00185E47">
        <w:rPr>
          <w:rFonts w:cs="Arial"/>
        </w:rPr>
        <w:t>he credibility of solely collecting information using interviews is question</w:t>
      </w:r>
      <w:r>
        <w:rPr>
          <w:rFonts w:cs="Arial"/>
        </w:rPr>
        <w:t>able</w:t>
      </w:r>
      <w:r w:rsidR="001B6A43" w:rsidRPr="00185E47">
        <w:rPr>
          <w:rFonts w:cs="Arial"/>
        </w:rPr>
        <w:t xml:space="preserve">, </w:t>
      </w:r>
      <w:r>
        <w:rPr>
          <w:rFonts w:cs="Arial"/>
        </w:rPr>
        <w:t>however. T</w:t>
      </w:r>
      <w:r w:rsidR="001B6A43" w:rsidRPr="00185E47">
        <w:rPr>
          <w:rFonts w:cs="Arial"/>
        </w:rPr>
        <w:t xml:space="preserve">his is because forgetting small details is likely, and writing notes whilst trying to remember exactly what participants have verbalised can be difficult, impacting the reliability of the information gathered. </w:t>
      </w:r>
      <w:r w:rsidR="001B6A43" w:rsidRPr="00185E47">
        <w:rPr>
          <w:rFonts w:cs="Arial"/>
        </w:rPr>
        <w:lastRenderedPageBreak/>
        <w:t xml:space="preserve">Therefore, to increase the credibility of findings, triangulation would be recommended. This would involve using multiple methods to collect data, such as an audio recorder and a transcriber (Aveyard, 2019). Audio recorders are commonly used for interviews </w:t>
      </w:r>
      <w:r>
        <w:rPr>
          <w:rFonts w:cs="Arial"/>
        </w:rPr>
        <w:t>to improve</w:t>
      </w:r>
      <w:r w:rsidR="001B6A43" w:rsidRPr="00185E47">
        <w:rPr>
          <w:rFonts w:cs="Arial"/>
        </w:rPr>
        <w:t xml:space="preserve"> factual precision</w:t>
      </w:r>
      <w:r>
        <w:rPr>
          <w:rFonts w:cs="Arial"/>
        </w:rPr>
        <w:t xml:space="preserve"> </w:t>
      </w:r>
      <w:r w:rsidR="001B6A43" w:rsidRPr="00185E47">
        <w:rPr>
          <w:rFonts w:cs="Arial"/>
        </w:rPr>
        <w:t xml:space="preserve">and for the researcher to focus more on listening, probing, asking follow-up questions, and maintaining eye contact to allow participants to feel listened to and respected. However, malfunction with the devices is possible, external background noise may block pieces of information, and participants’ awareness of the recordings may result in nervousness, </w:t>
      </w:r>
      <w:r>
        <w:t>causing them to</w:t>
      </w:r>
      <w:r w:rsidR="001B6A43" w:rsidRPr="00185E47">
        <w:rPr>
          <w:rFonts w:cs="Arial"/>
        </w:rPr>
        <w:t xml:space="preserve"> </w:t>
      </w:r>
      <w:r>
        <w:rPr>
          <w:rFonts w:cs="Arial"/>
        </w:rPr>
        <w:t>be</w:t>
      </w:r>
      <w:r w:rsidR="001B6A43" w:rsidRPr="00185E47">
        <w:rPr>
          <w:rFonts w:cs="Arial"/>
        </w:rPr>
        <w:t xml:space="preserve"> cautious </w:t>
      </w:r>
      <w:r>
        <w:rPr>
          <w:rFonts w:cs="Arial"/>
        </w:rPr>
        <w:t>about</w:t>
      </w:r>
      <w:r w:rsidR="001B6A43" w:rsidRPr="00185E47">
        <w:rPr>
          <w:rFonts w:cs="Arial"/>
        </w:rPr>
        <w:t xml:space="preserve"> what they say (Rutakuma </w:t>
      </w:r>
      <w:r w:rsidR="000D7DD6" w:rsidRPr="000D7DD6">
        <w:rPr>
          <w:i/>
          <w:iCs/>
        </w:rPr>
        <w:t>et al.</w:t>
      </w:r>
      <w:r w:rsidR="001B6A43" w:rsidRPr="00185E47">
        <w:rPr>
          <w:rFonts w:cs="Arial"/>
        </w:rPr>
        <w:t xml:space="preserve">, 2020). Furthermore, transcribing the information would allow the researchers to easily analyse and become more immersed in the data to have a deeper understanding of participants’ experiences (McMullin, 2021). However, </w:t>
      </w:r>
      <w:r>
        <w:rPr>
          <w:rFonts w:cs="Arial"/>
        </w:rPr>
        <w:t xml:space="preserve">the </w:t>
      </w:r>
      <w:r w:rsidR="001B6A43" w:rsidRPr="00185E47">
        <w:rPr>
          <w:rFonts w:cs="Arial"/>
        </w:rPr>
        <w:t>transcription of interviews is highly time consuming</w:t>
      </w:r>
      <w:r>
        <w:rPr>
          <w:rFonts w:cs="Arial"/>
        </w:rPr>
        <w:t>;</w:t>
      </w:r>
      <w:r w:rsidR="001B6A43" w:rsidRPr="00185E47">
        <w:rPr>
          <w:rFonts w:cs="Arial"/>
        </w:rPr>
        <w:t xml:space="preserve"> therefore</w:t>
      </w:r>
      <w:r>
        <w:rPr>
          <w:rFonts w:cs="Arial"/>
        </w:rPr>
        <w:t>,</w:t>
      </w:r>
      <w:r w:rsidR="001B6A43" w:rsidRPr="00185E47">
        <w:rPr>
          <w:rFonts w:cs="Arial"/>
        </w:rPr>
        <w:t xml:space="preserve"> the researcher would benefit from employing a transcriber, </w:t>
      </w:r>
      <w:r w:rsidR="00E57E6E">
        <w:rPr>
          <w:rFonts w:cs="Arial"/>
        </w:rPr>
        <w:t>which costs</w:t>
      </w:r>
      <w:r w:rsidR="001B6A43" w:rsidRPr="00185E47">
        <w:rPr>
          <w:rFonts w:cs="Arial"/>
        </w:rPr>
        <w:t xml:space="preserve"> approximately £10 per hour (PayScale, 2022). </w:t>
      </w:r>
    </w:p>
    <w:p w14:paraId="2C0A479D" w14:textId="77777777" w:rsidR="001B6A43" w:rsidRPr="0032044B" w:rsidRDefault="001B6A43" w:rsidP="001B6A43">
      <w:pPr>
        <w:spacing w:line="360" w:lineRule="auto"/>
        <w:rPr>
          <w:rFonts w:cs="Arial"/>
          <w:highlight w:val="yellow"/>
        </w:rPr>
      </w:pPr>
    </w:p>
    <w:p w14:paraId="7C877711" w14:textId="1C57A4C6" w:rsidR="001B6A43" w:rsidRPr="001B6A43" w:rsidRDefault="001B6A43" w:rsidP="001B6A43">
      <w:pPr>
        <w:pStyle w:val="Heading3"/>
      </w:pPr>
      <w:r w:rsidRPr="001B6A43">
        <w:t xml:space="preserve">Data Analysis </w:t>
      </w:r>
    </w:p>
    <w:p w14:paraId="50EEA3EA" w14:textId="23FED33A" w:rsidR="001B6A43" w:rsidRPr="00185E47" w:rsidRDefault="001B6A43" w:rsidP="001B6A43">
      <w:pPr>
        <w:spacing w:after="240" w:line="360" w:lineRule="auto"/>
        <w:jc w:val="both"/>
        <w:rPr>
          <w:rStyle w:val="xs1"/>
          <w:rFonts w:cs="Arial"/>
          <w:bdr w:val="none" w:sz="0" w:space="0" w:color="auto" w:frame="1"/>
        </w:rPr>
      </w:pPr>
      <w:r w:rsidRPr="00185E47">
        <w:rPr>
          <w:rStyle w:val="xs1"/>
          <w:rFonts w:cs="Arial"/>
          <w:bdr w:val="none" w:sz="0" w:space="0" w:color="auto" w:frame="1"/>
        </w:rPr>
        <w:t xml:space="preserve">Interpretive phenomenological analysis (IPA) would be used to analyse the data gained from the interviews. This is because IPA is recommended for studies that focus on uncovering the meaning of lived experiences through in-depth reflective inquiry. This would involve rich engagement and </w:t>
      </w:r>
      <w:r w:rsidR="00EE345E">
        <w:rPr>
          <w:rStyle w:val="xs1"/>
          <w:rFonts w:cs="Arial"/>
          <w:bdr w:val="none" w:sz="0" w:space="0" w:color="auto" w:frame="1"/>
        </w:rPr>
        <w:t xml:space="preserve">an </w:t>
      </w:r>
      <w:r w:rsidRPr="00185E47">
        <w:rPr>
          <w:rStyle w:val="xs1"/>
          <w:rFonts w:cs="Arial"/>
          <w:bdr w:val="none" w:sz="0" w:space="0" w:color="auto" w:frame="1"/>
        </w:rPr>
        <w:t xml:space="preserve">interpretation of the findings </w:t>
      </w:r>
      <w:r w:rsidR="00EE345E" w:rsidRPr="00185E47">
        <w:rPr>
          <w:rStyle w:val="xs1"/>
          <w:rFonts w:cs="Arial"/>
          <w:bdr w:val="none" w:sz="0" w:space="0" w:color="auto" w:frame="1"/>
        </w:rPr>
        <w:t xml:space="preserve">and researcher </w:t>
      </w:r>
      <w:r w:rsidRPr="00185E47">
        <w:rPr>
          <w:rStyle w:val="xs1"/>
          <w:rFonts w:cs="Arial"/>
          <w:bdr w:val="none" w:sz="0" w:space="0" w:color="auto" w:frame="1"/>
        </w:rPr>
        <w:t xml:space="preserve">by the researcher trying to understand the participants’ world and views. This type of analysis would also involve the researcher looking at participants </w:t>
      </w:r>
      <w:r w:rsidRPr="001B6A43">
        <w:t>in</w:t>
      </w:r>
      <w:r w:rsidRPr="00185E47">
        <w:rPr>
          <w:rStyle w:val="xs1"/>
          <w:rFonts w:cs="Arial"/>
          <w:bdr w:val="none" w:sz="0" w:space="0" w:color="auto" w:frame="1"/>
        </w:rPr>
        <w:t xml:space="preserve"> a non-judgemental way by setting aside their pre-understanding of the experiences of stroke-related dysphagia and opinions, a concept known as </w:t>
      </w:r>
      <w:r w:rsidR="00EE345E">
        <w:rPr>
          <w:rStyle w:val="xs1"/>
          <w:rFonts w:cs="Arial"/>
          <w:bdr w:val="none" w:sz="0" w:space="0" w:color="auto" w:frame="1"/>
        </w:rPr>
        <w:t>‘</w:t>
      </w:r>
      <w:r w:rsidRPr="00185E47">
        <w:rPr>
          <w:rStyle w:val="xs1"/>
          <w:rFonts w:cs="Arial"/>
          <w:bdr w:val="none" w:sz="0" w:space="0" w:color="auto" w:frame="1"/>
        </w:rPr>
        <w:t>bracketing</w:t>
      </w:r>
      <w:r w:rsidR="00EE345E">
        <w:rPr>
          <w:rStyle w:val="xs1"/>
          <w:rFonts w:cs="Arial"/>
          <w:bdr w:val="none" w:sz="0" w:space="0" w:color="auto" w:frame="1"/>
        </w:rPr>
        <w:t>’</w:t>
      </w:r>
      <w:r w:rsidRPr="00185E47">
        <w:rPr>
          <w:rStyle w:val="xs1"/>
          <w:rFonts w:cs="Arial"/>
          <w:bdr w:val="none" w:sz="0" w:space="0" w:color="auto" w:frame="1"/>
        </w:rPr>
        <w:t xml:space="preserve">. This would allow the researcher to construct insightful interpretive accounts and a new understanding of this topic to increase awareness of the impact of long-term post-stroke dysphagia in the community within healthcare (Smith </w:t>
      </w:r>
      <w:r w:rsidR="000D7DD6">
        <w:rPr>
          <w:rStyle w:val="xs1"/>
          <w:rFonts w:cs="Arial"/>
          <w:bdr w:val="none" w:sz="0" w:space="0" w:color="auto" w:frame="1"/>
        </w:rPr>
        <w:t>and</w:t>
      </w:r>
      <w:r w:rsidRPr="00185E47">
        <w:rPr>
          <w:rStyle w:val="xs1"/>
          <w:rFonts w:cs="Arial"/>
          <w:bdr w:val="none" w:sz="0" w:space="0" w:color="auto" w:frame="1"/>
        </w:rPr>
        <w:t xml:space="preserve"> Osborn, 2015). </w:t>
      </w:r>
    </w:p>
    <w:p w14:paraId="71A1357F" w14:textId="4F255B06" w:rsidR="001B6A43" w:rsidRPr="001B6A43" w:rsidRDefault="001B6A43" w:rsidP="001B6A43">
      <w:pPr>
        <w:spacing w:after="240" w:line="360" w:lineRule="auto"/>
        <w:jc w:val="both"/>
        <w:rPr>
          <w:rFonts w:cs="Arial"/>
          <w:bdr w:val="none" w:sz="0" w:space="0" w:color="auto" w:frame="1"/>
        </w:rPr>
      </w:pPr>
      <w:r w:rsidRPr="00185E47">
        <w:rPr>
          <w:rStyle w:val="xs1"/>
          <w:rFonts w:cs="Arial"/>
          <w:bdr w:val="none" w:sz="0" w:space="0" w:color="auto" w:frame="1"/>
        </w:rPr>
        <w:t xml:space="preserve">Aveyard (2019) would argue that qualitative methodologies are susceptible to researcher bias due to the involvement of the </w:t>
      </w:r>
      <w:r w:rsidRPr="001B6A43">
        <w:t>researcher</w:t>
      </w:r>
      <w:r w:rsidRPr="00185E47">
        <w:rPr>
          <w:rStyle w:val="xs1"/>
          <w:rFonts w:cs="Arial"/>
          <w:bdr w:val="none" w:sz="0" w:space="0" w:color="auto" w:frame="1"/>
        </w:rPr>
        <w:t xml:space="preserve"> during the research process</w:t>
      </w:r>
      <w:r w:rsidR="00EE345E">
        <w:rPr>
          <w:rStyle w:val="xs1"/>
          <w:rFonts w:cs="Arial"/>
          <w:bdr w:val="none" w:sz="0" w:space="0" w:color="auto" w:frame="1"/>
        </w:rPr>
        <w:t>.</w:t>
      </w:r>
      <w:r w:rsidRPr="00185E47">
        <w:rPr>
          <w:rStyle w:val="xs1"/>
          <w:rFonts w:cs="Arial"/>
          <w:bdr w:val="none" w:sz="0" w:space="0" w:color="auto" w:frame="1"/>
        </w:rPr>
        <w:t xml:space="preserve"> </w:t>
      </w:r>
      <w:r w:rsidR="00EE345E">
        <w:rPr>
          <w:rStyle w:val="xs1"/>
          <w:rFonts w:cs="Arial"/>
          <w:bdr w:val="none" w:sz="0" w:space="0" w:color="auto" w:frame="1"/>
        </w:rPr>
        <w:t>T</w:t>
      </w:r>
      <w:r w:rsidRPr="00185E47">
        <w:rPr>
          <w:rStyle w:val="xs1"/>
          <w:rFonts w:cs="Arial"/>
          <w:bdr w:val="none" w:sz="0" w:space="0" w:color="auto" w:frame="1"/>
        </w:rPr>
        <w:t>his is because</w:t>
      </w:r>
      <w:r w:rsidR="00EE345E">
        <w:rPr>
          <w:rStyle w:val="xs1"/>
          <w:rFonts w:cs="Arial"/>
          <w:bdr w:val="none" w:sz="0" w:space="0" w:color="auto" w:frame="1"/>
        </w:rPr>
        <w:t xml:space="preserve"> the</w:t>
      </w:r>
      <w:r w:rsidRPr="00185E47">
        <w:rPr>
          <w:rStyle w:val="xs1"/>
          <w:rFonts w:cs="Arial"/>
          <w:bdr w:val="none" w:sz="0" w:space="0" w:color="auto" w:frame="1"/>
        </w:rPr>
        <w:t xml:space="preserve"> contamination of the </w:t>
      </w:r>
      <w:r w:rsidR="001057B8" w:rsidRPr="00185E47">
        <w:rPr>
          <w:rStyle w:val="xs1"/>
          <w:rFonts w:cs="Arial"/>
          <w:bdr w:val="none" w:sz="0" w:space="0" w:color="auto" w:frame="1"/>
        </w:rPr>
        <w:t>researchers’</w:t>
      </w:r>
      <w:r w:rsidRPr="00185E47">
        <w:rPr>
          <w:rStyle w:val="xs1"/>
          <w:rFonts w:cs="Arial"/>
          <w:bdr w:val="none" w:sz="0" w:space="0" w:color="auto" w:frame="1"/>
        </w:rPr>
        <w:t xml:space="preserve"> own beliefs, experiences</w:t>
      </w:r>
      <w:r w:rsidR="00EE345E">
        <w:rPr>
          <w:rStyle w:val="xs1"/>
          <w:rFonts w:cs="Arial"/>
          <w:bdr w:val="none" w:sz="0" w:space="0" w:color="auto" w:frame="1"/>
        </w:rPr>
        <w:t>,</w:t>
      </w:r>
      <w:r w:rsidRPr="00185E47">
        <w:rPr>
          <w:rStyle w:val="xs1"/>
          <w:rFonts w:cs="Arial"/>
          <w:bdr w:val="none" w:sz="0" w:space="0" w:color="auto" w:frame="1"/>
        </w:rPr>
        <w:t xml:space="preserve"> and perceptions is possible</w:t>
      </w:r>
      <w:r w:rsidR="00EE345E">
        <w:rPr>
          <w:rStyle w:val="xs1"/>
          <w:rFonts w:cs="Arial"/>
          <w:bdr w:val="none" w:sz="0" w:space="0" w:color="auto" w:frame="1"/>
        </w:rPr>
        <w:t xml:space="preserve"> and</w:t>
      </w:r>
      <w:r w:rsidRPr="00185E47">
        <w:rPr>
          <w:rStyle w:val="xs1"/>
          <w:rFonts w:cs="Arial"/>
          <w:bdr w:val="none" w:sz="0" w:space="0" w:color="auto" w:frame="1"/>
        </w:rPr>
        <w:t xml:space="preserve"> creat</w:t>
      </w:r>
      <w:r w:rsidR="00EE345E">
        <w:rPr>
          <w:rStyle w:val="xs1"/>
          <w:rFonts w:cs="Arial"/>
          <w:bdr w:val="none" w:sz="0" w:space="0" w:color="auto" w:frame="1"/>
        </w:rPr>
        <w:t>es</w:t>
      </w:r>
      <w:r w:rsidRPr="00185E47">
        <w:rPr>
          <w:rStyle w:val="xs1"/>
          <w:rFonts w:cs="Arial"/>
          <w:bdr w:val="none" w:sz="0" w:space="0" w:color="auto" w:frame="1"/>
        </w:rPr>
        <w:t xml:space="preserve"> a barrier to understanding participants’ experiences.</w:t>
      </w:r>
      <w:r w:rsidRPr="00185E47">
        <w:rPr>
          <w:rStyle w:val="xapple-converted-space"/>
          <w:rFonts w:cs="Arial"/>
          <w:bdr w:val="none" w:sz="0" w:space="0" w:color="auto" w:frame="1"/>
        </w:rPr>
        <w:t> </w:t>
      </w:r>
      <w:r w:rsidRPr="00185E47">
        <w:rPr>
          <w:rStyle w:val="xs1"/>
          <w:rFonts w:cs="Arial"/>
          <w:bdr w:val="none" w:sz="0" w:space="0" w:color="auto" w:frame="1"/>
        </w:rPr>
        <w:t>However, IPA acknowledges this and therefore encourages reflexivity</w:t>
      </w:r>
      <w:r w:rsidR="00EE345E">
        <w:rPr>
          <w:rStyle w:val="xs1"/>
          <w:rFonts w:cs="Arial"/>
          <w:bdr w:val="none" w:sz="0" w:space="0" w:color="auto" w:frame="1"/>
        </w:rPr>
        <w:t>,</w:t>
      </w:r>
      <w:r w:rsidRPr="00185E47">
        <w:rPr>
          <w:rStyle w:val="xs1"/>
          <w:rFonts w:cs="Arial"/>
          <w:bdr w:val="none" w:sz="0" w:space="0" w:color="auto" w:frame="1"/>
        </w:rPr>
        <w:t xml:space="preserve"> </w:t>
      </w:r>
      <w:r w:rsidR="00EE345E">
        <w:rPr>
          <w:rStyle w:val="xs1"/>
          <w:rFonts w:cs="Arial"/>
          <w:bdr w:val="none" w:sz="0" w:space="0" w:color="auto" w:frame="1"/>
        </w:rPr>
        <w:t>a</w:t>
      </w:r>
      <w:r w:rsidRPr="00185E47">
        <w:rPr>
          <w:rStyle w:val="xs1"/>
          <w:rFonts w:cs="Arial"/>
          <w:bdr w:val="none" w:sz="0" w:space="0" w:color="auto" w:frame="1"/>
        </w:rPr>
        <w:t xml:space="preserve"> process whereby the researcher acknowledges how they may potentially </w:t>
      </w:r>
      <w:r w:rsidRPr="00185E47">
        <w:rPr>
          <w:rStyle w:val="xs1"/>
          <w:rFonts w:cs="Arial"/>
          <w:bdr w:val="none" w:sz="0" w:space="0" w:color="auto" w:frame="1"/>
        </w:rPr>
        <w:lastRenderedPageBreak/>
        <w:t xml:space="preserve">influence the research process. IPA specifically focuses on inter-subjective reflexivity, which focuses on discovering the relationship between the participant and researcher. Therefore, the main researcher would need to keep a reflexive journal of personal biases and assumptions to reduce researcher bias and improve the trustworthiness of the findings (Smith </w:t>
      </w:r>
      <w:r w:rsidR="000D7DD6">
        <w:rPr>
          <w:rStyle w:val="xs1"/>
          <w:rFonts w:cs="Arial"/>
          <w:bdr w:val="none" w:sz="0" w:space="0" w:color="auto" w:frame="1"/>
        </w:rPr>
        <w:t>and</w:t>
      </w:r>
      <w:r w:rsidRPr="00185E47">
        <w:rPr>
          <w:rStyle w:val="xs1"/>
          <w:rFonts w:cs="Arial"/>
          <w:bdr w:val="none" w:sz="0" w:space="0" w:color="auto" w:frame="1"/>
        </w:rPr>
        <w:t xml:space="preserve"> Osborn, 2015). </w:t>
      </w:r>
    </w:p>
    <w:p w14:paraId="57C6EC4B" w14:textId="280AFA9B" w:rsidR="001B6A43" w:rsidRDefault="00EE345E" w:rsidP="001B6A43">
      <w:pPr>
        <w:spacing w:after="240" w:line="360" w:lineRule="auto"/>
        <w:jc w:val="both"/>
        <w:rPr>
          <w:rStyle w:val="xs1"/>
          <w:rFonts w:cs="Arial"/>
          <w:bdr w:val="none" w:sz="0" w:space="0" w:color="auto" w:frame="1"/>
        </w:rPr>
      </w:pPr>
      <w:r>
        <w:rPr>
          <w:rStyle w:val="xs1"/>
          <w:rFonts w:cs="Arial"/>
          <w:bdr w:val="none" w:sz="0" w:space="0" w:color="auto" w:frame="1"/>
        </w:rPr>
        <w:t>T</w:t>
      </w:r>
      <w:r w:rsidR="001B6A43" w:rsidRPr="00185E47">
        <w:rPr>
          <w:rStyle w:val="xs1"/>
          <w:rFonts w:cs="Arial"/>
          <w:bdr w:val="none" w:sz="0" w:space="0" w:color="auto" w:frame="1"/>
        </w:rPr>
        <w:t xml:space="preserve">wo research assistants would need be hired to </w:t>
      </w:r>
      <w:r>
        <w:rPr>
          <w:rStyle w:val="xs1"/>
          <w:rFonts w:cs="Arial"/>
          <w:bdr w:val="none" w:sz="0" w:space="0" w:color="auto" w:frame="1"/>
        </w:rPr>
        <w:t>further</w:t>
      </w:r>
      <w:r w:rsidR="001B6A43" w:rsidRPr="00185E47">
        <w:rPr>
          <w:rStyle w:val="xs1"/>
          <w:rFonts w:cs="Arial"/>
          <w:bdr w:val="none" w:sz="0" w:space="0" w:color="auto" w:frame="1"/>
        </w:rPr>
        <w:t xml:space="preserve"> analyse the findings with the main researcher, </w:t>
      </w:r>
      <w:r>
        <w:rPr>
          <w:rStyle w:val="xs1"/>
          <w:rFonts w:cs="Arial"/>
          <w:bdr w:val="none" w:sz="0" w:space="0" w:color="auto" w:frame="1"/>
        </w:rPr>
        <w:t xml:space="preserve">which </w:t>
      </w:r>
      <w:r w:rsidR="001B6A43" w:rsidRPr="00185E47">
        <w:rPr>
          <w:rStyle w:val="xs1"/>
          <w:rFonts w:cs="Arial"/>
          <w:bdr w:val="none" w:sz="0" w:space="0" w:color="auto" w:frame="1"/>
        </w:rPr>
        <w:t>would enable discussions to ensure the analysis of the findings are interpreted and challenged</w:t>
      </w:r>
      <w:r>
        <w:rPr>
          <w:rStyle w:val="xs1"/>
          <w:rFonts w:cs="Arial"/>
          <w:bdr w:val="none" w:sz="0" w:space="0" w:color="auto" w:frame="1"/>
        </w:rPr>
        <w:t>.</w:t>
      </w:r>
      <w:r w:rsidR="001B6A43" w:rsidRPr="00185E47">
        <w:rPr>
          <w:rStyle w:val="xs1"/>
          <w:rFonts w:cs="Arial"/>
          <w:bdr w:val="none" w:sz="0" w:space="0" w:color="auto" w:frame="1"/>
        </w:rPr>
        <w:t xml:space="preserve"> </w:t>
      </w:r>
      <w:r>
        <w:t>T</w:t>
      </w:r>
      <w:r w:rsidR="001B6A43" w:rsidRPr="00185E47">
        <w:rPr>
          <w:rStyle w:val="xs1"/>
          <w:rFonts w:cs="Arial"/>
          <w:bdr w:val="none" w:sz="0" w:space="0" w:color="auto" w:frame="1"/>
        </w:rPr>
        <w:t>he final decision</w:t>
      </w:r>
      <w:r>
        <w:rPr>
          <w:rStyle w:val="xs1"/>
          <w:rFonts w:cs="Arial"/>
          <w:bdr w:val="none" w:sz="0" w:space="0" w:color="auto" w:frame="1"/>
        </w:rPr>
        <w:t>, however,</w:t>
      </w:r>
      <w:r w:rsidR="001B6A43" w:rsidRPr="00185E47">
        <w:rPr>
          <w:rStyle w:val="xs1"/>
          <w:rFonts w:cs="Arial"/>
          <w:bdr w:val="none" w:sz="0" w:space="0" w:color="auto" w:frame="1"/>
        </w:rPr>
        <w:t xml:space="preserve"> would be from the main researcher. This would increase the credibility of the </w:t>
      </w:r>
      <w:r w:rsidR="001057B8" w:rsidRPr="00185E47">
        <w:rPr>
          <w:rStyle w:val="xs1"/>
          <w:rFonts w:cs="Arial"/>
          <w:bdr w:val="none" w:sz="0" w:space="0" w:color="auto" w:frame="1"/>
        </w:rPr>
        <w:t>findings because</w:t>
      </w:r>
      <w:r w:rsidR="001B6A43" w:rsidRPr="00185E47">
        <w:rPr>
          <w:rStyle w:val="xs1"/>
          <w:rFonts w:cs="Arial"/>
          <w:bdr w:val="none" w:sz="0" w:space="0" w:color="auto" w:frame="1"/>
        </w:rPr>
        <w:t xml:space="preserve"> interpretation would not be based on one human (Bryman, 2008).</w:t>
      </w:r>
    </w:p>
    <w:p w14:paraId="5BB63491" w14:textId="77777777" w:rsidR="001B6A43" w:rsidRDefault="001B6A43" w:rsidP="001B6A43">
      <w:pPr>
        <w:spacing w:after="240" w:line="360" w:lineRule="auto"/>
        <w:jc w:val="both"/>
        <w:rPr>
          <w:rStyle w:val="xs1"/>
          <w:rFonts w:cs="Arial"/>
          <w:bdr w:val="none" w:sz="0" w:space="0" w:color="auto" w:frame="1"/>
        </w:rPr>
      </w:pPr>
    </w:p>
    <w:p w14:paraId="6FCF9B6F" w14:textId="1CC626FA" w:rsidR="001B6A43" w:rsidRDefault="001B6A43" w:rsidP="001B6A43">
      <w:pPr>
        <w:pStyle w:val="Heading3"/>
      </w:pPr>
      <w:r>
        <w:t>Funding</w:t>
      </w:r>
    </w:p>
    <w:p w14:paraId="3469A233" w14:textId="7EC06572" w:rsidR="001B6A43" w:rsidRPr="00185E47" w:rsidRDefault="001B6A43" w:rsidP="001B6A43">
      <w:pPr>
        <w:spacing w:after="240" w:line="360" w:lineRule="auto"/>
        <w:jc w:val="both"/>
        <w:rPr>
          <w:rFonts w:cs="Arial"/>
          <w:color w:val="000000"/>
          <w:bdr w:val="none" w:sz="0" w:space="0" w:color="auto" w:frame="1"/>
        </w:rPr>
      </w:pPr>
      <w:r w:rsidRPr="00185E47">
        <w:rPr>
          <w:rFonts w:cs="Arial"/>
          <w:color w:val="000000"/>
          <w:bdr w:val="none" w:sz="0" w:space="0" w:color="auto" w:frame="1"/>
        </w:rPr>
        <w:t xml:space="preserve">Funding opportunities would need to be sought with the support of the Essex University Research and Enterprise Office team (University of Essex, 2022b). Funding would also be sought from the </w:t>
      </w:r>
      <w:r w:rsidRPr="00BD2F4E">
        <w:rPr>
          <w:rFonts w:cs="Arial"/>
          <w:color w:val="000000"/>
          <w:bdr w:val="none" w:sz="0" w:space="0" w:color="auto" w:frame="1"/>
        </w:rPr>
        <w:t>Stroke Association (</w:t>
      </w:r>
      <w:r w:rsidRPr="00BD2F4E">
        <w:rPr>
          <w:rFonts w:cs="Arial"/>
        </w:rPr>
        <w:t>2022b</w:t>
      </w:r>
      <w:r w:rsidRPr="00BD2F4E">
        <w:rPr>
          <w:rFonts w:cs="Arial"/>
          <w:color w:val="000000"/>
          <w:bdr w:val="none" w:sz="0" w:space="0" w:color="auto" w:frame="1"/>
        </w:rPr>
        <w:t>). Investigation</w:t>
      </w:r>
      <w:r w:rsidR="00EE345E" w:rsidRPr="00BD2F4E">
        <w:rPr>
          <w:rFonts w:cs="Arial"/>
          <w:color w:val="000000"/>
          <w:bdr w:val="none" w:sz="0" w:space="0" w:color="auto" w:frame="1"/>
        </w:rPr>
        <w:t>s</w:t>
      </w:r>
      <w:r w:rsidRPr="00BD2F4E">
        <w:rPr>
          <w:rFonts w:cs="Arial"/>
          <w:color w:val="000000"/>
          <w:bdr w:val="none" w:sz="0" w:space="0" w:color="auto" w:frame="1"/>
        </w:rPr>
        <w:t xml:space="preserve"> of funding opportunities would be sought from the </w:t>
      </w:r>
      <w:r w:rsidR="00BD2F4E" w:rsidRPr="00084D0D">
        <w:rPr>
          <w:rFonts w:eastAsia="Times New Roman"/>
        </w:rPr>
        <w:t xml:space="preserve">Royal College of Speech and Language Therapy </w:t>
      </w:r>
      <w:r w:rsidR="00BD2F4E" w:rsidRPr="00BD2F4E">
        <w:rPr>
          <w:rFonts w:eastAsia="Times New Roman"/>
        </w:rPr>
        <w:t>(</w:t>
      </w:r>
      <w:r w:rsidRPr="00BD2F4E">
        <w:rPr>
          <w:rFonts w:cs="Arial"/>
          <w:color w:val="000000"/>
          <w:bdr w:val="none" w:sz="0" w:space="0" w:color="auto" w:frame="1"/>
        </w:rPr>
        <w:t>RCSLT</w:t>
      </w:r>
      <w:r w:rsidR="00BD2F4E" w:rsidRPr="00BD2F4E">
        <w:rPr>
          <w:rFonts w:cs="Arial"/>
          <w:color w:val="000000"/>
          <w:bdr w:val="none" w:sz="0" w:space="0" w:color="auto" w:frame="1"/>
        </w:rPr>
        <w:t>)</w:t>
      </w:r>
      <w:r w:rsidRPr="00BD2F4E">
        <w:rPr>
          <w:rFonts w:cs="Arial"/>
          <w:color w:val="000000"/>
          <w:bdr w:val="none" w:sz="0" w:space="0" w:color="auto" w:frame="1"/>
        </w:rPr>
        <w:t xml:space="preserve"> (2022a). The researcher would also need to</w:t>
      </w:r>
      <w:r w:rsidRPr="00185E47">
        <w:rPr>
          <w:rFonts w:cs="Arial"/>
          <w:color w:val="000000"/>
          <w:bdr w:val="none" w:sz="0" w:space="0" w:color="auto" w:frame="1"/>
        </w:rPr>
        <w:t xml:space="preserve"> explore what the United Kingdom Research and Innovation (2022) and National Institute for Health and Care</w:t>
      </w:r>
      <w:r w:rsidR="00084D0D">
        <w:rPr>
          <w:rFonts w:cs="Arial"/>
          <w:color w:val="000000"/>
          <w:bdr w:val="none" w:sz="0" w:space="0" w:color="auto" w:frame="1"/>
        </w:rPr>
        <w:t xml:space="preserve"> Research</w:t>
      </w:r>
      <w:r w:rsidRPr="00185E47">
        <w:rPr>
          <w:rFonts w:cs="Arial"/>
          <w:color w:val="000000"/>
          <w:bdr w:val="none" w:sz="0" w:space="0" w:color="auto" w:frame="1"/>
        </w:rPr>
        <w:t xml:space="preserve"> (2022) ha</w:t>
      </w:r>
      <w:r w:rsidR="00EE345E">
        <w:rPr>
          <w:rFonts w:cs="Arial"/>
          <w:color w:val="000000"/>
          <w:bdr w:val="none" w:sz="0" w:space="0" w:color="auto" w:frame="1"/>
        </w:rPr>
        <w:t>ve</w:t>
      </w:r>
      <w:r w:rsidRPr="00185E47">
        <w:rPr>
          <w:rFonts w:cs="Arial"/>
          <w:color w:val="000000"/>
          <w:bdr w:val="none" w:sz="0" w:space="0" w:color="auto" w:frame="1"/>
        </w:rPr>
        <w:t xml:space="preserve"> to offer. </w:t>
      </w:r>
    </w:p>
    <w:p w14:paraId="53803D8B" w14:textId="77777777" w:rsidR="001B6A43" w:rsidRPr="0032044B" w:rsidRDefault="001B6A43" w:rsidP="001B6A43">
      <w:pPr>
        <w:pStyle w:val="NormalWeb"/>
        <w:shd w:val="clear" w:color="auto" w:fill="FFFFFF"/>
        <w:spacing w:before="0" w:beforeAutospacing="0" w:after="0" w:afterAutospacing="0" w:line="360" w:lineRule="auto"/>
        <w:textAlignment w:val="baseline"/>
        <w:rPr>
          <w:rFonts w:ascii="Sylfaen" w:hAnsi="Sylfaen" w:cs="Arial"/>
          <w:color w:val="000000"/>
          <w:sz w:val="24"/>
          <w:szCs w:val="24"/>
        </w:rPr>
      </w:pPr>
    </w:p>
    <w:p w14:paraId="79C5CE1E" w14:textId="77777777" w:rsidR="001B6A43" w:rsidRPr="001B6A43" w:rsidRDefault="001B6A43" w:rsidP="001B6A43">
      <w:pPr>
        <w:pStyle w:val="Heading3"/>
      </w:pPr>
      <w:r w:rsidRPr="001B6A43">
        <w:t xml:space="preserve">Trustworthiness </w:t>
      </w:r>
    </w:p>
    <w:p w14:paraId="5D7A3CEB" w14:textId="04753799" w:rsidR="001B6A43" w:rsidRPr="00185E47" w:rsidRDefault="001B6A43" w:rsidP="001B6A43">
      <w:pPr>
        <w:spacing w:after="240" w:line="360" w:lineRule="auto"/>
        <w:jc w:val="both"/>
        <w:rPr>
          <w:rFonts w:cs="Arial"/>
        </w:rPr>
      </w:pPr>
      <w:r w:rsidRPr="00185E47">
        <w:rPr>
          <w:rFonts w:cs="Arial"/>
        </w:rPr>
        <w:t>Interviews are susceptible to social desirability bias, which refers to participants giving socially acceptable answers to please the researcher, impacting the credibility of the findings. Therefore, the interview questions would need to be asked in a neutral and open form, avoiding leading questions, whilst also reminding participants that answers would remain anonymous (Aveyard, 2019).</w:t>
      </w:r>
    </w:p>
    <w:p w14:paraId="093BA56B" w14:textId="09320928" w:rsidR="001B6A43" w:rsidRPr="00185E47" w:rsidRDefault="001B6A43" w:rsidP="001B6A43">
      <w:pPr>
        <w:spacing w:after="240" w:line="360" w:lineRule="auto"/>
        <w:jc w:val="both"/>
        <w:rPr>
          <w:rFonts w:cs="Arial"/>
        </w:rPr>
      </w:pPr>
      <w:r w:rsidRPr="00185E47">
        <w:rPr>
          <w:rFonts w:cs="Arial"/>
        </w:rPr>
        <w:t>The researchers would need to build rapports with participants before the study to increase the likelihood of honest responses and to reduce response bias. However, the researchers</w:t>
      </w:r>
      <w:r w:rsidR="00EE345E">
        <w:rPr>
          <w:rFonts w:cs="Arial"/>
        </w:rPr>
        <w:t>’</w:t>
      </w:r>
      <w:r w:rsidRPr="00185E47">
        <w:rPr>
          <w:rFonts w:cs="Arial"/>
        </w:rPr>
        <w:t xml:space="preserve"> pre-conceived views may impact the type of spontaneous questions asked</w:t>
      </w:r>
      <w:r w:rsidR="00EE345E">
        <w:rPr>
          <w:rFonts w:cs="Arial"/>
        </w:rPr>
        <w:t>;</w:t>
      </w:r>
      <w:r w:rsidRPr="00185E47">
        <w:rPr>
          <w:rFonts w:cs="Arial"/>
        </w:rPr>
        <w:t xml:space="preserve"> therefore</w:t>
      </w:r>
      <w:r w:rsidR="00EE345E">
        <w:rPr>
          <w:rFonts w:cs="Arial"/>
        </w:rPr>
        <w:t>,</w:t>
      </w:r>
      <w:r w:rsidRPr="00185E47">
        <w:rPr>
          <w:rFonts w:cs="Arial"/>
        </w:rPr>
        <w:t xml:space="preserve"> the researcher </w:t>
      </w:r>
      <w:r w:rsidRPr="00185E47">
        <w:rPr>
          <w:rFonts w:cs="Arial"/>
        </w:rPr>
        <w:lastRenderedPageBreak/>
        <w:t xml:space="preserve">keeping a reflective diary could highlight any feelings, </w:t>
      </w:r>
      <w:r w:rsidR="001057B8" w:rsidRPr="00185E47">
        <w:rPr>
          <w:rFonts w:cs="Arial"/>
        </w:rPr>
        <w:t>thoughts,</w:t>
      </w:r>
      <w:r w:rsidRPr="00185E47">
        <w:rPr>
          <w:rFonts w:cs="Arial"/>
        </w:rPr>
        <w:t xml:space="preserve"> and opinions to reflect on to increase the credibility of the findings (Bryman, 2008).</w:t>
      </w:r>
    </w:p>
    <w:p w14:paraId="1A717404" w14:textId="325B8BE0" w:rsidR="001B6A43" w:rsidRPr="00185E47" w:rsidRDefault="001B6A43" w:rsidP="001B6A43">
      <w:pPr>
        <w:spacing w:after="240" w:line="360" w:lineRule="auto"/>
        <w:jc w:val="both"/>
        <w:rPr>
          <w:rFonts w:cs="Arial"/>
        </w:rPr>
      </w:pPr>
      <w:r w:rsidRPr="00185E47">
        <w:rPr>
          <w:rFonts w:cs="Arial"/>
        </w:rPr>
        <w:t xml:space="preserve">Participants having access to the topic guide and pre-set questions may increase the likelihood of rehearsed answers, decreasing the authenticity of the findings. </w:t>
      </w:r>
      <w:r w:rsidR="001057B8" w:rsidRPr="00185E47">
        <w:rPr>
          <w:rFonts w:cs="Arial"/>
        </w:rPr>
        <w:t>However,</w:t>
      </w:r>
      <w:r w:rsidRPr="00185E47">
        <w:rPr>
          <w:rFonts w:cs="Arial"/>
        </w:rPr>
        <w:t xml:space="preserve"> this is essential to obtain informed consent due to the sensitive nature of the study. Moreover, Aveyard (2019) would argue that questions in advance could help participants express their answers more effectively, allowing them to feel better prepared. </w:t>
      </w:r>
    </w:p>
    <w:p w14:paraId="0D7C8ED4" w14:textId="5F34FF54" w:rsidR="001B6A43" w:rsidRPr="00185E47" w:rsidRDefault="001B6A43" w:rsidP="001B6A43">
      <w:pPr>
        <w:spacing w:after="240" w:line="360" w:lineRule="auto"/>
        <w:jc w:val="both"/>
        <w:rPr>
          <w:rFonts w:cs="Arial"/>
        </w:rPr>
      </w:pPr>
      <w:r w:rsidRPr="00185E47">
        <w:rPr>
          <w:rFonts w:cs="Arial"/>
        </w:rPr>
        <w:t>Self-reported data has been criticised because such accounts may not be accurate and cannot be verified. However, the essence of an interview is to collect self-reported data</w:t>
      </w:r>
      <w:r w:rsidR="006F1E93">
        <w:rPr>
          <w:rFonts w:cs="Arial"/>
        </w:rPr>
        <w:t>;</w:t>
      </w:r>
      <w:r w:rsidRPr="00185E47">
        <w:rPr>
          <w:rFonts w:cs="Arial"/>
        </w:rPr>
        <w:t xml:space="preserve"> therefore</w:t>
      </w:r>
      <w:r w:rsidR="006F1E93">
        <w:rPr>
          <w:rFonts w:cs="Arial"/>
        </w:rPr>
        <w:t>,</w:t>
      </w:r>
      <w:r w:rsidRPr="00185E47">
        <w:rPr>
          <w:rFonts w:cs="Arial"/>
        </w:rPr>
        <w:t xml:space="preserve"> this cannot be avoided. To increase the trustworthiness of the accounts, the researcher would have accessed participants’ medical records to confirm </w:t>
      </w:r>
      <w:r w:rsidR="006F1E93">
        <w:rPr>
          <w:rFonts w:cs="Arial"/>
        </w:rPr>
        <w:t xml:space="preserve">the </w:t>
      </w:r>
      <w:r w:rsidRPr="00185E47">
        <w:rPr>
          <w:rFonts w:cs="Arial"/>
        </w:rPr>
        <w:t xml:space="preserve">diagnosis of a stroke and dysphagia, increasing the credibility of the experiences. Despite this, self-reported data </w:t>
      </w:r>
      <w:r w:rsidR="006F1E93">
        <w:rPr>
          <w:rFonts w:cs="Arial"/>
        </w:rPr>
        <w:t>are</w:t>
      </w:r>
      <w:r w:rsidRPr="00185E47">
        <w:rPr>
          <w:rFonts w:cs="Arial"/>
        </w:rPr>
        <w:t xml:space="preserve"> susceptible to </w:t>
      </w:r>
      <w:r w:rsidR="002C2FBC">
        <w:rPr>
          <w:rFonts w:cs="Arial"/>
        </w:rPr>
        <w:t>missing</w:t>
      </w:r>
      <w:r w:rsidRPr="00185E47">
        <w:rPr>
          <w:rFonts w:cs="Arial"/>
        </w:rPr>
        <w:t xml:space="preserve"> certain experiences (selective memory), exaggerating events</w:t>
      </w:r>
      <w:r w:rsidR="006F1E93">
        <w:rPr>
          <w:rFonts w:cs="Arial"/>
        </w:rPr>
        <w:t>,</w:t>
      </w:r>
      <w:r w:rsidRPr="00185E47">
        <w:rPr>
          <w:rFonts w:cs="Arial"/>
        </w:rPr>
        <w:t xml:space="preserve"> and recall bias, impacting the validity of findings (Bryman, 2008).  </w:t>
      </w:r>
    </w:p>
    <w:p w14:paraId="7E801887" w14:textId="77777777" w:rsidR="001B6A43" w:rsidRPr="0032044B" w:rsidRDefault="001B6A43" w:rsidP="001B6A43">
      <w:pPr>
        <w:pStyle w:val="NormalWeb"/>
        <w:shd w:val="clear" w:color="auto" w:fill="FFFFFF"/>
        <w:spacing w:before="0" w:beforeAutospacing="0" w:after="0" w:afterAutospacing="0" w:line="360" w:lineRule="auto"/>
        <w:textAlignment w:val="baseline"/>
        <w:rPr>
          <w:rFonts w:ascii="Sylfaen" w:hAnsi="Sylfaen" w:cs="Arial"/>
          <w:color w:val="000000"/>
          <w:sz w:val="24"/>
          <w:szCs w:val="24"/>
        </w:rPr>
      </w:pPr>
    </w:p>
    <w:p w14:paraId="31F06127" w14:textId="37D3A153" w:rsidR="001B6A43" w:rsidRPr="001B6A43" w:rsidRDefault="001B6A43" w:rsidP="001B6A43">
      <w:pPr>
        <w:pStyle w:val="Heading3"/>
      </w:pPr>
      <w:r w:rsidRPr="001B6A43">
        <w:t>Dissemination</w:t>
      </w:r>
    </w:p>
    <w:p w14:paraId="43A59103" w14:textId="3C8D1C1D" w:rsidR="001B6A43" w:rsidRPr="00185E47" w:rsidRDefault="001B6A43" w:rsidP="001B6A43">
      <w:pPr>
        <w:spacing w:after="240" w:line="360" w:lineRule="auto"/>
        <w:jc w:val="both"/>
        <w:rPr>
          <w:rFonts w:cs="Arial"/>
          <w:color w:val="000000"/>
          <w:bdr w:val="none" w:sz="0" w:space="0" w:color="auto" w:frame="1"/>
        </w:rPr>
      </w:pPr>
      <w:r w:rsidRPr="00185E47">
        <w:rPr>
          <w:rFonts w:cs="Arial"/>
          <w:color w:val="000000"/>
          <w:bdr w:val="none" w:sz="0" w:space="0" w:color="auto" w:frame="1"/>
        </w:rPr>
        <w:t xml:space="preserve">The proposed methods of dissemination would include submitting the research to be published in journals such as the </w:t>
      </w:r>
      <w:r w:rsidR="00422B58">
        <w:rPr>
          <w:rFonts w:cs="Arial"/>
          <w:color w:val="000000"/>
          <w:bdr w:val="none" w:sz="0" w:space="0" w:color="auto" w:frame="1"/>
        </w:rPr>
        <w:t>I</w:t>
      </w:r>
      <w:r w:rsidRPr="00185E47">
        <w:rPr>
          <w:rFonts w:cs="Arial"/>
          <w:color w:val="000000"/>
          <w:bdr w:val="none" w:sz="0" w:space="0" w:color="auto" w:frame="1"/>
        </w:rPr>
        <w:t xml:space="preserve">nternational </w:t>
      </w:r>
      <w:r w:rsidR="00422B58">
        <w:rPr>
          <w:rFonts w:cs="Arial"/>
          <w:color w:val="000000"/>
          <w:bdr w:val="none" w:sz="0" w:space="0" w:color="auto" w:frame="1"/>
        </w:rPr>
        <w:t>J</w:t>
      </w:r>
      <w:r w:rsidRPr="00185E47">
        <w:rPr>
          <w:rFonts w:cs="Arial"/>
          <w:color w:val="000000"/>
          <w:bdr w:val="none" w:sz="0" w:space="0" w:color="auto" w:frame="1"/>
        </w:rPr>
        <w:t xml:space="preserve">ournal of </w:t>
      </w:r>
      <w:r w:rsidR="00422B58">
        <w:rPr>
          <w:rFonts w:cs="Arial"/>
          <w:color w:val="000000"/>
          <w:bdr w:val="none" w:sz="0" w:space="0" w:color="auto" w:frame="1"/>
        </w:rPr>
        <w:t>L</w:t>
      </w:r>
      <w:r w:rsidRPr="00185E47">
        <w:rPr>
          <w:rFonts w:cs="Arial"/>
          <w:color w:val="000000"/>
          <w:bdr w:val="none" w:sz="0" w:space="0" w:color="auto" w:frame="1"/>
        </w:rPr>
        <w:t xml:space="preserve">anguage and </w:t>
      </w:r>
      <w:r w:rsidR="00422B58">
        <w:rPr>
          <w:rFonts w:cs="Arial"/>
          <w:color w:val="000000"/>
          <w:bdr w:val="none" w:sz="0" w:space="0" w:color="auto" w:frame="1"/>
        </w:rPr>
        <w:t>C</w:t>
      </w:r>
      <w:r w:rsidRPr="00185E47">
        <w:rPr>
          <w:rFonts w:cs="Arial"/>
          <w:color w:val="000000"/>
          <w:bdr w:val="none" w:sz="0" w:space="0" w:color="auto" w:frame="1"/>
        </w:rPr>
        <w:t xml:space="preserve">ommunication </w:t>
      </w:r>
      <w:r w:rsidR="00422B58">
        <w:rPr>
          <w:rFonts w:cs="Arial"/>
          <w:color w:val="000000"/>
          <w:bdr w:val="none" w:sz="0" w:space="0" w:color="auto" w:frame="1"/>
        </w:rPr>
        <w:t>D</w:t>
      </w:r>
      <w:r w:rsidRPr="00185E47">
        <w:rPr>
          <w:rFonts w:cs="Arial"/>
          <w:color w:val="000000"/>
          <w:bdr w:val="none" w:sz="0" w:space="0" w:color="auto" w:frame="1"/>
        </w:rPr>
        <w:t>isorders, a major journal that publishes SLT</w:t>
      </w:r>
      <w:r w:rsidR="00422B58">
        <w:rPr>
          <w:rFonts w:cs="Arial"/>
          <w:color w:val="000000"/>
          <w:bdr w:val="none" w:sz="0" w:space="0" w:color="auto" w:frame="1"/>
        </w:rPr>
        <w:t>-</w:t>
      </w:r>
      <w:r w:rsidRPr="00185E47">
        <w:rPr>
          <w:rFonts w:cs="Arial"/>
          <w:color w:val="000000"/>
          <w:bdr w:val="none" w:sz="0" w:space="0" w:color="auto" w:frame="1"/>
        </w:rPr>
        <w:t xml:space="preserve">related articles (Wiley Online Library, 2022). </w:t>
      </w:r>
      <w:r w:rsidR="00422B58">
        <w:rPr>
          <w:rFonts w:cs="Arial"/>
          <w:color w:val="000000"/>
          <w:bdr w:val="none" w:sz="0" w:space="0" w:color="auto" w:frame="1"/>
        </w:rPr>
        <w:t>S</w:t>
      </w:r>
      <w:r w:rsidRPr="00185E47">
        <w:rPr>
          <w:rFonts w:cs="Arial"/>
          <w:color w:val="000000"/>
          <w:bdr w:val="none" w:sz="0" w:space="0" w:color="auto" w:frame="1"/>
        </w:rPr>
        <w:t>ubmission</w:t>
      </w:r>
      <w:r w:rsidR="00422B58">
        <w:rPr>
          <w:rFonts w:cs="Arial"/>
          <w:color w:val="000000"/>
          <w:bdr w:val="none" w:sz="0" w:space="0" w:color="auto" w:frame="1"/>
        </w:rPr>
        <w:t xml:space="preserve"> could also be made</w:t>
      </w:r>
      <w:r w:rsidRPr="00185E47">
        <w:rPr>
          <w:rFonts w:cs="Arial"/>
          <w:color w:val="000000"/>
          <w:bdr w:val="none" w:sz="0" w:space="0" w:color="auto" w:frame="1"/>
        </w:rPr>
        <w:t xml:space="preserve"> to the </w:t>
      </w:r>
      <w:r w:rsidR="00422B58">
        <w:rPr>
          <w:rFonts w:cs="Arial"/>
          <w:color w:val="000000"/>
          <w:bdr w:val="none" w:sz="0" w:space="0" w:color="auto" w:frame="1"/>
        </w:rPr>
        <w:t>I</w:t>
      </w:r>
      <w:r w:rsidRPr="00185E47">
        <w:rPr>
          <w:rFonts w:cs="Arial"/>
          <w:color w:val="000000"/>
          <w:bdr w:val="none" w:sz="0" w:space="0" w:color="auto" w:frame="1"/>
        </w:rPr>
        <w:t xml:space="preserve">nternational </w:t>
      </w:r>
      <w:r w:rsidR="00422B58">
        <w:rPr>
          <w:rFonts w:cs="Arial"/>
        </w:rPr>
        <w:t>J</w:t>
      </w:r>
      <w:r w:rsidRPr="001B6A43">
        <w:rPr>
          <w:rFonts w:cs="Arial"/>
        </w:rPr>
        <w:t>ournal</w:t>
      </w:r>
      <w:r w:rsidRPr="00185E47">
        <w:rPr>
          <w:rFonts w:cs="Arial"/>
          <w:color w:val="000000"/>
          <w:bdr w:val="none" w:sz="0" w:space="0" w:color="auto" w:frame="1"/>
        </w:rPr>
        <w:t xml:space="preserve"> of </w:t>
      </w:r>
      <w:r w:rsidR="00422B58">
        <w:rPr>
          <w:rFonts w:cs="Arial"/>
          <w:color w:val="000000"/>
          <w:bdr w:val="none" w:sz="0" w:space="0" w:color="auto" w:frame="1"/>
        </w:rPr>
        <w:t>S</w:t>
      </w:r>
      <w:r w:rsidRPr="00185E47">
        <w:rPr>
          <w:rFonts w:cs="Arial"/>
          <w:color w:val="000000"/>
          <w:bdr w:val="none" w:sz="0" w:space="0" w:color="auto" w:frame="1"/>
        </w:rPr>
        <w:t xml:space="preserve">troke, which has contributed to the international stroke research community (Journal of Stroke, 2022). The research would also be submitted for possible display on the RCSLT’s professional Twitter account, RCSLT hubs, Clinical Excellence Network via </w:t>
      </w:r>
      <w:r w:rsidRPr="00BD2F4E">
        <w:rPr>
          <w:rFonts w:cs="Arial"/>
          <w:color w:val="000000"/>
          <w:bdr w:val="none" w:sz="0" w:space="0" w:color="auto" w:frame="1"/>
        </w:rPr>
        <w:t xml:space="preserve">email, and inclusion in the </w:t>
      </w:r>
      <w:r w:rsidRPr="00BD2F4E">
        <w:rPr>
          <w:rFonts w:cs="Arial"/>
        </w:rPr>
        <w:t>RCSLT</w:t>
      </w:r>
      <w:r w:rsidRPr="00BD2F4E">
        <w:rPr>
          <w:rFonts w:cs="Arial"/>
          <w:color w:val="000000"/>
          <w:bdr w:val="none" w:sz="0" w:space="0" w:color="auto" w:frame="1"/>
        </w:rPr>
        <w:t xml:space="preserve"> research newsletter (</w:t>
      </w:r>
      <w:r w:rsidR="00BD2F4E" w:rsidRPr="00084D0D">
        <w:rPr>
          <w:rFonts w:eastAsia="Times New Roman"/>
        </w:rPr>
        <w:t>Royal College of Speech and Language Therapy</w:t>
      </w:r>
      <w:r w:rsidR="00422B58" w:rsidRPr="00BD2F4E">
        <w:rPr>
          <w:rFonts w:cs="Arial"/>
          <w:color w:val="000000"/>
          <w:bdr w:val="none" w:sz="0" w:space="0" w:color="auto" w:frame="1"/>
        </w:rPr>
        <w:t>,</w:t>
      </w:r>
      <w:r w:rsidRPr="00BD2F4E">
        <w:rPr>
          <w:rFonts w:cs="Arial"/>
          <w:color w:val="000000"/>
          <w:bdr w:val="none" w:sz="0" w:space="0" w:color="auto" w:frame="1"/>
        </w:rPr>
        <w:t xml:space="preserve"> 2022b).</w:t>
      </w:r>
      <w:r w:rsidRPr="00185E47">
        <w:rPr>
          <w:rFonts w:cs="Arial"/>
          <w:color w:val="000000"/>
          <w:bdr w:val="none" w:sz="0" w:space="0" w:color="auto" w:frame="1"/>
        </w:rPr>
        <w:t xml:space="preserve"> </w:t>
      </w:r>
    </w:p>
    <w:p w14:paraId="6E70471E" w14:textId="07628BCC" w:rsidR="001B6A43" w:rsidRPr="001B6A43" w:rsidRDefault="001B6A43" w:rsidP="001B6A43">
      <w:pPr>
        <w:spacing w:after="240" w:line="360" w:lineRule="auto"/>
        <w:jc w:val="both"/>
        <w:rPr>
          <w:rFonts w:cs="Arial"/>
          <w:color w:val="000000"/>
          <w:bdr w:val="none" w:sz="0" w:space="0" w:color="auto" w:frame="1"/>
        </w:rPr>
      </w:pPr>
      <w:r w:rsidRPr="00185E47">
        <w:rPr>
          <w:rFonts w:cs="Arial"/>
          <w:color w:val="000000"/>
          <w:bdr w:val="none" w:sz="0" w:space="0" w:color="auto" w:frame="1"/>
        </w:rPr>
        <w:t xml:space="preserve">A copy of the published research would be sent to the SLTs and organisations that referred participants to the study. Dissemination through the above methods would help maximise the uptake of the </w:t>
      </w:r>
      <w:r w:rsidRPr="001B6A43">
        <w:rPr>
          <w:rFonts w:cs="Arial"/>
        </w:rPr>
        <w:t>research</w:t>
      </w:r>
      <w:r w:rsidRPr="00185E47">
        <w:rPr>
          <w:rFonts w:cs="Arial"/>
          <w:color w:val="000000"/>
          <w:bdr w:val="none" w:sz="0" w:space="0" w:color="auto" w:frame="1"/>
        </w:rPr>
        <w:t xml:space="preserve"> </w:t>
      </w:r>
      <w:r w:rsidR="00422B58">
        <w:rPr>
          <w:rFonts w:cs="Arial"/>
          <w:color w:val="000000"/>
          <w:bdr w:val="none" w:sz="0" w:space="0" w:color="auto" w:frame="1"/>
        </w:rPr>
        <w:t>by</w:t>
      </w:r>
      <w:r w:rsidRPr="00185E47">
        <w:rPr>
          <w:rFonts w:cs="Arial"/>
          <w:color w:val="000000"/>
          <w:bdr w:val="none" w:sz="0" w:space="0" w:color="auto" w:frame="1"/>
        </w:rPr>
        <w:t xml:space="preserve"> researchers, stakeholders, commissioners, clinicians, charities</w:t>
      </w:r>
      <w:r w:rsidR="000D7DD6">
        <w:rPr>
          <w:rFonts w:cs="Arial"/>
          <w:color w:val="000000"/>
          <w:bdr w:val="none" w:sz="0" w:space="0" w:color="auto" w:frame="1"/>
        </w:rPr>
        <w:t>,</w:t>
      </w:r>
      <w:r w:rsidRPr="00185E47">
        <w:rPr>
          <w:rFonts w:cs="Arial"/>
          <w:color w:val="000000"/>
          <w:bdr w:val="none" w:sz="0" w:space="0" w:color="auto" w:frame="1"/>
        </w:rPr>
        <w:t xml:space="preserve"> and patients with a possible interest in the research study to increase</w:t>
      </w:r>
      <w:r w:rsidR="00422B58">
        <w:rPr>
          <w:rFonts w:cs="Arial"/>
          <w:color w:val="000000"/>
          <w:bdr w:val="none" w:sz="0" w:space="0" w:color="auto" w:frame="1"/>
        </w:rPr>
        <w:t xml:space="preserve"> the</w:t>
      </w:r>
      <w:r w:rsidRPr="00185E47">
        <w:rPr>
          <w:rFonts w:cs="Arial"/>
          <w:color w:val="000000"/>
          <w:bdr w:val="none" w:sz="0" w:space="0" w:color="auto" w:frame="1"/>
        </w:rPr>
        <w:t xml:space="preserve"> awareness and understanding </w:t>
      </w:r>
      <w:r w:rsidRPr="00185E47">
        <w:rPr>
          <w:rFonts w:cs="Arial"/>
          <w:color w:val="000000"/>
          <w:bdr w:val="none" w:sz="0" w:space="0" w:color="auto" w:frame="1"/>
        </w:rPr>
        <w:lastRenderedPageBreak/>
        <w:t xml:space="preserve">of patients’ experiences with long-term post-stroke dysphagia in the community (Wilson </w:t>
      </w:r>
      <w:r w:rsidR="000D7DD6" w:rsidRPr="000D7DD6">
        <w:rPr>
          <w:i/>
          <w:iCs/>
        </w:rPr>
        <w:t>et al.</w:t>
      </w:r>
      <w:r w:rsidRPr="00185E47">
        <w:rPr>
          <w:rFonts w:cs="Arial"/>
          <w:color w:val="000000"/>
          <w:bdr w:val="none" w:sz="0" w:space="0" w:color="auto" w:frame="1"/>
        </w:rPr>
        <w:t>, 2010).</w:t>
      </w:r>
    </w:p>
    <w:p w14:paraId="64652D54" w14:textId="77777777" w:rsidR="001B6A43" w:rsidRPr="0032044B" w:rsidRDefault="001B6A43" w:rsidP="001B6A43">
      <w:pPr>
        <w:spacing w:line="360" w:lineRule="auto"/>
        <w:rPr>
          <w:rFonts w:cs="Arial"/>
          <w:u w:val="single"/>
        </w:rPr>
      </w:pPr>
    </w:p>
    <w:p w14:paraId="52DAF725" w14:textId="23F69F82" w:rsidR="001B6A43" w:rsidRPr="001B6A43" w:rsidRDefault="001B6A43" w:rsidP="001B6A43">
      <w:pPr>
        <w:pStyle w:val="Heading3"/>
      </w:pPr>
      <w:r w:rsidRPr="001B6A43">
        <w:t xml:space="preserve">Clinical Application </w:t>
      </w:r>
    </w:p>
    <w:p w14:paraId="2AD605C8" w14:textId="155087C6" w:rsidR="001B6A43" w:rsidRPr="001B6A43" w:rsidRDefault="001B6A43" w:rsidP="001B6A43">
      <w:pPr>
        <w:spacing w:after="240" w:line="360" w:lineRule="auto"/>
        <w:jc w:val="both"/>
      </w:pPr>
      <w:r w:rsidRPr="00185E47">
        <w:rPr>
          <w:rFonts w:cs="Arial"/>
        </w:rPr>
        <w:t xml:space="preserve">Despite the limitations, the National Institute of Health emphasises the importance of clinical research in enhancing patient health, extending life, </w:t>
      </w:r>
      <w:r w:rsidR="00422B58">
        <w:rPr>
          <w:rFonts w:cs="Arial"/>
        </w:rPr>
        <w:t xml:space="preserve">and </w:t>
      </w:r>
      <w:r w:rsidRPr="00185E47">
        <w:rPr>
          <w:rFonts w:cs="Arial"/>
        </w:rPr>
        <w:t xml:space="preserve">reducing health conditions and hospital admissions. Therefore, the findings from this research project would help raise awareness and provide a deeper insight into the long-term lived experiences of individuals with post-stroke dysphagia in the community (Alvins </w:t>
      </w:r>
      <w:r w:rsidR="000D7DD6">
        <w:rPr>
          <w:rFonts w:cs="Arial"/>
        </w:rPr>
        <w:t>and</w:t>
      </w:r>
      <w:r w:rsidRPr="00185E47">
        <w:rPr>
          <w:rFonts w:cs="Arial"/>
        </w:rPr>
        <w:t xml:space="preserve"> Goldberg, 2007). Seymour (2017) highlighted that </w:t>
      </w:r>
      <w:r w:rsidR="005B2908" w:rsidRPr="00185E47">
        <w:rPr>
          <w:rFonts w:cs="Arial"/>
        </w:rPr>
        <w:t xml:space="preserve">raising </w:t>
      </w:r>
      <w:r w:rsidRPr="00185E47">
        <w:rPr>
          <w:rFonts w:cs="Arial"/>
        </w:rPr>
        <w:t xml:space="preserve">awareness can inform and educate individuals, influencing their beliefs, </w:t>
      </w:r>
      <w:r w:rsidR="00422B58" w:rsidRPr="00185E47">
        <w:rPr>
          <w:rFonts w:cs="Arial"/>
        </w:rPr>
        <w:t>attitudes,</w:t>
      </w:r>
      <w:r w:rsidRPr="00185E47">
        <w:rPr>
          <w:rFonts w:cs="Arial"/>
        </w:rPr>
        <w:t xml:space="preserve"> and behaviour. For example, the findings from this study could influence how SLTs and members of the multidisciplinary </w:t>
      </w:r>
      <w:r w:rsidR="001057B8" w:rsidRPr="00185E47">
        <w:rPr>
          <w:rFonts w:cs="Arial"/>
        </w:rPr>
        <w:t>team</w:t>
      </w:r>
      <w:r w:rsidR="00422B58">
        <w:rPr>
          <w:rFonts w:cs="Arial"/>
        </w:rPr>
        <w:t xml:space="preserve"> </w:t>
      </w:r>
      <w:r w:rsidR="001057B8" w:rsidRPr="00185E47">
        <w:rPr>
          <w:rFonts w:cs="Arial"/>
        </w:rPr>
        <w:t>work</w:t>
      </w:r>
      <w:r w:rsidRPr="00185E47">
        <w:rPr>
          <w:rFonts w:cs="Arial"/>
        </w:rPr>
        <w:t xml:space="preserve"> with individuals with long-term post-stroke dysphagia</w:t>
      </w:r>
      <w:r w:rsidR="005B2908">
        <w:rPr>
          <w:rFonts w:cs="Arial"/>
        </w:rPr>
        <w:t xml:space="preserve"> and</w:t>
      </w:r>
      <w:r w:rsidRPr="00185E47">
        <w:rPr>
          <w:rFonts w:cs="Arial"/>
        </w:rPr>
        <w:t xml:space="preserve"> how these professionals could meet patients’ needs, which would only be possible through patient accounts, increasing their awareness and understanding, </w:t>
      </w:r>
      <w:r w:rsidR="005B2908">
        <w:rPr>
          <w:rFonts w:cs="Arial"/>
        </w:rPr>
        <w:t>which would lead</w:t>
      </w:r>
      <w:r w:rsidRPr="00185E47">
        <w:rPr>
          <w:rFonts w:cs="Arial"/>
        </w:rPr>
        <w:t xml:space="preserve"> to improvements in health outcomes and patients</w:t>
      </w:r>
      <w:r w:rsidR="005B2908">
        <w:rPr>
          <w:rFonts w:cs="Arial"/>
        </w:rPr>
        <w:t>’</w:t>
      </w:r>
      <w:r w:rsidRPr="00185E47">
        <w:rPr>
          <w:rFonts w:cs="Arial"/>
        </w:rPr>
        <w:t xml:space="preserve"> QoL. This is emphasised by the Health and Care Professions Council (HCPC) (2022), which encourages clinicians to take into account service users, needs</w:t>
      </w:r>
      <w:r w:rsidR="005B2908">
        <w:rPr>
          <w:rFonts w:cs="Arial"/>
        </w:rPr>
        <w:t>,</w:t>
      </w:r>
      <w:r w:rsidRPr="00185E47">
        <w:rPr>
          <w:rFonts w:cs="Arial"/>
        </w:rPr>
        <w:t xml:space="preserve"> and wishes by adopting evidence-based practice and person-centred care</w:t>
      </w:r>
      <w:r w:rsidR="005B2908">
        <w:rPr>
          <w:rFonts w:cs="Arial"/>
        </w:rPr>
        <w:t xml:space="preserve"> and</w:t>
      </w:r>
      <w:r w:rsidRPr="00185E47">
        <w:rPr>
          <w:rFonts w:cs="Arial"/>
        </w:rPr>
        <w:t xml:space="preserve"> </w:t>
      </w:r>
      <w:r w:rsidR="005B2908">
        <w:rPr>
          <w:rFonts w:cs="Arial"/>
        </w:rPr>
        <w:t>c</w:t>
      </w:r>
      <w:r w:rsidRPr="00185E47">
        <w:rPr>
          <w:rFonts w:cs="Arial"/>
        </w:rPr>
        <w:t xml:space="preserve">onsequently allowing patients to feel valued, respected, and appreciated. </w:t>
      </w:r>
      <w:r w:rsidR="005B2908">
        <w:rPr>
          <w:rFonts w:cs="Arial"/>
        </w:rPr>
        <w:t>Moreover</w:t>
      </w:r>
      <w:r w:rsidRPr="00185E47">
        <w:rPr>
          <w:rFonts w:cs="Arial"/>
        </w:rPr>
        <w:t>, as previously highlighted in the literature review</w:t>
      </w:r>
      <w:r w:rsidR="005B2908">
        <w:rPr>
          <w:rFonts w:cs="Arial"/>
        </w:rPr>
        <w:t>,</w:t>
      </w:r>
      <w:r w:rsidRPr="00185E47">
        <w:rPr>
          <w:rFonts w:cs="Arial"/>
        </w:rPr>
        <w:t xml:space="preserve"> a research gap exist</w:t>
      </w:r>
      <w:r w:rsidR="005B2908">
        <w:rPr>
          <w:rFonts w:cs="Arial"/>
        </w:rPr>
        <w:t>s</w:t>
      </w:r>
      <w:r w:rsidRPr="00185E47">
        <w:rPr>
          <w:rFonts w:cs="Arial"/>
        </w:rPr>
        <w:t xml:space="preserve"> regarding the lack of community post-stroke experiences</w:t>
      </w:r>
      <w:r w:rsidR="005B2908">
        <w:rPr>
          <w:rFonts w:cs="Arial"/>
        </w:rPr>
        <w:t>;</w:t>
      </w:r>
      <w:r w:rsidRPr="00185E47">
        <w:rPr>
          <w:rFonts w:cs="Arial"/>
        </w:rPr>
        <w:t xml:space="preserve"> therefore</w:t>
      </w:r>
      <w:r w:rsidR="005B2908">
        <w:rPr>
          <w:rFonts w:cs="Arial"/>
        </w:rPr>
        <w:t>,</w:t>
      </w:r>
      <w:r w:rsidRPr="00185E47">
        <w:rPr>
          <w:rFonts w:cs="Arial"/>
        </w:rPr>
        <w:t xml:space="preserve"> the findings from this study would provide knowledge and educate others on these experiences (Eltringham </w:t>
      </w:r>
      <w:r w:rsidR="000D7DD6" w:rsidRPr="000D7DD6">
        <w:rPr>
          <w:i/>
          <w:iCs/>
        </w:rPr>
        <w:t>et al.</w:t>
      </w:r>
      <w:r w:rsidRPr="00185E47">
        <w:rPr>
          <w:rFonts w:cs="Arial"/>
        </w:rPr>
        <w:t xml:space="preserve">, 2019; Hellden </w:t>
      </w:r>
      <w:r w:rsidR="000D7DD6" w:rsidRPr="000D7DD6">
        <w:rPr>
          <w:i/>
          <w:iCs/>
        </w:rPr>
        <w:t>et al.</w:t>
      </w:r>
      <w:r w:rsidRPr="00185E47">
        <w:rPr>
          <w:rFonts w:cs="Arial"/>
        </w:rPr>
        <w:t xml:space="preserve">, 2018; Kim </w:t>
      </w:r>
      <w:r w:rsidR="000D7DD6" w:rsidRPr="000D7DD6">
        <w:rPr>
          <w:i/>
          <w:iCs/>
        </w:rPr>
        <w:t>et al.</w:t>
      </w:r>
      <w:r w:rsidRPr="00185E47">
        <w:rPr>
          <w:rFonts w:cs="Arial"/>
        </w:rPr>
        <w:t>, 2020).</w:t>
      </w:r>
    </w:p>
    <w:p w14:paraId="6866D92A" w14:textId="77777777" w:rsidR="00B45D8B" w:rsidRDefault="00B45D8B" w:rsidP="00240A04"/>
    <w:p w14:paraId="1C0E7A29" w14:textId="77777777" w:rsidR="00B45D8B" w:rsidRPr="00B45D8B" w:rsidRDefault="00B45D8B" w:rsidP="00CF5C0C">
      <w:pPr>
        <w:pStyle w:val="Heading2"/>
        <w:rPr>
          <w:sz w:val="28"/>
          <w:szCs w:val="40"/>
        </w:rPr>
      </w:pPr>
      <w:r w:rsidRPr="00B45D8B">
        <w:t>References</w:t>
      </w:r>
    </w:p>
    <w:p w14:paraId="504EE0C6" w14:textId="1909B776" w:rsidR="007B39A3" w:rsidRDefault="007B39A3" w:rsidP="008253F0">
      <w:pPr>
        <w:rPr>
          <w:rFonts w:eastAsia="Times New Roman"/>
        </w:rPr>
      </w:pPr>
      <w:r w:rsidRPr="00D34F9F">
        <w:rPr>
          <w:rFonts w:eastAsia="Times New Roman"/>
        </w:rPr>
        <w:t xml:space="preserve">Al </w:t>
      </w:r>
      <w:proofErr w:type="spellStart"/>
      <w:r w:rsidRPr="00D34F9F">
        <w:rPr>
          <w:rFonts w:eastAsia="Times New Roman"/>
        </w:rPr>
        <w:t>Rjoob</w:t>
      </w:r>
      <w:proofErr w:type="spellEnd"/>
      <w:r w:rsidRPr="00D34F9F">
        <w:rPr>
          <w:rFonts w:eastAsia="Times New Roman"/>
        </w:rPr>
        <w:t>, M., Hassan, N.</w:t>
      </w:r>
      <w:r>
        <w:rPr>
          <w:rFonts w:eastAsia="Times New Roman"/>
        </w:rPr>
        <w:t xml:space="preserve"> </w:t>
      </w:r>
      <w:r w:rsidRPr="00D34F9F">
        <w:rPr>
          <w:rFonts w:eastAsia="Times New Roman"/>
        </w:rPr>
        <w:t>F.</w:t>
      </w:r>
      <w:r>
        <w:rPr>
          <w:rFonts w:eastAsia="Times New Roman"/>
        </w:rPr>
        <w:t xml:space="preserve"> </w:t>
      </w:r>
      <w:r w:rsidRPr="00D34F9F">
        <w:rPr>
          <w:rFonts w:eastAsia="Times New Roman"/>
        </w:rPr>
        <w:t>H.</w:t>
      </w:r>
      <w:r>
        <w:rPr>
          <w:rFonts w:eastAsia="Times New Roman"/>
        </w:rPr>
        <w:t xml:space="preserve"> </w:t>
      </w:r>
      <w:r w:rsidRPr="00D34F9F">
        <w:rPr>
          <w:rFonts w:eastAsia="Times New Roman"/>
        </w:rPr>
        <w:t>N., Aziz, M.</w:t>
      </w:r>
      <w:r>
        <w:rPr>
          <w:rFonts w:eastAsia="Times New Roman"/>
        </w:rPr>
        <w:t xml:space="preserve"> </w:t>
      </w:r>
      <w:r w:rsidRPr="00D34F9F">
        <w:rPr>
          <w:rFonts w:eastAsia="Times New Roman"/>
        </w:rPr>
        <w:t>A.</w:t>
      </w:r>
      <w:r>
        <w:rPr>
          <w:rFonts w:eastAsia="Times New Roman"/>
        </w:rPr>
        <w:t xml:space="preserve"> </w:t>
      </w:r>
      <w:r w:rsidRPr="00D34F9F">
        <w:rPr>
          <w:rFonts w:eastAsia="Times New Roman"/>
        </w:rPr>
        <w:t>A., Zakaria, M.</w:t>
      </w:r>
      <w:r>
        <w:rPr>
          <w:rFonts w:eastAsia="Times New Roman"/>
        </w:rPr>
        <w:t xml:space="preserve"> </w:t>
      </w:r>
      <w:r w:rsidRPr="00D34F9F">
        <w:rPr>
          <w:rFonts w:eastAsia="Times New Roman"/>
        </w:rPr>
        <w:t xml:space="preserve">N. </w:t>
      </w:r>
      <w:r>
        <w:rPr>
          <w:rFonts w:eastAsia="Times New Roman"/>
        </w:rPr>
        <w:t>&amp;</w:t>
      </w:r>
      <w:r w:rsidRPr="00D34F9F">
        <w:rPr>
          <w:rFonts w:eastAsia="Times New Roman"/>
        </w:rPr>
        <w:t xml:space="preserve"> </w:t>
      </w:r>
      <w:proofErr w:type="spellStart"/>
      <w:r w:rsidRPr="00D34F9F">
        <w:rPr>
          <w:rFonts w:eastAsia="Times New Roman"/>
        </w:rPr>
        <w:t>Mustafar</w:t>
      </w:r>
      <w:proofErr w:type="spellEnd"/>
      <w:r w:rsidRPr="00D34F9F">
        <w:rPr>
          <w:rFonts w:eastAsia="Times New Roman"/>
        </w:rPr>
        <w:t>, M.</w:t>
      </w:r>
      <w:r>
        <w:rPr>
          <w:rFonts w:eastAsia="Times New Roman"/>
        </w:rPr>
        <w:t xml:space="preserve"> </w:t>
      </w:r>
      <w:r w:rsidRPr="00D34F9F">
        <w:rPr>
          <w:rFonts w:eastAsia="Times New Roman"/>
        </w:rPr>
        <w:t>F.</w:t>
      </w:r>
      <w:r>
        <w:rPr>
          <w:rFonts w:eastAsia="Times New Roman"/>
        </w:rPr>
        <w:t xml:space="preserve"> </w:t>
      </w:r>
      <w:r w:rsidRPr="00D34F9F">
        <w:rPr>
          <w:rFonts w:eastAsia="Times New Roman"/>
        </w:rPr>
        <w:t>B.</w:t>
      </w:r>
      <w:r>
        <w:rPr>
          <w:rFonts w:eastAsia="Times New Roman"/>
        </w:rPr>
        <w:t xml:space="preserve"> </w:t>
      </w:r>
      <w:r w:rsidRPr="00D34F9F">
        <w:rPr>
          <w:rFonts w:eastAsia="Times New Roman"/>
        </w:rPr>
        <w:t xml:space="preserve">M. </w:t>
      </w:r>
      <w:r>
        <w:rPr>
          <w:rFonts w:eastAsia="Times New Roman"/>
        </w:rPr>
        <w:t>(</w:t>
      </w:r>
      <w:r w:rsidRPr="00D34F9F">
        <w:rPr>
          <w:rFonts w:eastAsia="Times New Roman"/>
        </w:rPr>
        <w:t>2022</w:t>
      </w:r>
      <w:r>
        <w:rPr>
          <w:rFonts w:eastAsia="Times New Roman"/>
        </w:rPr>
        <w:t>)</w:t>
      </w:r>
      <w:r w:rsidRPr="00D34F9F">
        <w:rPr>
          <w:rFonts w:eastAsia="Times New Roman"/>
        </w:rPr>
        <w:t xml:space="preserve"> </w:t>
      </w:r>
      <w:r>
        <w:rPr>
          <w:rFonts w:eastAsia="Times New Roman"/>
        </w:rPr>
        <w:t>‘</w:t>
      </w:r>
      <w:r w:rsidRPr="00D34F9F">
        <w:rPr>
          <w:rFonts w:eastAsia="Times New Roman"/>
        </w:rPr>
        <w:t>Quality of life in stroke patients with dysphagia: a</w:t>
      </w:r>
      <w:r>
        <w:rPr>
          <w:rFonts w:eastAsia="Times New Roman"/>
        </w:rPr>
        <w:t xml:space="preserve"> </w:t>
      </w:r>
      <w:r w:rsidRPr="00D34F9F">
        <w:rPr>
          <w:rFonts w:eastAsia="Times New Roman"/>
        </w:rPr>
        <w:t>systematic review</w:t>
      </w:r>
      <w:r>
        <w:rPr>
          <w:rFonts w:eastAsia="Times New Roman"/>
        </w:rPr>
        <w:t>’,</w:t>
      </w:r>
      <w:r w:rsidRPr="00D34F9F">
        <w:rPr>
          <w:rFonts w:eastAsia="Times New Roman"/>
        </w:rPr>
        <w:t> </w:t>
      </w:r>
      <w:r w:rsidRPr="00D34F9F">
        <w:rPr>
          <w:rFonts w:eastAsia="Times New Roman"/>
          <w:i/>
          <w:iCs/>
        </w:rPr>
        <w:t xml:space="preserve">La </w:t>
      </w:r>
      <w:proofErr w:type="spellStart"/>
      <w:r w:rsidRPr="00D34F9F">
        <w:rPr>
          <w:rFonts w:eastAsia="Times New Roman"/>
          <w:i/>
          <w:iCs/>
        </w:rPr>
        <w:t>Tunisie</w:t>
      </w:r>
      <w:proofErr w:type="spellEnd"/>
      <w:r w:rsidRPr="00D34F9F">
        <w:rPr>
          <w:rFonts w:eastAsia="Times New Roman"/>
          <w:i/>
          <w:iCs/>
        </w:rPr>
        <w:t xml:space="preserve"> </w:t>
      </w:r>
      <w:proofErr w:type="spellStart"/>
      <w:r w:rsidRPr="00D34F9F">
        <w:rPr>
          <w:rFonts w:eastAsia="Times New Roman"/>
          <w:i/>
          <w:iCs/>
        </w:rPr>
        <w:t>medicale</w:t>
      </w:r>
      <w:proofErr w:type="spellEnd"/>
      <w:r w:rsidRPr="00D34F9F">
        <w:rPr>
          <w:rFonts w:eastAsia="Times New Roman"/>
        </w:rPr>
        <w:t>, 100(10), p</w:t>
      </w:r>
      <w:r>
        <w:rPr>
          <w:rFonts w:eastAsia="Times New Roman"/>
        </w:rPr>
        <w:t>p</w:t>
      </w:r>
      <w:r w:rsidRPr="00D34F9F">
        <w:rPr>
          <w:rFonts w:eastAsia="Times New Roman"/>
        </w:rPr>
        <w:t>.</w:t>
      </w:r>
      <w:r>
        <w:rPr>
          <w:rFonts w:eastAsia="Times New Roman"/>
        </w:rPr>
        <w:t xml:space="preserve"> </w:t>
      </w:r>
      <w:r w:rsidRPr="00D34F9F">
        <w:rPr>
          <w:rFonts w:eastAsia="Times New Roman"/>
        </w:rPr>
        <w:t>664.</w:t>
      </w:r>
    </w:p>
    <w:p w14:paraId="783A70B2" w14:textId="375B9AD0" w:rsidR="00370E7C" w:rsidRPr="00370E7C" w:rsidRDefault="00370E7C" w:rsidP="008253F0">
      <w:pPr>
        <w:rPr>
          <w:rFonts w:eastAsia="Times New Roman"/>
        </w:rPr>
      </w:pPr>
      <w:proofErr w:type="spellStart"/>
      <w:r w:rsidRPr="00370E7C">
        <w:rPr>
          <w:rFonts w:eastAsia="Times New Roman"/>
        </w:rPr>
        <w:t>Alvins</w:t>
      </w:r>
      <w:proofErr w:type="spellEnd"/>
      <w:r w:rsidRPr="00370E7C">
        <w:rPr>
          <w:rFonts w:eastAsia="Times New Roman"/>
        </w:rPr>
        <w:t xml:space="preserve">, A. &amp; Goldberg, H. (2007) ‘Creating a culture of research’, </w:t>
      </w:r>
      <w:r w:rsidRPr="00370E7C">
        <w:rPr>
          <w:rFonts w:eastAsia="Times New Roman"/>
          <w:i/>
        </w:rPr>
        <w:t xml:space="preserve">Contemporary Clinical Trials, </w:t>
      </w:r>
      <w:r w:rsidRPr="00370E7C">
        <w:rPr>
          <w:rFonts w:eastAsia="Times New Roman"/>
        </w:rPr>
        <w:t>28(4), pp. 557</w:t>
      </w:r>
      <w:r w:rsidR="000A5802" w:rsidRPr="000A5802">
        <w:rPr>
          <w:rFonts w:eastAsia="Times New Roman"/>
        </w:rPr>
        <w:t>–</w:t>
      </w:r>
      <w:r w:rsidRPr="00370E7C">
        <w:rPr>
          <w:rFonts w:eastAsia="Times New Roman"/>
        </w:rPr>
        <w:t xml:space="preserve">562. </w:t>
      </w:r>
      <w:proofErr w:type="spellStart"/>
      <w:r w:rsidR="000A5802">
        <w:rPr>
          <w:rFonts w:eastAsia="Times New Roman"/>
        </w:rPr>
        <w:t>d</w:t>
      </w:r>
      <w:r w:rsidRPr="00370E7C">
        <w:rPr>
          <w:rFonts w:eastAsia="Times New Roman"/>
        </w:rPr>
        <w:t>oi</w:t>
      </w:r>
      <w:proofErr w:type="spellEnd"/>
      <w:r w:rsidRPr="00370E7C">
        <w:rPr>
          <w:rFonts w:eastAsia="Times New Roman"/>
        </w:rPr>
        <w:t xml:space="preserve">: </w:t>
      </w:r>
      <w:hyperlink r:id="rId8" w:tgtFrame="_blank" w:history="1">
        <w:r w:rsidRPr="00370E7C">
          <w:rPr>
            <w:rStyle w:val="Hyperlink"/>
            <w:rFonts w:eastAsia="Times New Roman" w:cs="Arial"/>
          </w:rPr>
          <w:t>10.1016/j.cct.2007.02.004</w:t>
        </w:r>
      </w:hyperlink>
    </w:p>
    <w:p w14:paraId="4C94C1E1" w14:textId="631B2DCF" w:rsidR="00370E7C" w:rsidRPr="008253F0" w:rsidRDefault="00370E7C" w:rsidP="008253F0">
      <w:pPr>
        <w:rPr>
          <w:rFonts w:eastAsia="Times New Roman"/>
        </w:rPr>
      </w:pPr>
      <w:proofErr w:type="spellStart"/>
      <w:r w:rsidRPr="00370E7C">
        <w:rPr>
          <w:rFonts w:eastAsia="Times New Roman"/>
        </w:rPr>
        <w:lastRenderedPageBreak/>
        <w:t>Aneshensel</w:t>
      </w:r>
      <w:proofErr w:type="spellEnd"/>
      <w:r w:rsidRPr="00370E7C">
        <w:rPr>
          <w:rFonts w:eastAsia="Times New Roman"/>
        </w:rPr>
        <w:t xml:space="preserve">, C. S., Phelan, J. C. &amp; Bierman, A. (2013) </w:t>
      </w:r>
      <w:r w:rsidRPr="00370E7C">
        <w:rPr>
          <w:rFonts w:eastAsia="Times New Roman"/>
          <w:i/>
        </w:rPr>
        <w:t xml:space="preserve">Handbook of the Sociology of Mental Health. </w:t>
      </w:r>
      <w:r w:rsidRPr="00370E7C">
        <w:rPr>
          <w:rFonts w:eastAsia="Times New Roman"/>
        </w:rPr>
        <w:t>(2</w:t>
      </w:r>
      <w:r w:rsidRPr="00370E7C">
        <w:rPr>
          <w:rFonts w:eastAsia="Times New Roman"/>
          <w:vertAlign w:val="superscript"/>
        </w:rPr>
        <w:t>nd</w:t>
      </w:r>
      <w:r w:rsidRPr="00370E7C">
        <w:rPr>
          <w:rFonts w:eastAsia="Times New Roman"/>
        </w:rPr>
        <w:t xml:space="preserve"> Eds) Dordrecht: Springer. </w:t>
      </w:r>
    </w:p>
    <w:p w14:paraId="54D6CCB7" w14:textId="24B95377" w:rsidR="00370E7C" w:rsidRPr="008253F0" w:rsidRDefault="00370E7C" w:rsidP="008253F0">
      <w:pPr>
        <w:rPr>
          <w:rFonts w:eastAsia="Times New Roman"/>
        </w:rPr>
      </w:pPr>
      <w:r w:rsidRPr="00370E7C">
        <w:rPr>
          <w:rFonts w:eastAsia="Times New Roman"/>
        </w:rPr>
        <w:t xml:space="preserve">Aveyard, H. (2019) </w:t>
      </w:r>
      <w:r w:rsidRPr="00370E7C">
        <w:rPr>
          <w:rFonts w:eastAsia="Times New Roman"/>
          <w:i/>
        </w:rPr>
        <w:t xml:space="preserve">Doing a literature review in health and social care: a practical guide. </w:t>
      </w:r>
      <w:r w:rsidRPr="00370E7C">
        <w:rPr>
          <w:rFonts w:eastAsia="Times New Roman"/>
        </w:rPr>
        <w:t>(4</w:t>
      </w:r>
      <w:r w:rsidRPr="00370E7C">
        <w:rPr>
          <w:rFonts w:eastAsia="Times New Roman"/>
          <w:vertAlign w:val="superscript"/>
        </w:rPr>
        <w:t>th</w:t>
      </w:r>
      <w:r w:rsidRPr="00370E7C">
        <w:rPr>
          <w:rFonts w:eastAsia="Times New Roman"/>
        </w:rPr>
        <w:t xml:space="preserve"> Eds) London: Open University Press. </w:t>
      </w:r>
    </w:p>
    <w:p w14:paraId="5A3DF6FF" w14:textId="3712A6EB" w:rsidR="00370E7C" w:rsidRPr="008253F0" w:rsidRDefault="00370E7C" w:rsidP="008253F0">
      <w:pPr>
        <w:rPr>
          <w:rFonts w:eastAsia="Times New Roman" w:cs="Arial"/>
          <w:color w:val="0000FF" w:themeColor="hyperlink"/>
          <w:u w:val="single"/>
        </w:rPr>
      </w:pPr>
      <w:r w:rsidRPr="00370E7C">
        <w:t xml:space="preserve">Bakhtiyari, J., Dadgar, H., Maddah, M., Ghorbani, R., Charkhi, F. &amp; Rezaee, Z. (2020) ‘The effects of dysphagia on quality of life in stroke survivors’, </w:t>
      </w:r>
      <w:r w:rsidRPr="00370E7C">
        <w:rPr>
          <w:i/>
        </w:rPr>
        <w:t xml:space="preserve">Middle East Journal of Rehabilitation and Health Studies, </w:t>
      </w:r>
      <w:r w:rsidRPr="00370E7C">
        <w:t xml:space="preserve">7(4). </w:t>
      </w:r>
      <w:proofErr w:type="spellStart"/>
      <w:r w:rsidR="000A5802">
        <w:t>d</w:t>
      </w:r>
      <w:r w:rsidRPr="00370E7C">
        <w:t>oi</w:t>
      </w:r>
      <w:proofErr w:type="spellEnd"/>
      <w:r w:rsidRPr="00370E7C">
        <w:t xml:space="preserve">: </w:t>
      </w:r>
      <w:hyperlink r:id="rId9" w:history="1">
        <w:r w:rsidRPr="00370E7C">
          <w:rPr>
            <w:rStyle w:val="Hyperlink"/>
            <w:rFonts w:eastAsia="Times New Roman" w:cs="Arial"/>
          </w:rPr>
          <w:t>10.5812/mejrh.105722</w:t>
        </w:r>
      </w:hyperlink>
    </w:p>
    <w:p w14:paraId="33DA354C" w14:textId="5FABAED7" w:rsidR="00370E7C" w:rsidRPr="008253F0" w:rsidRDefault="00370E7C" w:rsidP="008253F0">
      <w:pPr>
        <w:rPr>
          <w:rFonts w:eastAsia="Times New Roman"/>
        </w:rPr>
      </w:pPr>
      <w:r w:rsidRPr="00370E7C">
        <w:rPr>
          <w:rFonts w:eastAsia="Times New Roman"/>
        </w:rPr>
        <w:t>Bell, K., Fahmy, E. &amp; Gordan, D. (2016) ‘</w:t>
      </w:r>
      <w:r w:rsidRPr="00370E7C">
        <w:rPr>
          <w:rFonts w:eastAsia="Times New Roman"/>
          <w:spacing w:val="-2"/>
        </w:rPr>
        <w:t xml:space="preserve">Quantitative conversations: the importance of developing rapport in standardised interviewing’, </w:t>
      </w:r>
      <w:r w:rsidRPr="00370E7C">
        <w:rPr>
          <w:rFonts w:eastAsia="Times New Roman"/>
          <w:i/>
          <w:spacing w:val="-2"/>
        </w:rPr>
        <w:t xml:space="preserve">Quality and Quantity, </w:t>
      </w:r>
      <w:r w:rsidRPr="00370E7C">
        <w:rPr>
          <w:rFonts w:eastAsia="Times New Roman"/>
          <w:spacing w:val="-2"/>
        </w:rPr>
        <w:t>50(1), pp. 193</w:t>
      </w:r>
      <w:r w:rsidR="000A5802" w:rsidRPr="000A5802">
        <w:rPr>
          <w:rFonts w:eastAsia="Times New Roman"/>
          <w:spacing w:val="-2"/>
        </w:rPr>
        <w:t>–</w:t>
      </w:r>
      <w:r w:rsidRPr="00370E7C">
        <w:rPr>
          <w:rFonts w:eastAsia="Times New Roman"/>
          <w:spacing w:val="-2"/>
        </w:rPr>
        <w:t xml:space="preserve">212. </w:t>
      </w:r>
      <w:proofErr w:type="spellStart"/>
      <w:r w:rsidR="000A5802">
        <w:rPr>
          <w:rFonts w:eastAsia="Times New Roman"/>
          <w:spacing w:val="-2"/>
        </w:rPr>
        <w:t>d</w:t>
      </w:r>
      <w:r w:rsidRPr="00370E7C">
        <w:rPr>
          <w:rFonts w:eastAsia="Times New Roman"/>
          <w:spacing w:val="-2"/>
        </w:rPr>
        <w:t>oi</w:t>
      </w:r>
      <w:proofErr w:type="spellEnd"/>
      <w:r w:rsidRPr="00370E7C">
        <w:rPr>
          <w:rFonts w:eastAsia="Times New Roman"/>
          <w:spacing w:val="-2"/>
        </w:rPr>
        <w:t xml:space="preserve">: </w:t>
      </w:r>
      <w:hyperlink r:id="rId10" w:tgtFrame="_blank" w:history="1">
        <w:r w:rsidRPr="00370E7C">
          <w:rPr>
            <w:rStyle w:val="Hyperlink"/>
            <w:rFonts w:eastAsia="Times New Roman" w:cs="Arial"/>
            <w:shd w:val="clear" w:color="auto" w:fill="FFFFFF"/>
          </w:rPr>
          <w:t>10.1007/s11135-014-0144-2</w:t>
        </w:r>
      </w:hyperlink>
    </w:p>
    <w:p w14:paraId="16341CCA" w14:textId="13AF0075" w:rsidR="00370E7C" w:rsidRPr="008253F0" w:rsidRDefault="00370E7C" w:rsidP="008253F0">
      <w:pPr>
        <w:rPr>
          <w:rFonts w:eastAsia="Times New Roman" w:cs="Times New Roman"/>
        </w:rPr>
      </w:pPr>
      <w:r w:rsidRPr="008253F0">
        <w:rPr>
          <w:rFonts w:eastAsia="Times New Roman" w:cs="Times New Roman"/>
          <w:shd w:val="clear" w:color="auto" w:fill="FFFFFF"/>
        </w:rPr>
        <w:t>Braun, V. &amp; Clarke, V. (2022) </w:t>
      </w:r>
      <w:r w:rsidRPr="008253F0">
        <w:rPr>
          <w:rFonts w:eastAsia="Times New Roman" w:cs="Times New Roman"/>
          <w:i/>
          <w:iCs/>
          <w:shd w:val="clear" w:color="auto" w:fill="FFFFFF"/>
        </w:rPr>
        <w:t>Thematic analysis: a practical guide</w:t>
      </w:r>
      <w:r w:rsidRPr="008253F0">
        <w:rPr>
          <w:rFonts w:eastAsia="Times New Roman" w:cs="Times New Roman"/>
          <w:shd w:val="clear" w:color="auto" w:fill="FFFFFF"/>
        </w:rPr>
        <w:t>. London</w:t>
      </w:r>
      <w:r w:rsidR="008F4BA4">
        <w:rPr>
          <w:rFonts w:eastAsia="Times New Roman" w:cs="Times New Roman"/>
          <w:shd w:val="clear" w:color="auto" w:fill="FFFFFF"/>
        </w:rPr>
        <w:t>:</w:t>
      </w:r>
      <w:r w:rsidRPr="008253F0">
        <w:rPr>
          <w:rFonts w:eastAsia="Times New Roman" w:cs="Times New Roman"/>
          <w:shd w:val="clear" w:color="auto" w:fill="FFFFFF"/>
        </w:rPr>
        <w:t xml:space="preserve"> SAGE Publications</w:t>
      </w:r>
    </w:p>
    <w:p w14:paraId="273B3191" w14:textId="7A602A71" w:rsidR="00370E7C" w:rsidRPr="00370E7C" w:rsidRDefault="00370E7C" w:rsidP="008253F0">
      <w:pPr>
        <w:rPr>
          <w:rFonts w:eastAsia="Times New Roman"/>
        </w:rPr>
      </w:pPr>
      <w:r w:rsidRPr="00370E7C">
        <w:t xml:space="preserve">Bryman, A. (2008) </w:t>
      </w:r>
      <w:r w:rsidRPr="00370E7C">
        <w:rPr>
          <w:i/>
        </w:rPr>
        <w:t>Social Research Methods</w:t>
      </w:r>
      <w:r w:rsidRPr="00370E7C">
        <w:t xml:space="preserve"> (3rd Eds) Oxford: Oxford University Press. </w:t>
      </w:r>
    </w:p>
    <w:p w14:paraId="284BF6C2" w14:textId="28F3FF71" w:rsidR="00370E7C" w:rsidRPr="00370E7C" w:rsidRDefault="00370E7C" w:rsidP="008253F0">
      <w:pPr>
        <w:rPr>
          <w:rFonts w:eastAsia="Times New Roman"/>
        </w:rPr>
      </w:pPr>
      <w:r w:rsidRPr="00370E7C">
        <w:t xml:space="preserve">Carlsson, E., Ehrenberg, A &amp; </w:t>
      </w:r>
      <w:proofErr w:type="spellStart"/>
      <w:r w:rsidRPr="00370E7C">
        <w:t>Ehnfors</w:t>
      </w:r>
      <w:proofErr w:type="spellEnd"/>
      <w:r w:rsidRPr="00370E7C">
        <w:t xml:space="preserve">, M. (2004) ‘Stroke and eating difficulties: long-term experiences’, </w:t>
      </w:r>
      <w:r w:rsidRPr="00370E7C">
        <w:rPr>
          <w:i/>
        </w:rPr>
        <w:t>Journal of Clinical Nursing,</w:t>
      </w:r>
      <w:r w:rsidRPr="00370E7C">
        <w:t xml:space="preserve">13(7), pp. 825–834. </w:t>
      </w:r>
      <w:proofErr w:type="spellStart"/>
      <w:r w:rsidR="000A5802">
        <w:t>d</w:t>
      </w:r>
      <w:r w:rsidRPr="00370E7C">
        <w:t>oi</w:t>
      </w:r>
      <w:proofErr w:type="spellEnd"/>
      <w:r w:rsidRPr="00370E7C">
        <w:t xml:space="preserve">: </w:t>
      </w:r>
      <w:r w:rsidRPr="00370E7C">
        <w:rPr>
          <w:rFonts w:eastAsia="Times New Roman"/>
        </w:rPr>
        <w:t>10.1111/j.1365-2702.</w:t>
      </w:r>
      <w:proofErr w:type="gramStart"/>
      <w:r w:rsidRPr="00370E7C">
        <w:rPr>
          <w:rFonts w:eastAsia="Times New Roman"/>
        </w:rPr>
        <w:t>2004.01023.x</w:t>
      </w:r>
      <w:proofErr w:type="gramEnd"/>
      <w:r w:rsidRPr="00370E7C">
        <w:rPr>
          <w:rFonts w:eastAsia="Times New Roman"/>
        </w:rPr>
        <w:t xml:space="preserve"> </w:t>
      </w:r>
    </w:p>
    <w:p w14:paraId="6F6AF2F9" w14:textId="20BC9FC7" w:rsidR="00370E7C" w:rsidRPr="00370E7C" w:rsidRDefault="00370E7C" w:rsidP="008253F0">
      <w:pPr>
        <w:rPr>
          <w:rFonts w:eastAsia="Times New Roman"/>
        </w:rPr>
      </w:pPr>
      <w:r w:rsidRPr="00370E7C">
        <w:rPr>
          <w:rFonts w:eastAsia="Times New Roman"/>
          <w:spacing w:val="-2"/>
        </w:rPr>
        <w:t xml:space="preserve">Carter, N., Bryant-Lukosius, D., DiCenso, A., Blythe, J. &amp; Neville, A. J. (2014) ‘The use of triangulation in qualitative research’, </w:t>
      </w:r>
      <w:r w:rsidRPr="00370E7C">
        <w:rPr>
          <w:rFonts w:eastAsia="Times New Roman"/>
          <w:i/>
          <w:spacing w:val="-2"/>
        </w:rPr>
        <w:t xml:space="preserve">Oncology Nursing Forum, </w:t>
      </w:r>
      <w:r w:rsidRPr="00370E7C">
        <w:rPr>
          <w:rFonts w:eastAsia="Times New Roman"/>
          <w:spacing w:val="-2"/>
        </w:rPr>
        <w:t>41(5), pp. 545</w:t>
      </w:r>
      <w:r w:rsidR="000A5802" w:rsidRPr="000A5802">
        <w:rPr>
          <w:rFonts w:eastAsia="Times New Roman"/>
          <w:spacing w:val="-2"/>
        </w:rPr>
        <w:t>–</w:t>
      </w:r>
      <w:r w:rsidRPr="00370E7C">
        <w:rPr>
          <w:rFonts w:eastAsia="Times New Roman"/>
          <w:spacing w:val="-2"/>
        </w:rPr>
        <w:t xml:space="preserve">547. </w:t>
      </w:r>
      <w:proofErr w:type="spellStart"/>
      <w:r w:rsidR="000A5802">
        <w:rPr>
          <w:rFonts w:eastAsia="Times New Roman"/>
          <w:spacing w:val="-2"/>
        </w:rPr>
        <w:t>d</w:t>
      </w:r>
      <w:r w:rsidRPr="00370E7C">
        <w:rPr>
          <w:rFonts w:eastAsia="Times New Roman"/>
          <w:spacing w:val="-2"/>
        </w:rPr>
        <w:t>oi</w:t>
      </w:r>
      <w:proofErr w:type="spellEnd"/>
      <w:r w:rsidRPr="00370E7C">
        <w:rPr>
          <w:rFonts w:eastAsia="Times New Roman"/>
          <w:spacing w:val="-2"/>
        </w:rPr>
        <w:t xml:space="preserve">: </w:t>
      </w:r>
      <w:hyperlink r:id="rId11" w:tgtFrame="_blank" w:history="1">
        <w:r w:rsidRPr="00370E7C">
          <w:rPr>
            <w:rStyle w:val="Hyperlink"/>
            <w:rFonts w:eastAsia="Times New Roman" w:cs="Arial"/>
          </w:rPr>
          <w:t>10.1188/14.ONF.545-547</w:t>
        </w:r>
      </w:hyperlink>
    </w:p>
    <w:p w14:paraId="589DEE7C" w14:textId="7F203B8B" w:rsidR="00370E7C" w:rsidRPr="00370E7C" w:rsidRDefault="00370E7C" w:rsidP="008253F0">
      <w:pPr>
        <w:rPr>
          <w:rFonts w:eastAsia="Times New Roman"/>
        </w:rPr>
      </w:pPr>
      <w:r w:rsidRPr="00370E7C">
        <w:rPr>
          <w:rFonts w:eastAsia="Times New Roman"/>
        </w:rPr>
        <w:t xml:space="preserve">Critical Appraisal Skills Programme (2021) </w:t>
      </w:r>
      <w:r w:rsidRPr="00370E7C">
        <w:rPr>
          <w:rFonts w:eastAsia="Times New Roman"/>
          <w:i/>
        </w:rPr>
        <w:t xml:space="preserve">CASP Checklist: 10 questions to help you make sense of a Qualitative research. </w:t>
      </w:r>
      <w:r w:rsidRPr="00370E7C">
        <w:rPr>
          <w:rFonts w:eastAsia="Times New Roman"/>
        </w:rPr>
        <w:t xml:space="preserve">Available at: </w:t>
      </w:r>
      <w:hyperlink r:id="rId12" w:history="1">
        <w:r w:rsidRPr="00370E7C">
          <w:rPr>
            <w:rStyle w:val="Hyperlink"/>
            <w:rFonts w:eastAsia="Times New Roman" w:cs="Arial"/>
          </w:rPr>
          <w:t>https://casp-uk.b-cdn.net/wp-content/uploads/2018/03/CASP-Qualitative-Checklist-2018_fillable_form.pdf</w:t>
        </w:r>
      </w:hyperlink>
      <w:r w:rsidRPr="00370E7C">
        <w:rPr>
          <w:rFonts w:eastAsia="Times New Roman"/>
        </w:rPr>
        <w:t xml:space="preserve"> (Accessed: 17 January 2022) </w:t>
      </w:r>
    </w:p>
    <w:p w14:paraId="2D55EAF6" w14:textId="12E17290" w:rsidR="00370E7C" w:rsidRPr="008253F0" w:rsidRDefault="00370E7C" w:rsidP="008253F0">
      <w:pPr>
        <w:rPr>
          <w:rFonts w:eastAsia="Times New Roman"/>
          <w:shd w:val="clear" w:color="auto" w:fill="FFFFFF"/>
        </w:rPr>
      </w:pPr>
      <w:r w:rsidRPr="00370E7C">
        <w:rPr>
          <w:rFonts w:eastAsia="Times New Roman"/>
        </w:rPr>
        <w:t xml:space="preserve">Daher, M. </w:t>
      </w:r>
      <w:proofErr w:type="spellStart"/>
      <w:r w:rsidRPr="00370E7C">
        <w:rPr>
          <w:rFonts w:eastAsia="Times New Roman"/>
        </w:rPr>
        <w:t>Carre</w:t>
      </w:r>
      <w:proofErr w:type="spellEnd"/>
      <w:r w:rsidRPr="00370E7C">
        <w:rPr>
          <w:rFonts w:eastAsia="Times New Roman"/>
        </w:rPr>
        <w:t>, D., Jaramillo, A., Olivares, H. &amp; Tomicic, A. (2017) ‘</w:t>
      </w:r>
      <w:r w:rsidRPr="00370E7C">
        <w:rPr>
          <w:rFonts w:eastAsia="Times New Roman"/>
          <w:shd w:val="clear" w:color="auto" w:fill="FFFFFF"/>
        </w:rPr>
        <w:t xml:space="preserve">Experience and Meaning in Qualitative Research: A Conceptual Review and a Methodological Device Proposal’, </w:t>
      </w:r>
      <w:r w:rsidRPr="00370E7C">
        <w:rPr>
          <w:rFonts w:eastAsia="Times New Roman"/>
          <w:i/>
          <w:shd w:val="clear" w:color="auto" w:fill="FFFFFF"/>
        </w:rPr>
        <w:t xml:space="preserve">Forum Qualitative Social Research, </w:t>
      </w:r>
      <w:r w:rsidRPr="00370E7C">
        <w:rPr>
          <w:rFonts w:eastAsia="Times New Roman"/>
          <w:shd w:val="clear" w:color="auto" w:fill="FFFFFF"/>
        </w:rPr>
        <w:t>18(3), p</w:t>
      </w:r>
      <w:r w:rsidR="000A5802">
        <w:rPr>
          <w:rFonts w:eastAsia="Times New Roman"/>
          <w:shd w:val="clear" w:color="auto" w:fill="FFFFFF"/>
        </w:rPr>
        <w:t>p</w:t>
      </w:r>
      <w:r w:rsidRPr="00370E7C">
        <w:rPr>
          <w:rFonts w:eastAsia="Times New Roman"/>
          <w:shd w:val="clear" w:color="auto" w:fill="FFFFFF"/>
        </w:rPr>
        <w:t xml:space="preserve">. 18. </w:t>
      </w:r>
      <w:proofErr w:type="spellStart"/>
      <w:r w:rsidR="000A5802">
        <w:rPr>
          <w:rFonts w:eastAsia="Times New Roman"/>
          <w:shd w:val="clear" w:color="auto" w:fill="FFFFFF"/>
        </w:rPr>
        <w:t>d</w:t>
      </w:r>
      <w:r w:rsidRPr="00370E7C">
        <w:rPr>
          <w:rFonts w:eastAsia="Times New Roman"/>
          <w:shd w:val="clear" w:color="auto" w:fill="FFFFFF"/>
        </w:rPr>
        <w:t>oi</w:t>
      </w:r>
      <w:proofErr w:type="spellEnd"/>
      <w:r w:rsidRPr="00370E7C">
        <w:rPr>
          <w:rFonts w:eastAsia="Times New Roman"/>
          <w:shd w:val="clear" w:color="auto" w:fill="FFFFFF"/>
        </w:rPr>
        <w:t xml:space="preserve">: 10.17169/FQS-18.32696 </w:t>
      </w:r>
    </w:p>
    <w:p w14:paraId="763D9DB0" w14:textId="49FCA40C" w:rsidR="00370E7C" w:rsidRPr="00370E7C" w:rsidRDefault="00370E7C" w:rsidP="008253F0">
      <w:pPr>
        <w:rPr>
          <w:rFonts w:eastAsia="Times New Roman"/>
        </w:rPr>
      </w:pPr>
      <w:r w:rsidRPr="00370E7C">
        <w:rPr>
          <w:rFonts w:eastAsia="Times New Roman"/>
        </w:rPr>
        <w:t xml:space="preserve">Drozdz, D., </w:t>
      </w:r>
      <w:proofErr w:type="spellStart"/>
      <w:r w:rsidRPr="00370E7C">
        <w:rPr>
          <w:rFonts w:eastAsia="Times New Roman"/>
        </w:rPr>
        <w:t>Mancopes</w:t>
      </w:r>
      <w:proofErr w:type="spellEnd"/>
      <w:r w:rsidRPr="00370E7C">
        <w:rPr>
          <w:rFonts w:eastAsia="Times New Roman"/>
        </w:rPr>
        <w:t xml:space="preserve">, R., Silva, A. M. T. &amp; </w:t>
      </w:r>
      <w:proofErr w:type="spellStart"/>
      <w:r w:rsidRPr="00370E7C">
        <w:rPr>
          <w:rFonts w:eastAsia="Times New Roman"/>
        </w:rPr>
        <w:t>Reppold</w:t>
      </w:r>
      <w:proofErr w:type="spellEnd"/>
      <w:r w:rsidRPr="00370E7C">
        <w:rPr>
          <w:rFonts w:eastAsia="Times New Roman"/>
        </w:rPr>
        <w:t>, C. (2014) ‘</w:t>
      </w:r>
      <w:r w:rsidRPr="00370E7C">
        <w:rPr>
          <w:rFonts w:eastAsia="Times New Roman"/>
          <w:spacing w:val="-2"/>
        </w:rPr>
        <w:t xml:space="preserve">Analysis of the Level of Dysphagia, Anxiety, and Nutritional Status Before and After Speech Therapy in Patients with Stroke’, </w:t>
      </w:r>
      <w:r w:rsidRPr="00370E7C">
        <w:rPr>
          <w:rFonts w:eastAsia="Times New Roman"/>
          <w:i/>
          <w:spacing w:val="-2"/>
        </w:rPr>
        <w:t xml:space="preserve">International Archives of Otorhinolaryngology, </w:t>
      </w:r>
      <w:r w:rsidRPr="00370E7C">
        <w:rPr>
          <w:rFonts w:eastAsia="Times New Roman"/>
          <w:spacing w:val="-2"/>
        </w:rPr>
        <w:t>18(2), pp. 172</w:t>
      </w:r>
      <w:r w:rsidR="000A5802" w:rsidRPr="000A5802">
        <w:rPr>
          <w:rFonts w:eastAsia="Times New Roman"/>
          <w:spacing w:val="-2"/>
        </w:rPr>
        <w:t>–</w:t>
      </w:r>
      <w:r w:rsidRPr="00370E7C">
        <w:rPr>
          <w:rFonts w:eastAsia="Times New Roman"/>
          <w:spacing w:val="-2"/>
        </w:rPr>
        <w:t xml:space="preserve">177. </w:t>
      </w:r>
      <w:proofErr w:type="spellStart"/>
      <w:r w:rsidR="000A5802">
        <w:rPr>
          <w:rFonts w:eastAsia="Times New Roman"/>
          <w:spacing w:val="-2"/>
        </w:rPr>
        <w:t>d</w:t>
      </w:r>
      <w:r w:rsidRPr="00370E7C">
        <w:rPr>
          <w:rFonts w:eastAsia="Times New Roman"/>
          <w:spacing w:val="-2"/>
        </w:rPr>
        <w:t>oi</w:t>
      </w:r>
      <w:proofErr w:type="spellEnd"/>
      <w:r w:rsidRPr="00370E7C">
        <w:rPr>
          <w:rFonts w:eastAsia="Times New Roman"/>
          <w:spacing w:val="-2"/>
        </w:rPr>
        <w:t xml:space="preserve">: </w:t>
      </w:r>
      <w:hyperlink r:id="rId13" w:tgtFrame="_blank" w:history="1">
        <w:r w:rsidRPr="00370E7C">
          <w:rPr>
            <w:rStyle w:val="Hyperlink"/>
            <w:rFonts w:eastAsia="Times New Roman" w:cs="Arial"/>
            <w:shd w:val="clear" w:color="auto" w:fill="FFFFFF"/>
          </w:rPr>
          <w:t>10.1055/s-0033-1364169</w:t>
        </w:r>
      </w:hyperlink>
    </w:p>
    <w:p w14:paraId="4334C681" w14:textId="161F3552" w:rsidR="00370E7C" w:rsidRPr="00370E7C" w:rsidRDefault="00370E7C" w:rsidP="008253F0">
      <w:pPr>
        <w:rPr>
          <w:rFonts w:eastAsia="Times New Roman"/>
        </w:rPr>
      </w:pPr>
      <w:r w:rsidRPr="00370E7C">
        <w:rPr>
          <w:rFonts w:eastAsia="Times New Roman"/>
        </w:rPr>
        <w:t xml:space="preserve">Dworkin, S. L. (2012) ‘Sample Size Policy for Qualitative Studies Using In-Depth Interviews’, </w:t>
      </w:r>
      <w:r w:rsidRPr="00370E7C">
        <w:rPr>
          <w:rFonts w:eastAsia="Times New Roman"/>
          <w:i/>
        </w:rPr>
        <w:t xml:space="preserve">Archives of Sexual Behaviour, </w:t>
      </w:r>
      <w:r w:rsidRPr="00370E7C">
        <w:rPr>
          <w:rFonts w:eastAsia="Times New Roman"/>
        </w:rPr>
        <w:t xml:space="preserve">41(6). </w:t>
      </w:r>
      <w:proofErr w:type="spellStart"/>
      <w:r w:rsidR="000A5802">
        <w:rPr>
          <w:rFonts w:eastAsia="Times New Roman"/>
        </w:rPr>
        <w:t>d</w:t>
      </w:r>
      <w:r w:rsidRPr="00370E7C">
        <w:rPr>
          <w:rFonts w:eastAsia="Times New Roman"/>
        </w:rPr>
        <w:t>oi</w:t>
      </w:r>
      <w:proofErr w:type="spellEnd"/>
      <w:r w:rsidRPr="00370E7C">
        <w:rPr>
          <w:rFonts w:eastAsia="Times New Roman"/>
        </w:rPr>
        <w:t xml:space="preserve">: </w:t>
      </w:r>
      <w:hyperlink r:id="rId14" w:tgtFrame="_blank" w:history="1">
        <w:r w:rsidRPr="00370E7C">
          <w:rPr>
            <w:rStyle w:val="Hyperlink"/>
            <w:rFonts w:eastAsia="Times New Roman" w:cs="Arial"/>
            <w:bdr w:val="none" w:sz="0" w:space="0" w:color="auto" w:frame="1"/>
            <w:shd w:val="clear" w:color="auto" w:fill="FFFFFF"/>
          </w:rPr>
          <w:t>10.1007/s10508-012-0016-6</w:t>
        </w:r>
      </w:hyperlink>
    </w:p>
    <w:p w14:paraId="2F197048" w14:textId="1A9FCD25" w:rsidR="00370E7C" w:rsidRPr="00370E7C" w:rsidRDefault="007159E9" w:rsidP="008253F0">
      <w:pPr>
        <w:rPr>
          <w:rFonts w:eastAsia="Times New Roman"/>
        </w:rPr>
      </w:pPr>
      <w:r>
        <w:rPr>
          <w:rFonts w:eastAsia="Times New Roman"/>
        </w:rPr>
        <w:t>ESNEFT</w:t>
      </w:r>
      <w:r w:rsidR="00370E7C" w:rsidRPr="00370E7C">
        <w:rPr>
          <w:rFonts w:eastAsia="Times New Roman"/>
        </w:rPr>
        <w:t xml:space="preserve"> (2022) </w:t>
      </w:r>
      <w:r w:rsidR="00370E7C" w:rsidRPr="00370E7C">
        <w:rPr>
          <w:rFonts w:eastAsia="Times New Roman"/>
          <w:i/>
        </w:rPr>
        <w:t xml:space="preserve">About ESNEFT. </w:t>
      </w:r>
      <w:r w:rsidR="00370E7C" w:rsidRPr="00370E7C">
        <w:rPr>
          <w:rFonts w:eastAsia="Times New Roman"/>
        </w:rPr>
        <w:t xml:space="preserve">Available at: https://www.esneft.nhs.uk/about-us/about-esneft/ (Accessed: 17 May 2022) </w:t>
      </w:r>
    </w:p>
    <w:p w14:paraId="40860536" w14:textId="1E1AF434" w:rsidR="00370E7C" w:rsidRPr="008253F0" w:rsidRDefault="00370E7C" w:rsidP="008253F0">
      <w:pPr>
        <w:rPr>
          <w:rFonts w:eastAsia="Times New Roman" w:cs="Arial"/>
          <w:color w:val="0000FF" w:themeColor="hyperlink"/>
          <w:u w:val="single"/>
          <w:shd w:val="clear" w:color="auto" w:fill="FFFFFF"/>
        </w:rPr>
      </w:pPr>
      <w:proofErr w:type="spellStart"/>
      <w:r w:rsidRPr="00370E7C">
        <w:rPr>
          <w:rFonts w:eastAsia="Times New Roman"/>
        </w:rPr>
        <w:lastRenderedPageBreak/>
        <w:t>Eltringham</w:t>
      </w:r>
      <w:proofErr w:type="spellEnd"/>
      <w:r w:rsidRPr="00370E7C">
        <w:rPr>
          <w:rFonts w:eastAsia="Times New Roman"/>
        </w:rPr>
        <w:t xml:space="preserve">, S. A., </w:t>
      </w:r>
      <w:proofErr w:type="spellStart"/>
      <w:r w:rsidRPr="00370E7C">
        <w:rPr>
          <w:rFonts w:eastAsia="Times New Roman"/>
        </w:rPr>
        <w:t>Pownall</w:t>
      </w:r>
      <w:proofErr w:type="spellEnd"/>
      <w:r w:rsidRPr="00370E7C">
        <w:rPr>
          <w:rFonts w:eastAsia="Times New Roman"/>
        </w:rPr>
        <w:t>, S., Bray, B., Smith, C. J., Piercy, L. &amp; Sage K. (2019) ‘</w:t>
      </w:r>
      <w:r w:rsidRPr="00370E7C">
        <w:t xml:space="preserve">Experiences of dysphagia after stroke: an interview study of stroke survivors and their informal caregivers’, </w:t>
      </w:r>
      <w:r w:rsidRPr="00370E7C">
        <w:rPr>
          <w:i/>
        </w:rPr>
        <w:t>Geriatrics</w:t>
      </w:r>
      <w:r w:rsidRPr="00370E7C">
        <w:t xml:space="preserve">, 4(4). </w:t>
      </w:r>
      <w:proofErr w:type="spellStart"/>
      <w:r w:rsidR="000A5802">
        <w:t>d</w:t>
      </w:r>
      <w:r w:rsidRPr="00370E7C">
        <w:t>oi</w:t>
      </w:r>
      <w:proofErr w:type="spellEnd"/>
      <w:r w:rsidRPr="00370E7C">
        <w:t xml:space="preserve">: </w:t>
      </w:r>
      <w:hyperlink r:id="rId15" w:tgtFrame="_blank" w:history="1">
        <w:r w:rsidRPr="00370E7C">
          <w:rPr>
            <w:rStyle w:val="Hyperlink"/>
            <w:rFonts w:eastAsia="Times New Roman" w:cs="Arial"/>
            <w:shd w:val="clear" w:color="auto" w:fill="FFFFFF"/>
          </w:rPr>
          <w:t>10.3390/geriatrics4040067</w:t>
        </w:r>
      </w:hyperlink>
    </w:p>
    <w:p w14:paraId="648A473E" w14:textId="09584C6D" w:rsidR="00370E7C" w:rsidRPr="008253F0" w:rsidRDefault="00370E7C" w:rsidP="008253F0">
      <w:pPr>
        <w:rPr>
          <w:rFonts w:eastAsia="Times New Roman" w:cs="Times New Roman"/>
        </w:rPr>
      </w:pPr>
      <w:r w:rsidRPr="008253F0">
        <w:rPr>
          <w:rFonts w:eastAsia="Times New Roman" w:cs="Times New Roman"/>
          <w:shd w:val="clear" w:color="auto" w:fill="FFFFFF"/>
        </w:rPr>
        <w:t>Engel, R. J. &amp; Schutt, R. K. (2005) </w:t>
      </w:r>
      <w:r w:rsidRPr="008253F0">
        <w:rPr>
          <w:rFonts w:eastAsia="Times New Roman" w:cs="Times New Roman"/>
          <w:i/>
          <w:iCs/>
          <w:shd w:val="clear" w:color="auto" w:fill="FFFFFF"/>
        </w:rPr>
        <w:t>The practice of research in social work</w:t>
      </w:r>
      <w:r w:rsidRPr="008253F0">
        <w:rPr>
          <w:rFonts w:eastAsia="Times New Roman" w:cs="Times New Roman"/>
          <w:shd w:val="clear" w:color="auto" w:fill="FFFFFF"/>
        </w:rPr>
        <w:t>. Thousand Oaks, C</w:t>
      </w:r>
      <w:r w:rsidR="000A5802">
        <w:rPr>
          <w:rFonts w:eastAsia="Times New Roman" w:cs="Times New Roman"/>
          <w:shd w:val="clear" w:color="auto" w:fill="FFFFFF"/>
        </w:rPr>
        <w:t>A</w:t>
      </w:r>
      <w:r w:rsidRPr="008253F0">
        <w:rPr>
          <w:rFonts w:eastAsia="Times New Roman" w:cs="Times New Roman"/>
          <w:shd w:val="clear" w:color="auto" w:fill="FFFFFF"/>
        </w:rPr>
        <w:t>: Sage Publications</w:t>
      </w:r>
      <w:r w:rsidR="000A5802">
        <w:rPr>
          <w:rFonts w:eastAsia="Times New Roman" w:cs="Times New Roman"/>
          <w:shd w:val="clear" w:color="auto" w:fill="FFFFFF"/>
        </w:rPr>
        <w:t>.</w:t>
      </w:r>
    </w:p>
    <w:p w14:paraId="3C48AA5F" w14:textId="61846144" w:rsidR="00370E7C" w:rsidRPr="008253F0" w:rsidRDefault="00370E7C" w:rsidP="008253F0">
      <w:pPr>
        <w:rPr>
          <w:rFonts w:eastAsia="Times New Roman"/>
        </w:rPr>
      </w:pPr>
      <w:r w:rsidRPr="00370E7C">
        <w:rPr>
          <w:rFonts w:eastAsia="Times New Roman"/>
          <w:shd w:val="clear" w:color="auto" w:fill="FFFFFF"/>
        </w:rPr>
        <w:t xml:space="preserve">Faber, J. &amp; Fonseca, L. M. (2014) ‘How small sample size influences research outcomes’, </w:t>
      </w:r>
      <w:r w:rsidRPr="00370E7C">
        <w:rPr>
          <w:rFonts w:eastAsia="Times New Roman"/>
          <w:i/>
          <w:shd w:val="clear" w:color="auto" w:fill="FFFFFF"/>
        </w:rPr>
        <w:t xml:space="preserve">Dental Press Journal of Orthodonctics, </w:t>
      </w:r>
      <w:r w:rsidRPr="00370E7C">
        <w:rPr>
          <w:rFonts w:eastAsia="Times New Roman"/>
          <w:shd w:val="clear" w:color="auto" w:fill="FFFFFF"/>
        </w:rPr>
        <w:t>19(4), pp. 27</w:t>
      </w:r>
      <w:r w:rsidR="000A5802" w:rsidRPr="000A5802">
        <w:rPr>
          <w:rFonts w:eastAsia="Times New Roman"/>
          <w:spacing w:val="-2"/>
        </w:rPr>
        <w:t>–</w:t>
      </w:r>
      <w:r w:rsidRPr="00370E7C">
        <w:rPr>
          <w:rFonts w:eastAsia="Times New Roman"/>
          <w:shd w:val="clear" w:color="auto" w:fill="FFFFFF"/>
        </w:rPr>
        <w:t xml:space="preserve">29. </w:t>
      </w:r>
      <w:proofErr w:type="spellStart"/>
      <w:r w:rsidR="000A5802">
        <w:rPr>
          <w:rFonts w:eastAsia="Times New Roman"/>
          <w:shd w:val="clear" w:color="auto" w:fill="FFFFFF"/>
        </w:rPr>
        <w:t>d</w:t>
      </w:r>
      <w:r w:rsidRPr="00370E7C">
        <w:rPr>
          <w:rFonts w:eastAsia="Times New Roman"/>
          <w:shd w:val="clear" w:color="auto" w:fill="FFFFFF"/>
        </w:rPr>
        <w:t>oi</w:t>
      </w:r>
      <w:proofErr w:type="spellEnd"/>
      <w:r w:rsidRPr="00370E7C">
        <w:rPr>
          <w:rFonts w:eastAsia="Times New Roman"/>
          <w:shd w:val="clear" w:color="auto" w:fill="FFFFFF"/>
        </w:rPr>
        <w:t xml:space="preserve">: </w:t>
      </w:r>
      <w:hyperlink r:id="rId16" w:tgtFrame="_blank" w:history="1">
        <w:r w:rsidRPr="00370E7C">
          <w:rPr>
            <w:rStyle w:val="Hyperlink"/>
            <w:rFonts w:eastAsia="Times New Roman" w:cs="Arial"/>
            <w:shd w:val="clear" w:color="auto" w:fill="FFFFFF"/>
          </w:rPr>
          <w:t>10.1590/2176-9451.19.4.027-029.ebo</w:t>
        </w:r>
      </w:hyperlink>
    </w:p>
    <w:p w14:paraId="2C46A9F1" w14:textId="5F78A521" w:rsidR="00370E7C" w:rsidRPr="00370E7C" w:rsidRDefault="00370E7C" w:rsidP="008253F0">
      <w:pPr>
        <w:rPr>
          <w:rFonts w:eastAsia="Times New Roman"/>
        </w:rPr>
      </w:pPr>
      <w:r w:rsidRPr="00370E7C">
        <w:rPr>
          <w:rFonts w:eastAsia="Times New Roman"/>
        </w:rPr>
        <w:t xml:space="preserve">Fernandez, M. G., Ottenstein, L., Atanelov, L. &amp; Christian, A. B. (2013) ‘Dysphagia after stroke: an overview’, </w:t>
      </w:r>
      <w:r w:rsidRPr="00370E7C">
        <w:rPr>
          <w:rFonts w:eastAsia="Times New Roman"/>
          <w:i/>
        </w:rPr>
        <w:t xml:space="preserve">Current Physical Medicine and Rehabilitation Reports, </w:t>
      </w:r>
      <w:r w:rsidRPr="00370E7C">
        <w:rPr>
          <w:rFonts w:eastAsia="Times New Roman"/>
        </w:rPr>
        <w:t>1(3), pp. 187</w:t>
      </w:r>
      <w:r w:rsidR="000A5802" w:rsidRPr="000A5802">
        <w:rPr>
          <w:rFonts w:eastAsia="Times New Roman"/>
          <w:spacing w:val="-2"/>
        </w:rPr>
        <w:t>–</w:t>
      </w:r>
      <w:r w:rsidRPr="00370E7C">
        <w:rPr>
          <w:rFonts w:eastAsia="Times New Roman"/>
        </w:rPr>
        <w:t xml:space="preserve">196. </w:t>
      </w:r>
      <w:proofErr w:type="spellStart"/>
      <w:r w:rsidR="000A5802">
        <w:rPr>
          <w:rFonts w:eastAsia="Times New Roman"/>
        </w:rPr>
        <w:t>d</w:t>
      </w:r>
      <w:r w:rsidRPr="00370E7C">
        <w:rPr>
          <w:rFonts w:eastAsia="Times New Roman"/>
        </w:rPr>
        <w:t>oi</w:t>
      </w:r>
      <w:proofErr w:type="spellEnd"/>
      <w:r w:rsidRPr="00370E7C">
        <w:rPr>
          <w:rFonts w:eastAsia="Times New Roman"/>
        </w:rPr>
        <w:t xml:space="preserve">: </w:t>
      </w:r>
      <w:hyperlink r:id="rId17" w:tgtFrame="_blank" w:history="1">
        <w:r w:rsidRPr="00370E7C">
          <w:rPr>
            <w:rStyle w:val="Hyperlink"/>
            <w:rFonts w:eastAsia="Times New Roman" w:cs="Arial"/>
            <w:shd w:val="clear" w:color="auto" w:fill="FFFFFF"/>
          </w:rPr>
          <w:t>10.1007/s40141-013-0017-y</w:t>
        </w:r>
      </w:hyperlink>
    </w:p>
    <w:p w14:paraId="09F51767" w14:textId="3A7D5E17" w:rsidR="00370E7C" w:rsidRPr="004313AA" w:rsidRDefault="00370E7C" w:rsidP="008253F0">
      <w:pPr>
        <w:rPr>
          <w:rFonts w:eastAsia="Times New Roman"/>
        </w:rPr>
      </w:pPr>
      <w:r w:rsidRPr="004313AA">
        <w:rPr>
          <w:rFonts w:eastAsia="Times New Roman"/>
          <w:bCs/>
          <w:spacing w:val="-2"/>
        </w:rPr>
        <w:t xml:space="preserve">Forder, J., </w:t>
      </w:r>
      <w:proofErr w:type="spellStart"/>
      <w:r w:rsidRPr="004313AA">
        <w:rPr>
          <w:rFonts w:eastAsia="Times New Roman"/>
          <w:bCs/>
          <w:spacing w:val="-2"/>
        </w:rPr>
        <w:t>Vadean</w:t>
      </w:r>
      <w:proofErr w:type="spellEnd"/>
      <w:r w:rsidRPr="004313AA">
        <w:rPr>
          <w:rFonts w:eastAsia="Times New Roman"/>
          <w:bCs/>
          <w:spacing w:val="-2"/>
        </w:rPr>
        <w:t>, F., Rand, S. &amp; Malley, J. (2017) ‘</w:t>
      </w:r>
      <w:r w:rsidRPr="004313AA">
        <w:rPr>
          <w:rFonts w:eastAsia="Times New Roman"/>
        </w:rPr>
        <w:t xml:space="preserve">The impact of long-term care on quality of life’, </w:t>
      </w:r>
      <w:r w:rsidRPr="004313AA">
        <w:rPr>
          <w:rFonts w:eastAsia="Times New Roman"/>
          <w:i/>
        </w:rPr>
        <w:t xml:space="preserve">Health Economics, </w:t>
      </w:r>
      <w:r w:rsidRPr="004313AA">
        <w:rPr>
          <w:rFonts w:eastAsia="Times New Roman"/>
        </w:rPr>
        <w:t xml:space="preserve">27(3).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w:t>
      </w:r>
      <w:hyperlink r:id="rId18" w:tgtFrame="_blank" w:history="1">
        <w:r w:rsidRPr="004313AA">
          <w:rPr>
            <w:rStyle w:val="Hyperlink"/>
            <w:rFonts w:eastAsia="Times New Roman" w:cs="Arial"/>
          </w:rPr>
          <w:t>10.1002/hec.3612</w:t>
        </w:r>
      </w:hyperlink>
    </w:p>
    <w:p w14:paraId="789542C2" w14:textId="75BE351F" w:rsidR="00370E7C" w:rsidRPr="004313AA" w:rsidRDefault="00370E7C" w:rsidP="008253F0">
      <w:pPr>
        <w:rPr>
          <w:rFonts w:eastAsia="Times New Roman"/>
        </w:rPr>
      </w:pPr>
      <w:r w:rsidRPr="004313AA">
        <w:rPr>
          <w:rFonts w:eastAsia="Times New Roman"/>
        </w:rPr>
        <w:t>Green, J. &amp; Thorogood, N. (2018)</w:t>
      </w:r>
      <w:r w:rsidRPr="004313AA">
        <w:t xml:space="preserve"> </w:t>
      </w:r>
      <w:r w:rsidRPr="004313AA">
        <w:rPr>
          <w:i/>
        </w:rPr>
        <w:t>Qualitative Methods for Health Research</w:t>
      </w:r>
      <w:r w:rsidRPr="004313AA">
        <w:t>. (4</w:t>
      </w:r>
      <w:r w:rsidRPr="004313AA">
        <w:rPr>
          <w:vertAlign w:val="superscript"/>
        </w:rPr>
        <w:t xml:space="preserve">th </w:t>
      </w:r>
      <w:r w:rsidRPr="004313AA">
        <w:rPr>
          <w:rFonts w:eastAsia="Times New Roman"/>
        </w:rPr>
        <w:t>Eds) London: Sage Publications Ltd</w:t>
      </w:r>
      <w:r w:rsidR="000A5802">
        <w:rPr>
          <w:rFonts w:eastAsia="Times New Roman"/>
        </w:rPr>
        <w:t>.</w:t>
      </w:r>
    </w:p>
    <w:p w14:paraId="550EE0A5" w14:textId="30459441" w:rsidR="00370E7C" w:rsidRPr="004313AA" w:rsidRDefault="00370E7C" w:rsidP="008253F0">
      <w:pPr>
        <w:rPr>
          <w:rFonts w:eastAsia="Times New Roman"/>
        </w:rPr>
      </w:pPr>
      <w:r w:rsidRPr="004313AA">
        <w:rPr>
          <w:rFonts w:eastAsia="Times New Roman"/>
        </w:rPr>
        <w:t xml:space="preserve">Health </w:t>
      </w:r>
      <w:r w:rsidR="003E584F">
        <w:rPr>
          <w:rFonts w:eastAsia="Times New Roman"/>
        </w:rPr>
        <w:t>and</w:t>
      </w:r>
      <w:r w:rsidRPr="004313AA">
        <w:rPr>
          <w:rFonts w:eastAsia="Times New Roman"/>
        </w:rPr>
        <w:t xml:space="preserve"> Care Professions Council (2022) </w:t>
      </w:r>
      <w:r w:rsidRPr="004313AA">
        <w:rPr>
          <w:rFonts w:eastAsia="Times New Roman"/>
          <w:i/>
        </w:rPr>
        <w:t xml:space="preserve">Standards of Continuing Professional Development. </w:t>
      </w:r>
      <w:r w:rsidRPr="004313AA">
        <w:rPr>
          <w:rFonts w:eastAsia="Times New Roman"/>
        </w:rPr>
        <w:t xml:space="preserve">Available at: https://www.hcpc-uk.org/standards/standards-of-continuing-professional-development/ (Accessed: 2 December 2021) </w:t>
      </w:r>
    </w:p>
    <w:p w14:paraId="6FDC2F63" w14:textId="77844BBC" w:rsidR="00370E7C" w:rsidRPr="004313AA" w:rsidRDefault="00370E7C" w:rsidP="008253F0">
      <w:pPr>
        <w:rPr>
          <w:rFonts w:eastAsia="Times New Roman"/>
        </w:rPr>
      </w:pPr>
      <w:r w:rsidRPr="004313AA">
        <w:rPr>
          <w:rFonts w:eastAsia="Times New Roman"/>
        </w:rPr>
        <w:t>Hellden, J., Bergstrom, L. &amp; Karlsson, S. (2018) ‘</w:t>
      </w:r>
      <w:r w:rsidRPr="004313AA">
        <w:t xml:space="preserve">Experiences of living with persisting post-stroke dysphagia and of dysphagia management – a qualitative study’, </w:t>
      </w:r>
      <w:r w:rsidRPr="004313AA">
        <w:rPr>
          <w:i/>
        </w:rPr>
        <w:t xml:space="preserve">International Journal of Qualitative Studies in Health and Well-being, </w:t>
      </w:r>
      <w:r w:rsidRPr="004313AA">
        <w:t xml:space="preserve">13(1). </w:t>
      </w:r>
      <w:proofErr w:type="spellStart"/>
      <w:r w:rsidR="000A5802">
        <w:t>d</w:t>
      </w:r>
      <w:r w:rsidRPr="004313AA">
        <w:t>oi</w:t>
      </w:r>
      <w:proofErr w:type="spellEnd"/>
      <w:r w:rsidRPr="004313AA">
        <w:t xml:space="preserve">: </w:t>
      </w:r>
      <w:hyperlink r:id="rId19" w:tgtFrame="_blank" w:history="1">
        <w:r w:rsidRPr="004313AA">
          <w:rPr>
            <w:rStyle w:val="Hyperlink"/>
            <w:rFonts w:eastAsia="Times New Roman" w:cs="Arial"/>
            <w:shd w:val="clear" w:color="auto" w:fill="FFFFFF"/>
          </w:rPr>
          <w:t>10.1080/17482631.2018.1522194</w:t>
        </w:r>
      </w:hyperlink>
    </w:p>
    <w:p w14:paraId="541150A1" w14:textId="0D4AFA48" w:rsidR="00370E7C" w:rsidRPr="008253F0" w:rsidRDefault="00370E7C" w:rsidP="008253F0">
      <w:pPr>
        <w:rPr>
          <w:rFonts w:eastAsia="Times New Roman" w:cs="Times New Roman"/>
        </w:rPr>
      </w:pPr>
      <w:r>
        <w:rPr>
          <w:rFonts w:eastAsia="Times New Roman"/>
          <w:color w:val="222222"/>
          <w:shd w:val="clear" w:color="auto" w:fill="FFFFFF"/>
        </w:rPr>
        <w:t>Holland, K. and Rees, C. (</w:t>
      </w:r>
      <w:r w:rsidRPr="00F1584C">
        <w:rPr>
          <w:rFonts w:eastAsia="Times New Roman"/>
          <w:color w:val="222222"/>
          <w:shd w:val="clear" w:color="auto" w:fill="FFFFFF"/>
        </w:rPr>
        <w:t>2010</w:t>
      </w:r>
      <w:r>
        <w:rPr>
          <w:rFonts w:eastAsia="Times New Roman"/>
          <w:color w:val="222222"/>
          <w:shd w:val="clear" w:color="auto" w:fill="FFFFFF"/>
        </w:rPr>
        <w:t>)</w:t>
      </w:r>
      <w:r w:rsidRPr="00F1584C">
        <w:rPr>
          <w:rFonts w:eastAsia="Times New Roman"/>
          <w:color w:val="222222"/>
          <w:shd w:val="clear" w:color="auto" w:fill="FFFFFF"/>
        </w:rPr>
        <w:t>. </w:t>
      </w:r>
      <w:r w:rsidRPr="00F1584C">
        <w:rPr>
          <w:rFonts w:eastAsia="Times New Roman"/>
          <w:i/>
          <w:iCs/>
          <w:color w:val="222222"/>
          <w:shd w:val="clear" w:color="auto" w:fill="FFFFFF"/>
        </w:rPr>
        <w:t>Nursing evidence-based practice skills</w:t>
      </w:r>
      <w:r w:rsidRPr="00F1584C">
        <w:rPr>
          <w:rFonts w:eastAsia="Times New Roman"/>
          <w:color w:val="222222"/>
          <w:shd w:val="clear" w:color="auto" w:fill="FFFFFF"/>
        </w:rPr>
        <w:t>. USA: Oxford University Press</w:t>
      </w:r>
      <w:r w:rsidR="000A5802">
        <w:rPr>
          <w:rFonts w:eastAsia="Times New Roman"/>
          <w:color w:val="222222"/>
          <w:shd w:val="clear" w:color="auto" w:fill="FFFFFF"/>
        </w:rPr>
        <w:t>.</w:t>
      </w:r>
    </w:p>
    <w:p w14:paraId="6D3256DC" w14:textId="32D95A98" w:rsidR="00370E7C" w:rsidRPr="004313AA" w:rsidRDefault="00370E7C" w:rsidP="008253F0">
      <w:pPr>
        <w:rPr>
          <w:rFonts w:eastAsia="Times New Roman"/>
        </w:rPr>
      </w:pPr>
      <w:r w:rsidRPr="004313AA">
        <w:rPr>
          <w:rFonts w:eastAsia="Times New Roman"/>
        </w:rPr>
        <w:t xml:space="preserve">Hong, C. J., Kaur, M. N., Farrokhyar, F. &amp; </w:t>
      </w:r>
      <w:proofErr w:type="spellStart"/>
      <w:r w:rsidRPr="004313AA">
        <w:rPr>
          <w:rFonts w:eastAsia="Times New Roman"/>
        </w:rPr>
        <w:t>Thoma</w:t>
      </w:r>
      <w:proofErr w:type="spellEnd"/>
      <w:r w:rsidRPr="004313AA">
        <w:rPr>
          <w:rFonts w:eastAsia="Times New Roman"/>
        </w:rPr>
        <w:t>, A. (2015) ‘</w:t>
      </w:r>
      <w:r w:rsidRPr="004313AA">
        <w:rPr>
          <w:rFonts w:eastAsia="Times New Roman"/>
          <w:bCs/>
          <w:spacing w:val="-2"/>
        </w:rPr>
        <w:t xml:space="preserve">Accuracy and completeness of electronic medical records obtained from referring physicians in a Hamilton, Ontario, plastic surgery practice: A prospective feasibility study’, </w:t>
      </w:r>
      <w:r w:rsidRPr="004313AA">
        <w:rPr>
          <w:rFonts w:eastAsia="Times New Roman"/>
          <w:bCs/>
          <w:i/>
          <w:spacing w:val="-2"/>
        </w:rPr>
        <w:t xml:space="preserve">Plastic Surgery, </w:t>
      </w:r>
      <w:r w:rsidRPr="004313AA">
        <w:rPr>
          <w:rFonts w:eastAsia="Times New Roman"/>
          <w:bCs/>
          <w:spacing w:val="-2"/>
        </w:rPr>
        <w:t>23(1), pp. 48</w:t>
      </w:r>
      <w:r w:rsidR="000A5802" w:rsidRPr="000A5802">
        <w:rPr>
          <w:rFonts w:eastAsia="Times New Roman"/>
          <w:spacing w:val="-2"/>
        </w:rPr>
        <w:t>–</w:t>
      </w:r>
      <w:r w:rsidRPr="004313AA">
        <w:rPr>
          <w:rFonts w:eastAsia="Times New Roman"/>
          <w:bCs/>
          <w:spacing w:val="-2"/>
        </w:rPr>
        <w:t xml:space="preserve">50. </w:t>
      </w:r>
      <w:proofErr w:type="spellStart"/>
      <w:r w:rsidR="000A5802">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20" w:tgtFrame="_blank" w:history="1">
        <w:r w:rsidRPr="004313AA">
          <w:rPr>
            <w:rStyle w:val="Hyperlink"/>
            <w:rFonts w:eastAsia="Times New Roman" w:cs="Arial"/>
            <w:shd w:val="clear" w:color="auto" w:fill="FFFFFF"/>
          </w:rPr>
          <w:t>10.4172/plastic-surgery.1000900</w:t>
        </w:r>
      </w:hyperlink>
    </w:p>
    <w:p w14:paraId="5ACF5B71" w14:textId="781B1483" w:rsidR="00370E7C" w:rsidRPr="004313AA" w:rsidRDefault="00370E7C" w:rsidP="008253F0">
      <w:pPr>
        <w:rPr>
          <w:rFonts w:eastAsia="Times New Roman"/>
        </w:rPr>
      </w:pPr>
      <w:r w:rsidRPr="004313AA">
        <w:rPr>
          <w:rFonts w:eastAsia="Times New Roman"/>
        </w:rPr>
        <w:t>Hong, D. G. &amp; Yoo, D. H. (2017) ‘</w:t>
      </w:r>
      <w:r w:rsidRPr="004313AA">
        <w:t xml:space="preserve">A comparison of the swallowing function and quality of life by oral intake level in stroke patients with dysphagia’, </w:t>
      </w:r>
      <w:r w:rsidRPr="004313AA">
        <w:rPr>
          <w:i/>
        </w:rPr>
        <w:t xml:space="preserve">Journal of Physical Therapy Science, </w:t>
      </w:r>
      <w:r w:rsidRPr="004313AA">
        <w:t>29(9), pp. 1552</w:t>
      </w:r>
      <w:r w:rsidR="000A5802" w:rsidRPr="000A5802">
        <w:rPr>
          <w:rFonts w:eastAsia="Times New Roman"/>
          <w:spacing w:val="-2"/>
        </w:rPr>
        <w:t>–</w:t>
      </w:r>
      <w:r w:rsidRPr="004313AA">
        <w:t xml:space="preserve">1554. </w:t>
      </w:r>
      <w:proofErr w:type="spellStart"/>
      <w:r w:rsidR="000A5802">
        <w:t>d</w:t>
      </w:r>
      <w:r w:rsidRPr="004313AA">
        <w:t>oi</w:t>
      </w:r>
      <w:proofErr w:type="spellEnd"/>
      <w:r w:rsidRPr="004313AA">
        <w:t>:</w:t>
      </w:r>
      <w:r w:rsidRPr="004313AA">
        <w:rPr>
          <w:rFonts w:eastAsia="Times New Roman"/>
        </w:rPr>
        <w:t xml:space="preserve"> </w:t>
      </w:r>
      <w:hyperlink r:id="rId21" w:tgtFrame="_blank" w:history="1">
        <w:r w:rsidRPr="004313AA">
          <w:rPr>
            <w:rStyle w:val="Hyperlink"/>
            <w:rFonts w:eastAsia="Times New Roman" w:cs="Arial"/>
            <w:shd w:val="clear" w:color="auto" w:fill="FFFFFF"/>
          </w:rPr>
          <w:t>10.1589/jpts.29.1552</w:t>
        </w:r>
      </w:hyperlink>
    </w:p>
    <w:p w14:paraId="2045E267" w14:textId="70756FE9" w:rsidR="00370E7C" w:rsidRDefault="00370E7C" w:rsidP="008253F0">
      <w:pPr>
        <w:rPr>
          <w:rFonts w:eastAsia="Times New Roman"/>
        </w:rPr>
      </w:pPr>
      <w:proofErr w:type="spellStart"/>
      <w:r w:rsidRPr="004313AA">
        <w:rPr>
          <w:rFonts w:eastAsia="Times New Roman"/>
        </w:rPr>
        <w:t>Jacobsson</w:t>
      </w:r>
      <w:proofErr w:type="spellEnd"/>
      <w:r w:rsidRPr="004313AA">
        <w:rPr>
          <w:rFonts w:eastAsia="Times New Roman"/>
        </w:rPr>
        <w:t xml:space="preserve">, C., </w:t>
      </w:r>
      <w:proofErr w:type="spellStart"/>
      <w:r w:rsidRPr="004313AA">
        <w:rPr>
          <w:rFonts w:eastAsia="Times New Roman"/>
        </w:rPr>
        <w:t>Axelsson</w:t>
      </w:r>
      <w:proofErr w:type="spellEnd"/>
      <w:r w:rsidRPr="004313AA">
        <w:rPr>
          <w:rFonts w:eastAsia="Times New Roman"/>
        </w:rPr>
        <w:t>, K., Osterlind, P. O. &amp; Norberg, A. (2000) ‘</w:t>
      </w:r>
      <w:r w:rsidRPr="004313AA">
        <w:t xml:space="preserve">How people with stroke and healthy older people experience the eating process’, </w:t>
      </w:r>
      <w:r w:rsidRPr="004313AA">
        <w:rPr>
          <w:i/>
        </w:rPr>
        <w:t xml:space="preserve">Journal of Clinical Nursing, </w:t>
      </w:r>
      <w:r w:rsidRPr="004313AA">
        <w:t>9(2), pp. 255</w:t>
      </w:r>
      <w:r w:rsidR="000A5802" w:rsidRPr="000A5802">
        <w:rPr>
          <w:rFonts w:eastAsia="Times New Roman"/>
          <w:spacing w:val="-2"/>
        </w:rPr>
        <w:t>–</w:t>
      </w:r>
      <w:r w:rsidRPr="004313AA">
        <w:t xml:space="preserve">264. </w:t>
      </w:r>
      <w:proofErr w:type="spellStart"/>
      <w:r w:rsidR="000A5802">
        <w:t>d</w:t>
      </w:r>
      <w:r w:rsidRPr="004313AA">
        <w:t>oi</w:t>
      </w:r>
      <w:proofErr w:type="spellEnd"/>
      <w:r w:rsidRPr="004313AA">
        <w:t xml:space="preserve">: </w:t>
      </w:r>
      <w:r w:rsidRPr="004313AA">
        <w:rPr>
          <w:rFonts w:eastAsia="Times New Roman"/>
        </w:rPr>
        <w:t>10.1046/j.1365-2702.</w:t>
      </w:r>
      <w:proofErr w:type="gramStart"/>
      <w:r w:rsidRPr="004313AA">
        <w:rPr>
          <w:rFonts w:eastAsia="Times New Roman"/>
        </w:rPr>
        <w:t>2000.00355.x</w:t>
      </w:r>
      <w:proofErr w:type="gramEnd"/>
    </w:p>
    <w:p w14:paraId="2FE0DB35" w14:textId="66BD6707" w:rsidR="00370E7C" w:rsidRPr="008253F0" w:rsidRDefault="00370E7C" w:rsidP="008253F0">
      <w:pPr>
        <w:rPr>
          <w:rFonts w:eastAsia="Times New Roman" w:cs="Times New Roman"/>
        </w:rPr>
      </w:pPr>
      <w:r w:rsidRPr="001A0B4B">
        <w:rPr>
          <w:rFonts w:eastAsia="Times New Roman"/>
          <w:color w:val="222222"/>
          <w:shd w:val="clear" w:color="auto" w:fill="FFFFFF"/>
        </w:rPr>
        <w:lastRenderedPageBreak/>
        <w:t>Jason, L. and Glenwick, D. (2016). </w:t>
      </w:r>
      <w:r w:rsidRPr="001A0B4B">
        <w:rPr>
          <w:rFonts w:eastAsia="Times New Roman"/>
          <w:i/>
          <w:iCs/>
          <w:color w:val="222222"/>
          <w:shd w:val="clear" w:color="auto" w:fill="FFFFFF"/>
        </w:rPr>
        <w:t>Handbook of methodological approaches to community-based research: Qualitative, quantitative, and mixed methods</w:t>
      </w:r>
      <w:r w:rsidRPr="001A0B4B">
        <w:rPr>
          <w:rFonts w:eastAsia="Times New Roman"/>
          <w:color w:val="222222"/>
          <w:shd w:val="clear" w:color="auto" w:fill="FFFFFF"/>
        </w:rPr>
        <w:t xml:space="preserve">. New York: Oxford </w:t>
      </w:r>
      <w:r w:rsidR="008F4BA4">
        <w:rPr>
          <w:rFonts w:eastAsia="Times New Roman"/>
          <w:color w:val="222222"/>
          <w:shd w:val="clear" w:color="auto" w:fill="FFFFFF"/>
        </w:rPr>
        <w:t>U</w:t>
      </w:r>
      <w:r w:rsidRPr="001A0B4B">
        <w:rPr>
          <w:rFonts w:eastAsia="Times New Roman"/>
          <w:color w:val="222222"/>
          <w:shd w:val="clear" w:color="auto" w:fill="FFFFFF"/>
        </w:rPr>
        <w:t xml:space="preserve">niversity </w:t>
      </w:r>
      <w:r w:rsidR="008F4BA4">
        <w:rPr>
          <w:rFonts w:eastAsia="Times New Roman"/>
          <w:color w:val="222222"/>
          <w:shd w:val="clear" w:color="auto" w:fill="FFFFFF"/>
        </w:rPr>
        <w:t>P</w:t>
      </w:r>
      <w:r w:rsidRPr="001A0B4B">
        <w:rPr>
          <w:rFonts w:eastAsia="Times New Roman"/>
          <w:color w:val="222222"/>
          <w:shd w:val="clear" w:color="auto" w:fill="FFFFFF"/>
        </w:rPr>
        <w:t>ress.</w:t>
      </w:r>
    </w:p>
    <w:p w14:paraId="0406F2E6" w14:textId="43C8C071" w:rsidR="00370E7C" w:rsidRPr="004313AA" w:rsidRDefault="00370E7C" w:rsidP="008253F0">
      <w:pPr>
        <w:rPr>
          <w:rFonts w:eastAsia="Times New Roman"/>
        </w:rPr>
      </w:pPr>
      <w:r w:rsidRPr="004313AA">
        <w:rPr>
          <w:rFonts w:eastAsia="Times New Roman"/>
        </w:rPr>
        <w:t xml:space="preserve">Joanna Briggs Institute (2017) </w:t>
      </w:r>
      <w:r w:rsidRPr="004313AA">
        <w:rPr>
          <w:rFonts w:eastAsia="Times New Roman"/>
          <w:i/>
        </w:rPr>
        <w:t xml:space="preserve">Checklist for Analytical </w:t>
      </w:r>
      <w:proofErr w:type="gramStart"/>
      <w:r w:rsidRPr="004313AA">
        <w:rPr>
          <w:rFonts w:eastAsia="Times New Roman"/>
          <w:i/>
        </w:rPr>
        <w:t>Cross Sectional</w:t>
      </w:r>
      <w:proofErr w:type="gramEnd"/>
      <w:r w:rsidRPr="004313AA">
        <w:rPr>
          <w:rFonts w:eastAsia="Times New Roman"/>
          <w:i/>
        </w:rPr>
        <w:t xml:space="preserve"> Studies. </w:t>
      </w:r>
      <w:r w:rsidRPr="004313AA">
        <w:rPr>
          <w:rFonts w:eastAsia="Times New Roman"/>
        </w:rPr>
        <w:t xml:space="preserve">Available at: </w:t>
      </w:r>
      <w:hyperlink r:id="rId22" w:history="1">
        <w:r w:rsidRPr="004313AA">
          <w:rPr>
            <w:rStyle w:val="Hyperlink"/>
            <w:rFonts w:eastAsia="Times New Roman" w:cs="Arial"/>
          </w:rPr>
          <w:t>https://jbi.global/sites/default/files/2019-05/JBI_Critical_Appraisal-Checklist_for_Analytical_Cross_Sectional_Studies2017_0.pdf</w:t>
        </w:r>
      </w:hyperlink>
      <w:r w:rsidRPr="004313AA">
        <w:rPr>
          <w:rFonts w:eastAsia="Times New Roman"/>
        </w:rPr>
        <w:t xml:space="preserve"> (Accessed: 17 January 2022) </w:t>
      </w:r>
    </w:p>
    <w:p w14:paraId="51D93AC9" w14:textId="651FE61E" w:rsidR="00370E7C" w:rsidRPr="004313AA" w:rsidRDefault="00370E7C" w:rsidP="008253F0">
      <w:pPr>
        <w:rPr>
          <w:rFonts w:eastAsia="Times New Roman"/>
        </w:rPr>
      </w:pPr>
      <w:r w:rsidRPr="004313AA">
        <w:rPr>
          <w:rFonts w:eastAsia="Times New Roman"/>
          <w:bCs/>
          <w:spacing w:val="-2"/>
        </w:rPr>
        <w:t xml:space="preserve">Johnson, J. L., Adkins, D. &amp; Chauvin, S. (2020) ‘A Review of the Quality Indicators of Rigor in Qualitative Research’, </w:t>
      </w:r>
      <w:r w:rsidRPr="004313AA">
        <w:rPr>
          <w:rFonts w:eastAsia="Times New Roman"/>
          <w:bCs/>
          <w:i/>
          <w:spacing w:val="-2"/>
        </w:rPr>
        <w:t xml:space="preserve">American Journal of Pharmaceutical Education, </w:t>
      </w:r>
      <w:r w:rsidRPr="004313AA">
        <w:rPr>
          <w:rFonts w:eastAsia="Times New Roman"/>
          <w:bCs/>
          <w:spacing w:val="-2"/>
        </w:rPr>
        <w:t xml:space="preserve">84(1). </w:t>
      </w:r>
      <w:proofErr w:type="spellStart"/>
      <w:r w:rsidR="000A5802">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23" w:tgtFrame="_blank" w:history="1">
        <w:r w:rsidRPr="004313AA">
          <w:rPr>
            <w:rStyle w:val="Hyperlink"/>
            <w:rFonts w:eastAsia="Times New Roman" w:cs="Arial"/>
            <w:shd w:val="clear" w:color="auto" w:fill="FFFFFF"/>
          </w:rPr>
          <w:t>10.5688/ajpe7120</w:t>
        </w:r>
      </w:hyperlink>
    </w:p>
    <w:p w14:paraId="47758381" w14:textId="111D6CD6" w:rsidR="00370E7C" w:rsidRPr="004313AA" w:rsidRDefault="00370E7C" w:rsidP="008253F0">
      <w:pPr>
        <w:rPr>
          <w:rFonts w:eastAsia="Times New Roman"/>
        </w:rPr>
      </w:pPr>
      <w:r w:rsidRPr="004313AA">
        <w:rPr>
          <w:rFonts w:eastAsia="Times New Roman"/>
        </w:rPr>
        <w:t xml:space="preserve">Journal of Stroke (2022) </w:t>
      </w:r>
      <w:r w:rsidRPr="004313AA">
        <w:rPr>
          <w:rFonts w:eastAsia="Times New Roman"/>
          <w:i/>
        </w:rPr>
        <w:t xml:space="preserve">Aims and Scope. </w:t>
      </w:r>
      <w:r w:rsidRPr="004313AA">
        <w:rPr>
          <w:rFonts w:eastAsia="Times New Roman"/>
        </w:rPr>
        <w:t xml:space="preserve">Available at: https://j-stroke.org/about/ (Accessed: 17 May 2022) </w:t>
      </w:r>
    </w:p>
    <w:p w14:paraId="54DB70C1" w14:textId="116B064F" w:rsidR="00370E7C" w:rsidRPr="004313AA" w:rsidRDefault="00370E7C" w:rsidP="008253F0">
      <w:pPr>
        <w:rPr>
          <w:rFonts w:eastAsia="Times New Roman"/>
        </w:rPr>
      </w:pPr>
      <w:r w:rsidRPr="004313AA">
        <w:rPr>
          <w:rFonts w:eastAsia="Times New Roman"/>
        </w:rPr>
        <w:t>Jungmann, S. M. &amp; Witthoft, M. (2020) ‘</w:t>
      </w:r>
      <w:r w:rsidRPr="004313AA">
        <w:rPr>
          <w:rFonts w:eastAsia="Times New Roman"/>
          <w:bCs/>
          <w:spacing w:val="-2"/>
        </w:rPr>
        <w:t xml:space="preserve">Health anxiety, cyberchondria, and coping in the current COVID-19 pandemic: Which factors are related to coronavirus anxiety?’, </w:t>
      </w:r>
      <w:r w:rsidRPr="004313AA">
        <w:rPr>
          <w:rFonts w:eastAsia="Times New Roman"/>
          <w:bCs/>
          <w:i/>
          <w:spacing w:val="-2"/>
        </w:rPr>
        <w:t xml:space="preserve">Journal of Anxiety Disorders, </w:t>
      </w:r>
      <w:r w:rsidRPr="004313AA">
        <w:rPr>
          <w:rFonts w:eastAsia="Times New Roman"/>
          <w:bCs/>
          <w:spacing w:val="-2"/>
        </w:rPr>
        <w:t xml:space="preserve">73. </w:t>
      </w:r>
      <w:proofErr w:type="spellStart"/>
      <w:r w:rsidR="000A5802">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24" w:tgtFrame="_blank" w:history="1">
        <w:r w:rsidRPr="004313AA">
          <w:rPr>
            <w:rStyle w:val="Hyperlink"/>
            <w:rFonts w:eastAsia="Times New Roman" w:cs="Arial"/>
            <w:shd w:val="clear" w:color="auto" w:fill="FFFFFF"/>
          </w:rPr>
          <w:t>10.1016/j.janxdis.2020.102239</w:t>
        </w:r>
      </w:hyperlink>
    </w:p>
    <w:p w14:paraId="43986D07" w14:textId="41EC8826" w:rsidR="00370E7C" w:rsidRPr="004313AA" w:rsidRDefault="00370E7C" w:rsidP="008253F0">
      <w:pPr>
        <w:rPr>
          <w:rFonts w:eastAsia="Times New Roman"/>
        </w:rPr>
      </w:pPr>
      <w:r w:rsidRPr="004313AA">
        <w:rPr>
          <w:rFonts w:eastAsia="Times New Roman"/>
        </w:rPr>
        <w:t>Kim, DY., Park, HS., Park, SW. &amp; Kim, JH. (2020) ‘</w:t>
      </w:r>
      <w:r w:rsidRPr="004313AA">
        <w:t xml:space="preserve">The impact of dysphagia on quality of life in stroke patients’, </w:t>
      </w:r>
      <w:r w:rsidRPr="004313AA">
        <w:rPr>
          <w:i/>
        </w:rPr>
        <w:t xml:space="preserve">Medicine, </w:t>
      </w:r>
      <w:r w:rsidRPr="004313AA">
        <w:t xml:space="preserve">99(34). </w:t>
      </w:r>
      <w:proofErr w:type="spellStart"/>
      <w:r w:rsidR="000A5802">
        <w:t>d</w:t>
      </w:r>
      <w:r w:rsidRPr="004313AA">
        <w:t>oi</w:t>
      </w:r>
      <w:proofErr w:type="spellEnd"/>
      <w:r w:rsidRPr="004313AA">
        <w:t xml:space="preserve">: </w:t>
      </w:r>
      <w:hyperlink r:id="rId25" w:tgtFrame="_blank" w:history="1">
        <w:r w:rsidRPr="004313AA">
          <w:rPr>
            <w:rStyle w:val="Hyperlink"/>
            <w:rFonts w:eastAsia="Times New Roman" w:cs="Arial"/>
            <w:shd w:val="clear" w:color="auto" w:fill="FFFFFF"/>
          </w:rPr>
          <w:t>10.1097/MD.0000000000021795</w:t>
        </w:r>
      </w:hyperlink>
    </w:p>
    <w:p w14:paraId="0362F8C4" w14:textId="0D2FAC48" w:rsidR="00370E7C" w:rsidRPr="008253F0" w:rsidRDefault="00370E7C" w:rsidP="008253F0">
      <w:pPr>
        <w:rPr>
          <w:rFonts w:eastAsia="Times New Roman"/>
        </w:rPr>
      </w:pPr>
      <w:r w:rsidRPr="004313AA">
        <w:t xml:space="preserve">Kjaersgaard, A. &amp; Pallesen, H. (2020) ‘First-hand experience of severe dysphagia following brainstem stroke: two qualitative cases’, </w:t>
      </w:r>
      <w:r w:rsidRPr="004313AA">
        <w:rPr>
          <w:i/>
        </w:rPr>
        <w:t xml:space="preserve">Geriatrics, </w:t>
      </w:r>
      <w:r w:rsidRPr="004313AA">
        <w:t xml:space="preserve">5(1). </w:t>
      </w:r>
      <w:proofErr w:type="spellStart"/>
      <w:r w:rsidR="000A5802">
        <w:t>d</w:t>
      </w:r>
      <w:r w:rsidRPr="004313AA">
        <w:t>oi</w:t>
      </w:r>
      <w:proofErr w:type="spellEnd"/>
      <w:r w:rsidRPr="004313AA">
        <w:t xml:space="preserve">: </w:t>
      </w:r>
      <w:hyperlink r:id="rId26" w:tgtFrame="_blank" w:history="1">
        <w:r w:rsidRPr="004313AA">
          <w:rPr>
            <w:rStyle w:val="Hyperlink"/>
            <w:rFonts w:eastAsia="Times New Roman" w:cs="Arial"/>
            <w:shd w:val="clear" w:color="auto" w:fill="FFFFFF"/>
          </w:rPr>
          <w:t>10.3390/geriatrics5010015</w:t>
        </w:r>
      </w:hyperlink>
    </w:p>
    <w:p w14:paraId="382D774E" w14:textId="4E103FC2" w:rsidR="00370E7C" w:rsidRPr="004313AA" w:rsidRDefault="00370E7C" w:rsidP="008253F0">
      <w:pPr>
        <w:rPr>
          <w:rFonts w:eastAsia="Times New Roman"/>
        </w:rPr>
      </w:pPr>
      <w:r w:rsidRPr="004313AA">
        <w:rPr>
          <w:rFonts w:eastAsia="Times New Roman"/>
        </w:rPr>
        <w:t>Krans, J., Bree, J. D. &amp; Bryant, R. A. (2013) ‘</w:t>
      </w:r>
      <w:r w:rsidRPr="004313AA">
        <w:rPr>
          <w:rFonts w:eastAsia="Times New Roman"/>
          <w:bCs/>
        </w:rPr>
        <w:t xml:space="preserve">Autobiographical memory bias in social anxiety’, </w:t>
      </w:r>
      <w:r w:rsidRPr="004313AA">
        <w:rPr>
          <w:rFonts w:eastAsia="Times New Roman"/>
          <w:bCs/>
          <w:i/>
        </w:rPr>
        <w:t xml:space="preserve">Memory, </w:t>
      </w:r>
      <w:r w:rsidRPr="004313AA">
        <w:rPr>
          <w:rFonts w:eastAsia="Times New Roman"/>
          <w:bCs/>
        </w:rPr>
        <w:t xml:space="preserve">22(8). </w:t>
      </w:r>
      <w:proofErr w:type="spellStart"/>
      <w:r w:rsidR="000A5802">
        <w:rPr>
          <w:rFonts w:eastAsia="Times New Roman"/>
          <w:bCs/>
        </w:rPr>
        <w:t>d</w:t>
      </w:r>
      <w:r w:rsidRPr="004313AA">
        <w:rPr>
          <w:rFonts w:eastAsia="Times New Roman"/>
          <w:bCs/>
        </w:rPr>
        <w:t>oi</w:t>
      </w:r>
      <w:proofErr w:type="spellEnd"/>
      <w:r w:rsidRPr="004313AA">
        <w:rPr>
          <w:rFonts w:eastAsia="Times New Roman"/>
          <w:bCs/>
        </w:rPr>
        <w:t xml:space="preserve">: </w:t>
      </w:r>
      <w:hyperlink r:id="rId27" w:history="1">
        <w:r w:rsidRPr="004313AA">
          <w:rPr>
            <w:rStyle w:val="Hyperlink"/>
            <w:rFonts w:eastAsia="Times New Roman" w:cs="Arial"/>
          </w:rPr>
          <w:t>10.1080/09658211.2013.844261</w:t>
        </w:r>
      </w:hyperlink>
    </w:p>
    <w:p w14:paraId="0B71D342" w14:textId="3CDB7E74" w:rsidR="00370E7C" w:rsidRPr="004313AA" w:rsidRDefault="00370E7C" w:rsidP="008253F0">
      <w:pPr>
        <w:rPr>
          <w:rFonts w:eastAsia="Times New Roman"/>
        </w:rPr>
      </w:pPr>
      <w:r w:rsidRPr="004313AA">
        <w:rPr>
          <w:rFonts w:eastAsia="Times New Roman"/>
        </w:rPr>
        <w:t xml:space="preserve">Langdon, C. &amp; Blacker, D. (2010) ‘Dysphagia in Stroke: A New Solution’, </w:t>
      </w:r>
      <w:r w:rsidRPr="004313AA">
        <w:rPr>
          <w:rFonts w:eastAsia="Times New Roman"/>
          <w:i/>
        </w:rPr>
        <w:t xml:space="preserve">Stroke Research and Treatment, </w:t>
      </w:r>
      <w:r w:rsidRPr="004313AA">
        <w:rPr>
          <w:rFonts w:eastAsia="Times New Roman"/>
        </w:rPr>
        <w:t>2010(9), pp. 1</w:t>
      </w:r>
      <w:r w:rsidR="000A5802" w:rsidRPr="000A5802">
        <w:rPr>
          <w:rFonts w:eastAsia="Times New Roman"/>
          <w:spacing w:val="-2"/>
        </w:rPr>
        <w:t>–</w:t>
      </w:r>
      <w:r w:rsidRPr="004313AA">
        <w:rPr>
          <w:rFonts w:eastAsia="Times New Roman"/>
        </w:rPr>
        <w:t xml:space="preserve">6.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w:t>
      </w:r>
      <w:hyperlink r:id="rId28" w:tgtFrame="_blank" w:history="1">
        <w:r w:rsidRPr="004313AA">
          <w:rPr>
            <w:rStyle w:val="Hyperlink"/>
            <w:rFonts w:eastAsia="Times New Roman" w:cs="Arial"/>
            <w:bdr w:val="none" w:sz="0" w:space="0" w:color="auto" w:frame="1"/>
            <w:shd w:val="clear" w:color="auto" w:fill="FFFFFF"/>
          </w:rPr>
          <w:t>10.4061/2010/570403</w:t>
        </w:r>
      </w:hyperlink>
    </w:p>
    <w:p w14:paraId="08652C3C" w14:textId="67174E09" w:rsidR="00370E7C" w:rsidRPr="004313AA" w:rsidRDefault="00370E7C" w:rsidP="008253F0">
      <w:pPr>
        <w:rPr>
          <w:rFonts w:eastAsia="Times New Roman"/>
        </w:rPr>
      </w:pPr>
      <w:r w:rsidRPr="004313AA">
        <w:rPr>
          <w:rFonts w:eastAsia="Times New Roman"/>
        </w:rPr>
        <w:t xml:space="preserve">Li, C., Qiu, C., Shi, Y., Yang, T., Shao, X. &amp; Zheng, D. (2021) ‘Experiences and perceptions of stroke patients living with dysphagia: a qualitative meta-synthesis’, </w:t>
      </w:r>
      <w:r w:rsidRPr="004313AA">
        <w:rPr>
          <w:rFonts w:eastAsia="Times New Roman"/>
          <w:i/>
        </w:rPr>
        <w:t xml:space="preserve">Journal of Clinical Nursing, </w:t>
      </w:r>
      <w:r w:rsidRPr="004313AA">
        <w:rPr>
          <w:rFonts w:eastAsia="Times New Roman"/>
        </w:rPr>
        <w:t>pp. 1</w:t>
      </w:r>
      <w:r w:rsidR="000A5802" w:rsidRPr="000A5802">
        <w:rPr>
          <w:rFonts w:eastAsia="Times New Roman"/>
          <w:spacing w:val="-2"/>
        </w:rPr>
        <w:t>–</w:t>
      </w:r>
      <w:r w:rsidRPr="004313AA">
        <w:rPr>
          <w:rFonts w:eastAsia="Times New Roman"/>
        </w:rPr>
        <w:t xml:space="preserve">12.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10. 1111/jocn.15995 </w:t>
      </w:r>
    </w:p>
    <w:p w14:paraId="6E45D01E" w14:textId="189D5F11" w:rsidR="00370E7C" w:rsidRPr="008253F0" w:rsidRDefault="00370E7C" w:rsidP="008253F0">
      <w:pPr>
        <w:rPr>
          <w:rFonts w:eastAsia="Times New Roman"/>
        </w:rPr>
      </w:pPr>
      <w:r w:rsidRPr="004313AA">
        <w:rPr>
          <w:rFonts w:eastAsia="Times New Roman"/>
        </w:rPr>
        <w:t xml:space="preserve">Long, H. A., French, D. P. &amp; Brooks, J. M. (2020) ‘Optimising the value of the critical appraisal skills programme (CASP) tool for quality appraisal in qualitative evidence synthesis’, </w:t>
      </w:r>
      <w:r w:rsidRPr="004313AA">
        <w:rPr>
          <w:rFonts w:eastAsia="Times New Roman"/>
          <w:i/>
        </w:rPr>
        <w:t xml:space="preserve">Research Methods in Medicine &amp; Health Sciences, </w:t>
      </w:r>
      <w:r w:rsidRPr="004313AA">
        <w:rPr>
          <w:rFonts w:eastAsia="Times New Roman"/>
        </w:rPr>
        <w:t>1(1), pp. 31</w:t>
      </w:r>
      <w:r w:rsidR="000A5802" w:rsidRPr="000A5802">
        <w:rPr>
          <w:rFonts w:eastAsia="Times New Roman"/>
          <w:spacing w:val="-2"/>
        </w:rPr>
        <w:t>–</w:t>
      </w:r>
      <w:r w:rsidRPr="004313AA">
        <w:rPr>
          <w:rFonts w:eastAsia="Times New Roman"/>
        </w:rPr>
        <w:t xml:space="preserve">42.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w:t>
      </w:r>
      <w:hyperlink r:id="rId29" w:history="1">
        <w:r w:rsidRPr="004313AA">
          <w:rPr>
            <w:rStyle w:val="Hyperlink"/>
            <w:rFonts w:eastAsia="Times New Roman" w:cs="Arial"/>
            <w:shd w:val="clear" w:color="auto" w:fill="FFFFFF"/>
          </w:rPr>
          <w:t>10.1177/2632084320947559</w:t>
        </w:r>
      </w:hyperlink>
      <w:r w:rsidRPr="004313AA">
        <w:rPr>
          <w:rFonts w:eastAsia="Times New Roman"/>
        </w:rPr>
        <w:t xml:space="preserve"> </w:t>
      </w:r>
    </w:p>
    <w:p w14:paraId="35B73700" w14:textId="6FCB6152" w:rsidR="00370E7C" w:rsidRPr="008253F0" w:rsidRDefault="00370E7C" w:rsidP="008253F0">
      <w:pPr>
        <w:rPr>
          <w:rFonts w:eastAsia="Times New Roman"/>
        </w:rPr>
      </w:pPr>
      <w:r w:rsidRPr="004313AA">
        <w:rPr>
          <w:rFonts w:eastAsia="Times New Roman"/>
        </w:rPr>
        <w:t xml:space="preserve">Matua, G. A. &amp; Der-Wal, D. M. V. (2015) ‘Differentiating between descriptive and interpretive phenomenological research approaches’, </w:t>
      </w:r>
      <w:r w:rsidRPr="004313AA">
        <w:rPr>
          <w:rFonts w:eastAsia="Times New Roman"/>
          <w:i/>
        </w:rPr>
        <w:t xml:space="preserve">Nurse Researcher, </w:t>
      </w:r>
      <w:r w:rsidRPr="004313AA">
        <w:rPr>
          <w:rFonts w:eastAsia="Times New Roman"/>
        </w:rPr>
        <w:t>22(6), pp. 22</w:t>
      </w:r>
      <w:r w:rsidR="000A5802" w:rsidRPr="000A5802">
        <w:rPr>
          <w:rFonts w:eastAsia="Times New Roman"/>
          <w:spacing w:val="-2"/>
        </w:rPr>
        <w:t>–</w:t>
      </w:r>
      <w:r w:rsidRPr="004313AA">
        <w:rPr>
          <w:rFonts w:eastAsia="Times New Roman"/>
        </w:rPr>
        <w:t xml:space="preserve">27.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w:t>
      </w:r>
      <w:hyperlink r:id="rId30" w:tgtFrame="_blank" w:history="1">
        <w:r w:rsidRPr="004313AA">
          <w:rPr>
            <w:rStyle w:val="Hyperlink"/>
            <w:rFonts w:eastAsia="Times New Roman" w:cs="Arial"/>
            <w:bdr w:val="none" w:sz="0" w:space="0" w:color="auto" w:frame="1"/>
            <w:shd w:val="clear" w:color="auto" w:fill="FFFFFF"/>
          </w:rPr>
          <w:t>10.7748/nr.22.6.</w:t>
        </w:r>
        <w:proofErr w:type="gramStart"/>
        <w:r w:rsidRPr="004313AA">
          <w:rPr>
            <w:rStyle w:val="Hyperlink"/>
            <w:rFonts w:eastAsia="Times New Roman" w:cs="Arial"/>
            <w:bdr w:val="none" w:sz="0" w:space="0" w:color="auto" w:frame="1"/>
            <w:shd w:val="clear" w:color="auto" w:fill="FFFFFF"/>
          </w:rPr>
          <w:t>22.e</w:t>
        </w:r>
        <w:proofErr w:type="gramEnd"/>
        <w:r w:rsidRPr="004313AA">
          <w:rPr>
            <w:rStyle w:val="Hyperlink"/>
            <w:rFonts w:eastAsia="Times New Roman" w:cs="Arial"/>
            <w:bdr w:val="none" w:sz="0" w:space="0" w:color="auto" w:frame="1"/>
            <w:shd w:val="clear" w:color="auto" w:fill="FFFFFF"/>
          </w:rPr>
          <w:t>1344</w:t>
        </w:r>
      </w:hyperlink>
    </w:p>
    <w:p w14:paraId="774C6C27" w14:textId="13A4F2A9" w:rsidR="008253F0" w:rsidRPr="008253F0" w:rsidRDefault="00370E7C" w:rsidP="008253F0">
      <w:pPr>
        <w:rPr>
          <w:rFonts w:eastAsia="Times New Roman" w:cs="Arial"/>
          <w:color w:val="0000FF" w:themeColor="hyperlink"/>
          <w:u w:val="single"/>
          <w:shd w:val="clear" w:color="auto" w:fill="FFFFFF"/>
        </w:rPr>
      </w:pPr>
      <w:r w:rsidRPr="004313AA">
        <w:rPr>
          <w:rFonts w:eastAsia="Times New Roman"/>
        </w:rPr>
        <w:t xml:space="preserve">Martin-Harris, B. &amp; Jones, B. (2008) ‘The Videofluorographic Swallowing Study’, </w:t>
      </w:r>
      <w:r w:rsidRPr="004313AA">
        <w:rPr>
          <w:rFonts w:eastAsia="Times New Roman"/>
          <w:i/>
        </w:rPr>
        <w:t xml:space="preserve">Physical Medicine and Rehabilitation Clinics of North America, </w:t>
      </w:r>
      <w:r w:rsidRPr="004313AA">
        <w:rPr>
          <w:rFonts w:eastAsia="Times New Roman"/>
        </w:rPr>
        <w:t>19(4), pp. 769</w:t>
      </w:r>
      <w:r w:rsidR="000A5802" w:rsidRPr="000A5802">
        <w:rPr>
          <w:rFonts w:eastAsia="Times New Roman"/>
          <w:spacing w:val="-2"/>
        </w:rPr>
        <w:t>–</w:t>
      </w:r>
      <w:r w:rsidRPr="004313AA">
        <w:rPr>
          <w:rFonts w:eastAsia="Times New Roman"/>
        </w:rPr>
        <w:t xml:space="preserve">785. </w:t>
      </w:r>
      <w:proofErr w:type="spellStart"/>
      <w:r w:rsidR="000A5802">
        <w:rPr>
          <w:rFonts w:eastAsia="Times New Roman"/>
        </w:rPr>
        <w:t>d</w:t>
      </w:r>
      <w:r w:rsidRPr="004313AA">
        <w:rPr>
          <w:rFonts w:eastAsia="Times New Roman"/>
        </w:rPr>
        <w:t>oi</w:t>
      </w:r>
      <w:proofErr w:type="spellEnd"/>
      <w:r w:rsidRPr="004313AA">
        <w:rPr>
          <w:rFonts w:eastAsia="Times New Roman"/>
        </w:rPr>
        <w:t xml:space="preserve">:  </w:t>
      </w:r>
      <w:hyperlink r:id="rId31" w:tgtFrame="_blank" w:history="1">
        <w:r w:rsidRPr="004313AA">
          <w:rPr>
            <w:rStyle w:val="Hyperlink"/>
            <w:rFonts w:eastAsia="Times New Roman" w:cs="Arial"/>
            <w:shd w:val="clear" w:color="auto" w:fill="FFFFFF"/>
          </w:rPr>
          <w:t>10.1016/j.pmr.2008.06.004</w:t>
        </w:r>
      </w:hyperlink>
    </w:p>
    <w:p w14:paraId="56AD4C42" w14:textId="6083F05C" w:rsidR="00370E7C" w:rsidRPr="004313AA" w:rsidRDefault="00370E7C" w:rsidP="008253F0">
      <w:pPr>
        <w:rPr>
          <w:rFonts w:eastAsia="Times New Roman"/>
          <w:b/>
          <w:bCs/>
        </w:rPr>
      </w:pPr>
      <w:proofErr w:type="spellStart"/>
      <w:r w:rsidRPr="004313AA">
        <w:rPr>
          <w:rFonts w:eastAsia="Times New Roman"/>
        </w:rPr>
        <w:lastRenderedPageBreak/>
        <w:t>McHorney</w:t>
      </w:r>
      <w:proofErr w:type="spellEnd"/>
      <w:r w:rsidRPr="004313AA">
        <w:rPr>
          <w:rFonts w:eastAsia="Times New Roman"/>
        </w:rPr>
        <w:t xml:space="preserve">, C., Robbins, J., Lomax, K., Rosenbek, J. C., Chignell, K., Kramer, A. E. &amp; Bricker, D. E. (2002) ‘The SWAL–QOL and SWAL–CARE Outcomes Tool for Oropharyngeal Dysphagia in Adults: III. Documentation of Reliability and Validity’, </w:t>
      </w:r>
      <w:r w:rsidRPr="004313AA">
        <w:rPr>
          <w:rFonts w:eastAsia="Times New Roman"/>
          <w:i/>
        </w:rPr>
        <w:t xml:space="preserve">Dysphagia, </w:t>
      </w:r>
      <w:r w:rsidRPr="004313AA">
        <w:rPr>
          <w:rFonts w:eastAsia="Times New Roman"/>
        </w:rPr>
        <w:t>17, pp. 97</w:t>
      </w:r>
      <w:r w:rsidR="000A5802" w:rsidRPr="000A5802">
        <w:rPr>
          <w:rFonts w:eastAsia="Times New Roman"/>
          <w:spacing w:val="-2"/>
        </w:rPr>
        <w:t>–</w:t>
      </w:r>
      <w:r w:rsidRPr="004313AA">
        <w:rPr>
          <w:rFonts w:eastAsia="Times New Roman"/>
        </w:rPr>
        <w:t xml:space="preserve">114. Available at: </w:t>
      </w:r>
      <w:hyperlink r:id="rId32" w:history="1">
        <w:r w:rsidRPr="004313AA">
          <w:rPr>
            <w:rStyle w:val="Hyperlink"/>
            <w:rFonts w:eastAsia="Times New Roman" w:cs="Arial"/>
            <w:color w:val="auto"/>
          </w:rPr>
          <w:t>https://link.springer.com/article/10.1007/s00455-001-0109-1</w:t>
        </w:r>
      </w:hyperlink>
      <w:r w:rsidRPr="004313AA">
        <w:rPr>
          <w:rFonts w:eastAsia="Times New Roman"/>
        </w:rPr>
        <w:t xml:space="preserve"> (Accessed: 14 February 2022) </w:t>
      </w:r>
    </w:p>
    <w:p w14:paraId="06CEAB69" w14:textId="5064F3F7" w:rsidR="00370E7C" w:rsidRPr="004313AA" w:rsidRDefault="00370E7C" w:rsidP="008253F0">
      <w:pPr>
        <w:rPr>
          <w:rFonts w:eastAsia="Times New Roman"/>
        </w:rPr>
      </w:pPr>
      <w:r w:rsidRPr="004313AA">
        <w:rPr>
          <w:rFonts w:eastAsia="Times New Roman"/>
          <w:bCs/>
        </w:rPr>
        <w:t>McMullin, C. (2021) ‘</w:t>
      </w:r>
      <w:r w:rsidRPr="004313AA">
        <w:rPr>
          <w:rFonts w:eastAsia="Times New Roman"/>
          <w:bCs/>
          <w:spacing w:val="-2"/>
        </w:rPr>
        <w:t xml:space="preserve">Transcription and Qualitative Methods: Implications for Third Sector Research’, </w:t>
      </w:r>
      <w:r w:rsidRPr="004313AA">
        <w:rPr>
          <w:rFonts w:eastAsia="Times New Roman"/>
          <w:bCs/>
          <w:i/>
          <w:spacing w:val="-2"/>
        </w:rPr>
        <w:t xml:space="preserve">Nature Public Health Emergency Collection, </w:t>
      </w:r>
      <w:r w:rsidRPr="004313AA">
        <w:rPr>
          <w:rFonts w:eastAsia="Times New Roman"/>
          <w:bCs/>
          <w:spacing w:val="-2"/>
        </w:rPr>
        <w:t>10, pp. 1</w:t>
      </w:r>
      <w:r w:rsidR="000A5802" w:rsidRPr="000A5802">
        <w:rPr>
          <w:rFonts w:eastAsia="Times New Roman"/>
          <w:spacing w:val="-2"/>
        </w:rPr>
        <w:t>–</w:t>
      </w:r>
      <w:r w:rsidRPr="004313AA">
        <w:rPr>
          <w:rFonts w:eastAsia="Times New Roman"/>
          <w:bCs/>
          <w:spacing w:val="-2"/>
        </w:rPr>
        <w:t xml:space="preserve">14. </w:t>
      </w:r>
      <w:proofErr w:type="spellStart"/>
      <w:r w:rsidR="000A5802">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33" w:tgtFrame="_blank" w:history="1">
        <w:r w:rsidRPr="004313AA">
          <w:rPr>
            <w:rStyle w:val="Hyperlink"/>
            <w:rFonts w:eastAsia="Times New Roman" w:cs="Arial"/>
            <w:shd w:val="clear" w:color="auto" w:fill="FFFFFF"/>
          </w:rPr>
          <w:t>10.1007/s11266-021-00400-3</w:t>
        </w:r>
      </w:hyperlink>
    </w:p>
    <w:p w14:paraId="2EA4395E" w14:textId="1AFE45AE" w:rsidR="00370E7C" w:rsidRPr="004313AA" w:rsidRDefault="00370E7C" w:rsidP="008253F0">
      <w:proofErr w:type="spellStart"/>
      <w:r w:rsidRPr="004313AA">
        <w:t>Medin</w:t>
      </w:r>
      <w:proofErr w:type="spellEnd"/>
      <w:r w:rsidRPr="004313AA">
        <w:t xml:space="preserve">, J., Larson, J., </w:t>
      </w:r>
      <w:proofErr w:type="spellStart"/>
      <w:r w:rsidRPr="004313AA">
        <w:t>Arbin</w:t>
      </w:r>
      <w:proofErr w:type="spellEnd"/>
      <w:r w:rsidRPr="004313AA">
        <w:t xml:space="preserve">, MV., </w:t>
      </w:r>
      <w:proofErr w:type="spellStart"/>
      <w:r w:rsidRPr="004313AA">
        <w:t>Wredling</w:t>
      </w:r>
      <w:proofErr w:type="spellEnd"/>
      <w:r w:rsidRPr="004313AA">
        <w:t xml:space="preserve">, R. &amp; </w:t>
      </w:r>
      <w:proofErr w:type="spellStart"/>
      <w:r w:rsidRPr="004313AA">
        <w:t>Tham</w:t>
      </w:r>
      <w:proofErr w:type="spellEnd"/>
      <w:r w:rsidRPr="004313AA">
        <w:t xml:space="preserve">, K. (2010) ‘Elderly persons’ experience and management of eating situations 6 months after stroke’, </w:t>
      </w:r>
      <w:r w:rsidRPr="004313AA">
        <w:rPr>
          <w:i/>
        </w:rPr>
        <w:t xml:space="preserve">Disability and Rehabilitation, </w:t>
      </w:r>
      <w:r w:rsidRPr="004313AA">
        <w:t>32(16), pp. 1346</w:t>
      </w:r>
      <w:r w:rsidR="000A5802" w:rsidRPr="000A5802">
        <w:rPr>
          <w:rFonts w:eastAsia="Times New Roman"/>
          <w:spacing w:val="-2"/>
        </w:rPr>
        <w:t>–</w:t>
      </w:r>
      <w:r w:rsidRPr="004313AA">
        <w:t xml:space="preserve">1353. </w:t>
      </w:r>
      <w:proofErr w:type="spellStart"/>
      <w:r w:rsidR="000A5802">
        <w:t>d</w:t>
      </w:r>
      <w:r w:rsidRPr="004313AA">
        <w:t>oi</w:t>
      </w:r>
      <w:proofErr w:type="spellEnd"/>
      <w:r w:rsidRPr="004313AA">
        <w:t>: 10.3109/ 09638280903514747</w:t>
      </w:r>
    </w:p>
    <w:p w14:paraId="083CF0B6" w14:textId="6210AD3A" w:rsidR="00370E7C" w:rsidRPr="004313AA" w:rsidRDefault="00370E7C" w:rsidP="008253F0">
      <w:pPr>
        <w:rPr>
          <w:rFonts w:eastAsia="Times New Roman"/>
        </w:rPr>
      </w:pPr>
      <w:r w:rsidRPr="004313AA">
        <w:rPr>
          <w:rFonts w:eastAsia="Times New Roman"/>
        </w:rPr>
        <w:t>Moloney, J. &amp; Walshe, M. (2017) ‘</w:t>
      </w:r>
      <w:r w:rsidRPr="004313AA">
        <w:t xml:space="preserve">“I had no idea what a complicated business eating is…”: a qualitative study of the impact of dysphagia during stroke recovery’, </w:t>
      </w:r>
      <w:r w:rsidRPr="004313AA">
        <w:rPr>
          <w:i/>
        </w:rPr>
        <w:t xml:space="preserve">Disability and Rehabilitation, </w:t>
      </w:r>
      <w:r w:rsidRPr="004313AA">
        <w:t>40(13), pp. 1524</w:t>
      </w:r>
      <w:r w:rsidR="000A5802" w:rsidRPr="000A5802">
        <w:rPr>
          <w:rFonts w:eastAsia="Times New Roman"/>
          <w:spacing w:val="-2"/>
        </w:rPr>
        <w:t>–</w:t>
      </w:r>
      <w:r w:rsidRPr="004313AA">
        <w:t xml:space="preserve">1531. </w:t>
      </w:r>
      <w:proofErr w:type="spellStart"/>
      <w:r w:rsidR="000A5802">
        <w:t>d</w:t>
      </w:r>
      <w:r w:rsidRPr="004313AA">
        <w:t>oi</w:t>
      </w:r>
      <w:proofErr w:type="spellEnd"/>
      <w:r w:rsidRPr="004313AA">
        <w:t xml:space="preserve">: </w:t>
      </w:r>
      <w:hyperlink r:id="rId34" w:tgtFrame="_blank" w:history="1">
        <w:r w:rsidRPr="004313AA">
          <w:rPr>
            <w:rStyle w:val="Hyperlink"/>
            <w:rFonts w:eastAsia="Times New Roman" w:cs="Arial"/>
          </w:rPr>
          <w:t>10.1080/09638288.2017.1300948</w:t>
        </w:r>
      </w:hyperlink>
    </w:p>
    <w:p w14:paraId="742E27FE" w14:textId="77777777" w:rsidR="00370E7C" w:rsidRPr="004313AA" w:rsidRDefault="00370E7C" w:rsidP="008253F0">
      <w:pPr>
        <w:rPr>
          <w:rFonts w:eastAsia="Times New Roman"/>
          <w:b/>
          <w:bCs/>
        </w:rPr>
      </w:pPr>
      <w:r w:rsidRPr="00B968BA">
        <w:rPr>
          <w:rFonts w:eastAsia="Times New Roman"/>
        </w:rPr>
        <w:t xml:space="preserve">National Institute for Health and Care Research (2022) </w:t>
      </w:r>
      <w:r w:rsidRPr="00B968BA">
        <w:rPr>
          <w:rFonts w:eastAsia="Times New Roman"/>
          <w:i/>
        </w:rPr>
        <w:t xml:space="preserve">Funding Opportunities. </w:t>
      </w:r>
      <w:r w:rsidRPr="00B968BA">
        <w:rPr>
          <w:rFonts w:eastAsia="Times New Roman"/>
        </w:rPr>
        <w:t>Available at:  https://www.nihr.ac.uk/researchers/funding-opportunities/ (Accessed: 17 May 2022)</w:t>
      </w:r>
      <w:r w:rsidRPr="004313AA">
        <w:rPr>
          <w:rFonts w:eastAsia="Times New Roman"/>
        </w:rPr>
        <w:t xml:space="preserve"> </w:t>
      </w:r>
    </w:p>
    <w:p w14:paraId="29C12706" w14:textId="089B0F78" w:rsidR="00370E7C" w:rsidRPr="003D6FB0" w:rsidRDefault="00370E7C" w:rsidP="008253F0">
      <w:pPr>
        <w:rPr>
          <w:rFonts w:eastAsia="Times New Roman"/>
        </w:rPr>
      </w:pPr>
      <w:r w:rsidRPr="004313AA">
        <w:rPr>
          <w:rFonts w:eastAsia="Times New Roman"/>
        </w:rPr>
        <w:t>Noble, H. &amp; Smith, J. (2015) ‘</w:t>
      </w:r>
      <w:r w:rsidRPr="004313AA">
        <w:rPr>
          <w:rFonts w:eastAsia="Times New Roman"/>
          <w:shd w:val="clear" w:color="auto" w:fill="FFFFFF"/>
        </w:rPr>
        <w:t xml:space="preserve">Issues of validity and reliability in qualitative research’, </w:t>
      </w:r>
      <w:r w:rsidRPr="004313AA">
        <w:rPr>
          <w:rFonts w:eastAsia="Times New Roman"/>
          <w:i/>
          <w:shd w:val="clear" w:color="auto" w:fill="FFFFFF"/>
        </w:rPr>
        <w:t xml:space="preserve">Evidence-Based Nursing, </w:t>
      </w:r>
      <w:r w:rsidRPr="004313AA">
        <w:rPr>
          <w:rFonts w:eastAsia="Times New Roman"/>
          <w:shd w:val="clear" w:color="auto" w:fill="FFFFFF"/>
        </w:rPr>
        <w:t>18(2), pp. 34</w:t>
      </w:r>
      <w:r w:rsidR="000A5802" w:rsidRPr="000A5802">
        <w:rPr>
          <w:rFonts w:eastAsia="Times New Roman"/>
          <w:spacing w:val="-2"/>
        </w:rPr>
        <w:t>–</w:t>
      </w:r>
      <w:r w:rsidRPr="004313AA">
        <w:rPr>
          <w:rFonts w:eastAsia="Times New Roman"/>
          <w:shd w:val="clear" w:color="auto" w:fill="FFFFFF"/>
        </w:rPr>
        <w:t xml:space="preserve">35. </w:t>
      </w:r>
      <w:proofErr w:type="spellStart"/>
      <w:r w:rsidR="000A5802">
        <w:rPr>
          <w:rFonts w:eastAsia="Times New Roman"/>
          <w:shd w:val="clear" w:color="auto" w:fill="FFFFFF"/>
        </w:rPr>
        <w:t>d</w:t>
      </w:r>
      <w:r w:rsidRPr="004313AA">
        <w:rPr>
          <w:rFonts w:eastAsia="Times New Roman"/>
          <w:shd w:val="clear" w:color="auto" w:fill="FFFFFF"/>
        </w:rPr>
        <w:t>oi</w:t>
      </w:r>
      <w:proofErr w:type="spellEnd"/>
      <w:r w:rsidRPr="004313AA">
        <w:rPr>
          <w:rFonts w:eastAsia="Times New Roman"/>
          <w:shd w:val="clear" w:color="auto" w:fill="FFFFFF"/>
        </w:rPr>
        <w:t xml:space="preserve">: </w:t>
      </w:r>
      <w:hyperlink r:id="rId35" w:tgtFrame="_new" w:history="1">
        <w:r w:rsidRPr="004313AA">
          <w:rPr>
            <w:rStyle w:val="Hyperlink"/>
            <w:rFonts w:eastAsia="Times New Roman" w:cs="Arial"/>
            <w:shd w:val="clear" w:color="auto" w:fill="FFFFFF"/>
          </w:rPr>
          <w:t>10.1136/eb-2015-102054</w:t>
        </w:r>
      </w:hyperlink>
    </w:p>
    <w:p w14:paraId="075CA7CA" w14:textId="6709F884" w:rsidR="00370E7C" w:rsidRPr="008253F0" w:rsidRDefault="00370E7C" w:rsidP="008253F0">
      <w:pPr>
        <w:rPr>
          <w:rFonts w:eastAsia="Times New Roman"/>
        </w:rPr>
      </w:pPr>
      <w:r w:rsidRPr="004313AA">
        <w:t xml:space="preserve">Palinkas, L. A., Horwitz, S. M., Green, C. A., Wisdom, J. P., Duan, N. &amp; </w:t>
      </w:r>
      <w:proofErr w:type="spellStart"/>
      <w:r w:rsidRPr="004313AA">
        <w:t>Hoagwood</w:t>
      </w:r>
      <w:proofErr w:type="spellEnd"/>
      <w:r w:rsidRPr="004313AA">
        <w:t>, K. (2015) ‘</w:t>
      </w:r>
      <w:r w:rsidRPr="004313AA">
        <w:rPr>
          <w:rFonts w:eastAsia="Times New Roman"/>
          <w:bCs/>
          <w:spacing w:val="-2"/>
        </w:rPr>
        <w:t xml:space="preserve">Purposeful sampling for qualitative data collection and analysis in mixed method implementation research’, </w:t>
      </w:r>
      <w:r w:rsidRPr="004313AA">
        <w:rPr>
          <w:rFonts w:eastAsia="Times New Roman"/>
          <w:bCs/>
          <w:i/>
          <w:spacing w:val="-2"/>
        </w:rPr>
        <w:t xml:space="preserve">Administration and Policy in Health, </w:t>
      </w:r>
      <w:r w:rsidRPr="004313AA">
        <w:rPr>
          <w:rFonts w:eastAsia="Times New Roman"/>
          <w:bCs/>
          <w:spacing w:val="-2"/>
        </w:rPr>
        <w:t>42(5), pp. 533</w:t>
      </w:r>
      <w:r w:rsidR="000A5802" w:rsidRPr="000A5802">
        <w:rPr>
          <w:rFonts w:eastAsia="Times New Roman"/>
          <w:spacing w:val="-2"/>
        </w:rPr>
        <w:t>–</w:t>
      </w:r>
      <w:r w:rsidRPr="004313AA">
        <w:rPr>
          <w:rFonts w:eastAsia="Times New Roman"/>
          <w:bCs/>
          <w:spacing w:val="-2"/>
        </w:rPr>
        <w:t xml:space="preserve">544. </w:t>
      </w:r>
      <w:proofErr w:type="spellStart"/>
      <w:r w:rsidR="000A5802">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36" w:tgtFrame="_blank" w:history="1">
        <w:r w:rsidRPr="004313AA">
          <w:rPr>
            <w:rStyle w:val="Hyperlink"/>
            <w:rFonts w:eastAsia="Times New Roman" w:cs="Arial"/>
            <w:shd w:val="clear" w:color="auto" w:fill="FFFFFF"/>
          </w:rPr>
          <w:t>10.1007/s10488-013-0528-y</w:t>
        </w:r>
      </w:hyperlink>
    </w:p>
    <w:p w14:paraId="60A5C45F" w14:textId="55E20BF4" w:rsidR="00370E7C" w:rsidRPr="008F4BA4" w:rsidRDefault="00370E7C" w:rsidP="008253F0">
      <w:pPr>
        <w:rPr>
          <w:noProof/>
        </w:rPr>
      </w:pPr>
      <w:r w:rsidRPr="004313AA">
        <w:rPr>
          <w:noProof/>
        </w:rPr>
        <w:t xml:space="preserve">Payscale (2022) </w:t>
      </w:r>
      <w:r w:rsidRPr="004313AA">
        <w:rPr>
          <w:i/>
          <w:noProof/>
        </w:rPr>
        <w:t xml:space="preserve">Average Transcriber Hourly Pay in United Kingdom. </w:t>
      </w:r>
      <w:r w:rsidRPr="004313AA">
        <w:rPr>
          <w:noProof/>
        </w:rPr>
        <w:t xml:space="preserve">Available at: </w:t>
      </w:r>
      <w:r w:rsidRPr="008F4BA4">
        <w:rPr>
          <w:rFonts w:cs="Arial"/>
          <w:noProof/>
        </w:rPr>
        <w:t>https://www.payscale.com/research/UK</w:t>
      </w:r>
      <w:r w:rsidRPr="004313AA">
        <w:rPr>
          <w:noProof/>
        </w:rPr>
        <w:t>/Job=Transcriber/Hourly_Rate (Accessed: 22</w:t>
      </w:r>
      <w:r w:rsidR="008F4BA4" w:rsidRPr="008F4BA4">
        <w:rPr>
          <w:noProof/>
        </w:rPr>
        <w:t xml:space="preserve"> </w:t>
      </w:r>
      <w:r w:rsidRPr="004313AA">
        <w:rPr>
          <w:noProof/>
        </w:rPr>
        <w:t>April 2022)</w:t>
      </w:r>
    </w:p>
    <w:p w14:paraId="08B8AE54" w14:textId="53CEF3C6" w:rsidR="00370E7C" w:rsidRPr="004313AA" w:rsidRDefault="00370E7C" w:rsidP="008253F0">
      <w:pPr>
        <w:rPr>
          <w:rFonts w:eastAsia="Times New Roman"/>
        </w:rPr>
      </w:pPr>
      <w:r w:rsidRPr="004313AA">
        <w:t xml:space="preserve">Perry, L. &amp; McLaren, S. (2003) ‘Coping and adaptation at six months after stroke: experiences with eating disabilities’, </w:t>
      </w:r>
      <w:r w:rsidRPr="004313AA">
        <w:rPr>
          <w:i/>
        </w:rPr>
        <w:t xml:space="preserve">International Journal of Nursing Studies, </w:t>
      </w:r>
      <w:r w:rsidRPr="004313AA">
        <w:t>40(2), pp. 185</w:t>
      </w:r>
      <w:r w:rsidR="000A5802" w:rsidRPr="000A5802">
        <w:rPr>
          <w:rFonts w:eastAsia="Times New Roman"/>
          <w:spacing w:val="-2"/>
        </w:rPr>
        <w:t>–</w:t>
      </w:r>
      <w:r w:rsidRPr="004313AA">
        <w:t xml:space="preserve">195. </w:t>
      </w:r>
      <w:proofErr w:type="spellStart"/>
      <w:r w:rsidR="000A5802">
        <w:t>d</w:t>
      </w:r>
      <w:r w:rsidRPr="004313AA">
        <w:t>oi</w:t>
      </w:r>
      <w:proofErr w:type="spellEnd"/>
      <w:r w:rsidRPr="004313AA">
        <w:t xml:space="preserve">: </w:t>
      </w:r>
      <w:r w:rsidRPr="004313AA">
        <w:rPr>
          <w:rFonts w:eastAsia="Times New Roman"/>
        </w:rPr>
        <w:t xml:space="preserve">10.1016/s0020-7489(02)00060-3 </w:t>
      </w:r>
    </w:p>
    <w:p w14:paraId="16866EFB" w14:textId="58B3AE07" w:rsidR="00370E7C" w:rsidRPr="004313AA" w:rsidRDefault="00370E7C" w:rsidP="008253F0">
      <w:pPr>
        <w:rPr>
          <w:rFonts w:eastAsia="Times New Roman"/>
        </w:rPr>
      </w:pPr>
      <w:r w:rsidRPr="004313AA">
        <w:rPr>
          <w:rFonts w:eastAsia="Times New Roman"/>
        </w:rPr>
        <w:t xml:space="preserve">PRISMA (2009) </w:t>
      </w:r>
      <w:r w:rsidRPr="004313AA">
        <w:rPr>
          <w:rFonts w:eastAsia="Times New Roman"/>
          <w:i/>
        </w:rPr>
        <w:t xml:space="preserve">PRISMA Flow Diagram. </w:t>
      </w:r>
      <w:r w:rsidRPr="004313AA">
        <w:rPr>
          <w:rFonts w:eastAsia="Times New Roman"/>
        </w:rPr>
        <w:t xml:space="preserve">Available at: </w:t>
      </w:r>
      <w:hyperlink r:id="rId37" w:history="1">
        <w:r w:rsidRPr="004313AA">
          <w:rPr>
            <w:rStyle w:val="Hyperlink"/>
            <w:rFonts w:eastAsia="Times New Roman" w:cs="Arial"/>
          </w:rPr>
          <w:t>http://prisma-statement.org/documents/PRISMA%202009%20flow%20diagram.pdf</w:t>
        </w:r>
      </w:hyperlink>
      <w:r w:rsidRPr="004313AA">
        <w:rPr>
          <w:rFonts w:eastAsia="Times New Roman"/>
        </w:rPr>
        <w:t xml:space="preserve"> (Accessed: 21 December 2021)</w:t>
      </w:r>
    </w:p>
    <w:p w14:paraId="75E4497E" w14:textId="7D74097E" w:rsidR="00370E7C" w:rsidRPr="004313AA" w:rsidRDefault="00370E7C" w:rsidP="008253F0">
      <w:pPr>
        <w:rPr>
          <w:rFonts w:eastAsia="Times New Roman"/>
        </w:rPr>
      </w:pPr>
      <w:r w:rsidRPr="004313AA">
        <w:rPr>
          <w:rFonts w:eastAsia="Times New Roman"/>
        </w:rPr>
        <w:t>Pithon, M. M. (2013) ‘</w:t>
      </w:r>
      <w:r w:rsidRPr="004313AA">
        <w:rPr>
          <w:rFonts w:eastAsia="Times New Roman"/>
          <w:bCs/>
        </w:rPr>
        <w:t xml:space="preserve">Importance of the control group in scientific research’, </w:t>
      </w:r>
      <w:r w:rsidRPr="004313AA">
        <w:rPr>
          <w:rFonts w:eastAsia="Times New Roman"/>
          <w:bCs/>
          <w:i/>
        </w:rPr>
        <w:t xml:space="preserve">Dental Press Journal of Orthodontics, </w:t>
      </w:r>
      <w:r w:rsidRPr="004313AA">
        <w:rPr>
          <w:rFonts w:eastAsia="Times New Roman"/>
          <w:bCs/>
        </w:rPr>
        <w:t>18(6), pp. 13</w:t>
      </w:r>
      <w:r w:rsidR="000A5802" w:rsidRPr="000A5802">
        <w:rPr>
          <w:rFonts w:eastAsia="Times New Roman"/>
          <w:spacing w:val="-2"/>
        </w:rPr>
        <w:t>–</w:t>
      </w:r>
      <w:r w:rsidRPr="004313AA">
        <w:rPr>
          <w:rFonts w:eastAsia="Times New Roman"/>
          <w:bCs/>
        </w:rPr>
        <w:t xml:space="preserve">14. </w:t>
      </w:r>
      <w:proofErr w:type="spellStart"/>
      <w:r w:rsidR="000A5802">
        <w:rPr>
          <w:rFonts w:eastAsia="Times New Roman"/>
          <w:bCs/>
        </w:rPr>
        <w:t>d</w:t>
      </w:r>
      <w:r w:rsidRPr="004313AA">
        <w:rPr>
          <w:rFonts w:eastAsia="Times New Roman"/>
          <w:bCs/>
        </w:rPr>
        <w:t>oi</w:t>
      </w:r>
      <w:proofErr w:type="spellEnd"/>
      <w:r w:rsidRPr="004313AA">
        <w:rPr>
          <w:rFonts w:eastAsia="Times New Roman"/>
          <w:bCs/>
        </w:rPr>
        <w:t xml:space="preserve">: </w:t>
      </w:r>
      <w:hyperlink r:id="rId38" w:tgtFrame="_blank" w:history="1">
        <w:r w:rsidRPr="004313AA">
          <w:rPr>
            <w:rStyle w:val="Hyperlink"/>
            <w:rFonts w:eastAsia="Times New Roman" w:cs="Arial"/>
            <w:bdr w:val="none" w:sz="0" w:space="0" w:color="auto" w:frame="1"/>
            <w:shd w:val="clear" w:color="auto" w:fill="FFFFFF"/>
          </w:rPr>
          <w:t>10.1590/S2176-94512013000600003</w:t>
        </w:r>
      </w:hyperlink>
    </w:p>
    <w:p w14:paraId="4288D3FB" w14:textId="56D3B84C" w:rsidR="00370E7C" w:rsidRPr="008253F0" w:rsidRDefault="00370E7C" w:rsidP="008253F0">
      <w:r w:rsidRPr="004313AA">
        <w:rPr>
          <w:rFonts w:eastAsia="Times New Roman"/>
        </w:rPr>
        <w:t>Pontes, E. S., Amaral, A. K., Rego, F. L., Azevedo, E. M &amp; Silva, P. O. (2017) ‘</w:t>
      </w:r>
      <w:r w:rsidRPr="004313AA">
        <w:t xml:space="preserve">Quality of life in swallowing of the elderly patients affected by stroke’, </w:t>
      </w:r>
      <w:proofErr w:type="spellStart"/>
      <w:r w:rsidRPr="004313AA">
        <w:rPr>
          <w:i/>
        </w:rPr>
        <w:t>Arquivos</w:t>
      </w:r>
      <w:proofErr w:type="spellEnd"/>
      <w:r w:rsidRPr="004313AA">
        <w:rPr>
          <w:i/>
        </w:rPr>
        <w:t xml:space="preserve"> de </w:t>
      </w:r>
      <w:proofErr w:type="spellStart"/>
      <w:r w:rsidRPr="004313AA">
        <w:rPr>
          <w:i/>
        </w:rPr>
        <w:t>Gastroenteral</w:t>
      </w:r>
      <w:proofErr w:type="spellEnd"/>
      <w:r w:rsidRPr="004313AA">
        <w:rPr>
          <w:i/>
        </w:rPr>
        <w:t xml:space="preserve">, </w:t>
      </w:r>
      <w:r w:rsidRPr="004313AA">
        <w:t>54(1), pp. 27</w:t>
      </w:r>
      <w:r w:rsidR="000A5802" w:rsidRPr="000A5802">
        <w:rPr>
          <w:rFonts w:eastAsia="Times New Roman"/>
          <w:spacing w:val="-2"/>
        </w:rPr>
        <w:t>–</w:t>
      </w:r>
      <w:r w:rsidRPr="004313AA">
        <w:t xml:space="preserve">32. </w:t>
      </w:r>
      <w:proofErr w:type="spellStart"/>
      <w:r w:rsidR="000A5802">
        <w:t>d</w:t>
      </w:r>
      <w:r w:rsidRPr="004313AA">
        <w:t>oi</w:t>
      </w:r>
      <w:proofErr w:type="spellEnd"/>
      <w:r w:rsidRPr="004313AA">
        <w:t xml:space="preserve">: 10.1590/S0004-2803.2017v54n1-05 </w:t>
      </w:r>
    </w:p>
    <w:p w14:paraId="5181E4B7" w14:textId="168ECEAD" w:rsidR="00370E7C" w:rsidRPr="00BD2F4E" w:rsidRDefault="00370E7C" w:rsidP="008253F0">
      <w:pPr>
        <w:rPr>
          <w:rFonts w:eastAsia="Times New Roman"/>
        </w:rPr>
      </w:pPr>
      <w:r w:rsidRPr="00BD2F4E">
        <w:rPr>
          <w:rFonts w:eastAsia="Times New Roman"/>
        </w:rPr>
        <w:lastRenderedPageBreak/>
        <w:t xml:space="preserve">Royal College of Speech and Language Therapy (2021) </w:t>
      </w:r>
      <w:r w:rsidRPr="00BD2F4E">
        <w:rPr>
          <w:rFonts w:eastAsia="Times New Roman"/>
          <w:i/>
        </w:rPr>
        <w:t xml:space="preserve">Dysphagia – Guidance. </w:t>
      </w:r>
      <w:r w:rsidRPr="00BD2F4E">
        <w:rPr>
          <w:rFonts w:eastAsia="Times New Roman"/>
        </w:rPr>
        <w:t xml:space="preserve">Available at: https://www.rcslt.org/members/clinical-guidance/dysphagia/dysphagia-guidance/ (Accessed: 3 December 2021) </w:t>
      </w:r>
    </w:p>
    <w:p w14:paraId="1A5E3116" w14:textId="3CCB3199" w:rsidR="00370E7C" w:rsidRPr="00BD2F4E" w:rsidRDefault="00370E7C" w:rsidP="008253F0">
      <w:pPr>
        <w:rPr>
          <w:rFonts w:eastAsia="Times New Roman"/>
        </w:rPr>
      </w:pPr>
      <w:r w:rsidRPr="00BD2F4E">
        <w:rPr>
          <w:rFonts w:eastAsia="Times New Roman"/>
          <w:shd w:val="clear" w:color="auto" w:fill="FFFFFF"/>
        </w:rPr>
        <w:t xml:space="preserve">Royal College of Speech and Language Therapy (2022a) </w:t>
      </w:r>
      <w:r w:rsidRPr="00BD2F4E">
        <w:rPr>
          <w:rFonts w:eastAsia="Times New Roman"/>
          <w:i/>
          <w:shd w:val="clear" w:color="auto" w:fill="FFFFFF"/>
        </w:rPr>
        <w:t xml:space="preserve">Research Advice and Support. </w:t>
      </w:r>
      <w:r w:rsidRPr="00BD2F4E">
        <w:rPr>
          <w:rFonts w:eastAsia="Times New Roman"/>
          <w:shd w:val="clear" w:color="auto" w:fill="FFFFFF"/>
        </w:rPr>
        <w:t xml:space="preserve">Available at: </w:t>
      </w:r>
      <w:hyperlink r:id="rId39" w:anchor="section-6" w:history="1">
        <w:r w:rsidR="000A5802" w:rsidRPr="00117456">
          <w:rPr>
            <w:rStyle w:val="Hyperlink"/>
            <w:rFonts w:eastAsia="Times New Roman" w:cs="Arial"/>
          </w:rPr>
          <w:t>https://www.rcslt.org/members/research/advice-and-support/#section-6</w:t>
        </w:r>
      </w:hyperlink>
      <w:r w:rsidRPr="00BD2F4E">
        <w:rPr>
          <w:rFonts w:eastAsia="Times New Roman"/>
        </w:rPr>
        <w:t xml:space="preserve"> (Accessed: 17 May 2022) </w:t>
      </w:r>
    </w:p>
    <w:p w14:paraId="1DEF7D80" w14:textId="3E338000" w:rsidR="00370E7C" w:rsidRPr="008253F0" w:rsidRDefault="00370E7C" w:rsidP="008253F0">
      <w:pPr>
        <w:rPr>
          <w:rFonts w:eastAsia="Times New Roman"/>
        </w:rPr>
      </w:pPr>
      <w:r w:rsidRPr="00BD2F4E">
        <w:rPr>
          <w:rFonts w:eastAsia="Times New Roman"/>
        </w:rPr>
        <w:t xml:space="preserve">Royal College of Speech and Language Therapy (2022b) </w:t>
      </w:r>
      <w:r w:rsidRPr="00BD2F4E">
        <w:rPr>
          <w:rFonts w:eastAsia="Times New Roman"/>
          <w:i/>
        </w:rPr>
        <w:t xml:space="preserve">Surveys. </w:t>
      </w:r>
      <w:r w:rsidRPr="00BD2F4E">
        <w:rPr>
          <w:rFonts w:eastAsia="Times New Roman"/>
        </w:rPr>
        <w:t>Available at: https://www.rcslt.org/help-and-support/surveys/#:~:text=for%20Disseminating%20Surveys-,Introduction,a%20limited%20number%20of%20surveys. (Accessed: 17 May 2022)</w:t>
      </w:r>
      <w:r w:rsidRPr="004313AA">
        <w:rPr>
          <w:rFonts w:eastAsia="Times New Roman"/>
        </w:rPr>
        <w:t xml:space="preserve"> </w:t>
      </w:r>
    </w:p>
    <w:p w14:paraId="12B42896" w14:textId="7895E3EB" w:rsidR="00370E7C" w:rsidRPr="004313AA" w:rsidRDefault="00370E7C" w:rsidP="008253F0">
      <w:pPr>
        <w:rPr>
          <w:rFonts w:eastAsia="Times New Roman"/>
        </w:rPr>
      </w:pPr>
      <w:r w:rsidRPr="004313AA">
        <w:rPr>
          <w:rFonts w:eastAsia="Times New Roman"/>
          <w:bCs/>
        </w:rPr>
        <w:t xml:space="preserve">Rutakuma, R., Mugisha, J. O., Bernays, S., </w:t>
      </w:r>
      <w:proofErr w:type="spellStart"/>
      <w:r w:rsidRPr="004313AA">
        <w:rPr>
          <w:rFonts w:eastAsia="Times New Roman"/>
          <w:bCs/>
        </w:rPr>
        <w:t>Kabunga</w:t>
      </w:r>
      <w:proofErr w:type="spellEnd"/>
      <w:r w:rsidRPr="004313AA">
        <w:rPr>
          <w:rFonts w:eastAsia="Times New Roman"/>
          <w:bCs/>
        </w:rPr>
        <w:t xml:space="preserve">, E., </w:t>
      </w:r>
      <w:proofErr w:type="spellStart"/>
      <w:r w:rsidRPr="004313AA">
        <w:rPr>
          <w:rFonts w:eastAsia="Times New Roman"/>
          <w:bCs/>
        </w:rPr>
        <w:t>Tumwekwase</w:t>
      </w:r>
      <w:proofErr w:type="spellEnd"/>
      <w:r w:rsidRPr="004313AA">
        <w:rPr>
          <w:rFonts w:eastAsia="Times New Roman"/>
          <w:bCs/>
        </w:rPr>
        <w:t xml:space="preserve">, G., </w:t>
      </w:r>
      <w:proofErr w:type="spellStart"/>
      <w:r w:rsidRPr="004313AA">
        <w:rPr>
          <w:rFonts w:eastAsia="Times New Roman"/>
          <w:bCs/>
        </w:rPr>
        <w:t>Mbonye</w:t>
      </w:r>
      <w:proofErr w:type="spellEnd"/>
      <w:r w:rsidRPr="004313AA">
        <w:rPr>
          <w:rFonts w:eastAsia="Times New Roman"/>
          <w:bCs/>
        </w:rPr>
        <w:t>, M. &amp; Seeley, J. (2020) ‘</w:t>
      </w:r>
      <w:r w:rsidRPr="004313AA">
        <w:rPr>
          <w:rFonts w:eastAsia="Times New Roman"/>
        </w:rPr>
        <w:t xml:space="preserve">Conducting in-depth interviews with and without voice recorders: a comparative analysis’, </w:t>
      </w:r>
      <w:r w:rsidRPr="004313AA">
        <w:rPr>
          <w:rFonts w:eastAsia="Times New Roman"/>
          <w:i/>
        </w:rPr>
        <w:t xml:space="preserve">Qualitative Research, </w:t>
      </w:r>
      <w:r w:rsidRPr="004313AA">
        <w:rPr>
          <w:rFonts w:eastAsia="Times New Roman"/>
        </w:rPr>
        <w:t>20(5), pp. 565</w:t>
      </w:r>
      <w:r w:rsidR="00107C48" w:rsidRPr="000A5802">
        <w:rPr>
          <w:rFonts w:eastAsia="Times New Roman"/>
          <w:spacing w:val="-2"/>
        </w:rPr>
        <w:t>–</w:t>
      </w:r>
      <w:r w:rsidRPr="004313AA">
        <w:rPr>
          <w:rFonts w:eastAsia="Times New Roman"/>
        </w:rPr>
        <w:t xml:space="preserve">581. </w:t>
      </w:r>
      <w:proofErr w:type="spellStart"/>
      <w:r w:rsidR="00107C48">
        <w:rPr>
          <w:rFonts w:eastAsia="Times New Roman"/>
        </w:rPr>
        <w:t>d</w:t>
      </w:r>
      <w:r w:rsidRPr="004313AA">
        <w:rPr>
          <w:rFonts w:eastAsia="Times New Roman"/>
        </w:rPr>
        <w:t>oi</w:t>
      </w:r>
      <w:proofErr w:type="spellEnd"/>
      <w:r w:rsidRPr="004313AA">
        <w:rPr>
          <w:rFonts w:eastAsia="Times New Roman"/>
        </w:rPr>
        <w:t xml:space="preserve">: </w:t>
      </w:r>
      <w:hyperlink r:id="rId40" w:tgtFrame="_blank" w:history="1">
        <w:r w:rsidRPr="004313AA">
          <w:rPr>
            <w:rStyle w:val="Hyperlink"/>
            <w:rFonts w:eastAsia="Times New Roman" w:cs="Arial"/>
          </w:rPr>
          <w:t>10.1177/1468794119884806</w:t>
        </w:r>
      </w:hyperlink>
    </w:p>
    <w:p w14:paraId="3C3D7341" w14:textId="2313B936" w:rsidR="00370E7C" w:rsidRPr="004313AA" w:rsidRDefault="00370E7C" w:rsidP="008253F0">
      <w:pPr>
        <w:rPr>
          <w:rFonts w:eastAsia="Times New Roman"/>
        </w:rPr>
      </w:pPr>
      <w:r w:rsidRPr="004313AA">
        <w:rPr>
          <w:rFonts w:eastAsia="Times New Roman"/>
          <w:bCs/>
          <w:spacing w:val="-2"/>
        </w:rPr>
        <w:t xml:space="preserve">Scheel, C., Mecham, J., Zuccarello, V. &amp; Mattes, R. (2018) ‘An evaluation of the inter-rater and intra-rater reliability of </w:t>
      </w:r>
      <w:proofErr w:type="spellStart"/>
      <w:r w:rsidRPr="004313AA">
        <w:rPr>
          <w:rFonts w:eastAsia="Times New Roman"/>
          <w:bCs/>
          <w:spacing w:val="-2"/>
        </w:rPr>
        <w:t>OccuPro’s</w:t>
      </w:r>
      <w:proofErr w:type="spellEnd"/>
      <w:r w:rsidRPr="004313AA">
        <w:rPr>
          <w:rFonts w:eastAsia="Times New Roman"/>
          <w:bCs/>
          <w:spacing w:val="-2"/>
        </w:rPr>
        <w:t xml:space="preserve"> functional capacity evaluation’, </w:t>
      </w:r>
      <w:r w:rsidRPr="004313AA">
        <w:rPr>
          <w:rFonts w:eastAsia="Times New Roman"/>
          <w:bCs/>
          <w:i/>
          <w:spacing w:val="-2"/>
        </w:rPr>
        <w:t xml:space="preserve">Work (Reading, Mass), </w:t>
      </w:r>
      <w:r w:rsidRPr="004313AA">
        <w:rPr>
          <w:rFonts w:eastAsia="Times New Roman"/>
          <w:bCs/>
          <w:spacing w:val="-2"/>
        </w:rPr>
        <w:t>60(3), pp. 465</w:t>
      </w:r>
      <w:r w:rsidR="00107C48" w:rsidRPr="000A5802">
        <w:rPr>
          <w:rFonts w:eastAsia="Times New Roman"/>
          <w:spacing w:val="-2"/>
        </w:rPr>
        <w:t>–</w:t>
      </w:r>
      <w:r w:rsidRPr="004313AA">
        <w:rPr>
          <w:rFonts w:eastAsia="Times New Roman"/>
          <w:bCs/>
          <w:spacing w:val="-2"/>
        </w:rPr>
        <w:t xml:space="preserve">473. </w:t>
      </w:r>
      <w:proofErr w:type="spellStart"/>
      <w:r w:rsidR="00107C48">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41" w:tgtFrame="_blank" w:history="1">
        <w:r w:rsidRPr="004313AA">
          <w:rPr>
            <w:rStyle w:val="Hyperlink"/>
            <w:rFonts w:eastAsia="Times New Roman" w:cs="Arial"/>
            <w:shd w:val="clear" w:color="auto" w:fill="FFFFFF"/>
          </w:rPr>
          <w:t>10.3233/WOR-182754</w:t>
        </w:r>
      </w:hyperlink>
    </w:p>
    <w:p w14:paraId="0862B39E" w14:textId="2885B0C5" w:rsidR="00370E7C" w:rsidRPr="008253F0" w:rsidRDefault="00370E7C" w:rsidP="008253F0">
      <w:pPr>
        <w:rPr>
          <w:rFonts w:eastAsia="Times New Roman"/>
        </w:rPr>
      </w:pPr>
      <w:r w:rsidRPr="004313AA">
        <w:rPr>
          <w:rFonts w:eastAsia="Times New Roman"/>
        </w:rPr>
        <w:t>Seymour, J. (2017) ‘</w:t>
      </w:r>
      <w:r w:rsidRPr="004313AA">
        <w:rPr>
          <w:rFonts w:eastAsia="Times New Roman"/>
          <w:bCs/>
          <w:spacing w:val="-2"/>
        </w:rPr>
        <w:t xml:space="preserve">The Impact of Public Health Awareness Campaigns on the Awareness and Quality of Palliative Care’, </w:t>
      </w:r>
      <w:r w:rsidRPr="004313AA">
        <w:rPr>
          <w:rFonts w:eastAsia="Times New Roman"/>
          <w:bCs/>
          <w:i/>
          <w:spacing w:val="-2"/>
        </w:rPr>
        <w:t xml:space="preserve">Journal of Palliative Medicine, </w:t>
      </w:r>
      <w:r w:rsidRPr="004313AA">
        <w:rPr>
          <w:rFonts w:eastAsia="Times New Roman"/>
          <w:bCs/>
          <w:spacing w:val="-2"/>
        </w:rPr>
        <w:t xml:space="preserve">20 (S1). </w:t>
      </w:r>
      <w:proofErr w:type="spellStart"/>
      <w:r w:rsidR="00107C48">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42" w:tgtFrame="_blank" w:history="1">
        <w:r w:rsidRPr="004313AA">
          <w:rPr>
            <w:rStyle w:val="Hyperlink"/>
            <w:rFonts w:eastAsia="Times New Roman" w:cs="Arial"/>
            <w:shd w:val="clear" w:color="auto" w:fill="FFFFFF"/>
          </w:rPr>
          <w:t>10.1089/jpm.2017.0391</w:t>
        </w:r>
      </w:hyperlink>
    </w:p>
    <w:p w14:paraId="69062DDC" w14:textId="7B322AA8" w:rsidR="00370E7C" w:rsidRDefault="00370E7C" w:rsidP="008253F0">
      <w:pPr>
        <w:rPr>
          <w:rStyle w:val="Hyperlink"/>
          <w:rFonts w:eastAsia="Times New Roman" w:cs="Arial"/>
          <w:shd w:val="clear" w:color="auto" w:fill="FFFFFF"/>
        </w:rPr>
      </w:pPr>
      <w:r w:rsidRPr="004313AA">
        <w:rPr>
          <w:rFonts w:eastAsia="Times New Roman"/>
        </w:rPr>
        <w:t>Smith, J. A. &amp; Osborn, M. (2015) ‘</w:t>
      </w:r>
      <w:r w:rsidRPr="004313AA">
        <w:rPr>
          <w:rFonts w:eastAsia="Times New Roman"/>
          <w:bCs/>
          <w:spacing w:val="-2"/>
        </w:rPr>
        <w:t xml:space="preserve">Interpretative phenomenological analysis as a useful methodology for research on the lived experience of pain’, </w:t>
      </w:r>
      <w:r w:rsidRPr="004313AA">
        <w:rPr>
          <w:rFonts w:eastAsia="Times New Roman"/>
          <w:bCs/>
          <w:i/>
          <w:spacing w:val="-2"/>
        </w:rPr>
        <w:t xml:space="preserve">British Journal of Pain, </w:t>
      </w:r>
      <w:r w:rsidRPr="004313AA">
        <w:rPr>
          <w:rFonts w:eastAsia="Times New Roman"/>
          <w:bCs/>
          <w:spacing w:val="-2"/>
        </w:rPr>
        <w:t>9(1), pp. 41</w:t>
      </w:r>
      <w:r w:rsidR="00107C48" w:rsidRPr="000A5802">
        <w:rPr>
          <w:rFonts w:eastAsia="Times New Roman"/>
          <w:spacing w:val="-2"/>
        </w:rPr>
        <w:t>–</w:t>
      </w:r>
      <w:r w:rsidRPr="004313AA">
        <w:rPr>
          <w:rFonts w:eastAsia="Times New Roman"/>
          <w:bCs/>
          <w:spacing w:val="-2"/>
        </w:rPr>
        <w:t xml:space="preserve">42. </w:t>
      </w:r>
      <w:proofErr w:type="spellStart"/>
      <w:r w:rsidR="00107C48">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43" w:tgtFrame="_blank" w:history="1">
        <w:r w:rsidRPr="004313AA">
          <w:rPr>
            <w:rStyle w:val="Hyperlink"/>
            <w:rFonts w:eastAsia="Times New Roman" w:cs="Arial"/>
            <w:shd w:val="clear" w:color="auto" w:fill="FFFFFF"/>
          </w:rPr>
          <w:t>10.1177/2049463714541642</w:t>
        </w:r>
      </w:hyperlink>
    </w:p>
    <w:p w14:paraId="6203B432" w14:textId="541E5176" w:rsidR="00370E7C" w:rsidRPr="008253F0" w:rsidRDefault="00370E7C" w:rsidP="008253F0">
      <w:pPr>
        <w:rPr>
          <w:rFonts w:eastAsia="Times New Roman" w:cs="Times New Roman"/>
        </w:rPr>
      </w:pPr>
      <w:r w:rsidRPr="00AD0394">
        <w:rPr>
          <w:rFonts w:eastAsia="Times New Roman"/>
          <w:shd w:val="clear" w:color="auto" w:fill="FFFFFF"/>
        </w:rPr>
        <w:t>Smith, R., Bryant, L. and Hemsley, B. (2023). ‘The true cost of dysphagia on quality of life: The views of adults with swallowing disability’. </w:t>
      </w:r>
      <w:r w:rsidRPr="00AD0394">
        <w:rPr>
          <w:rFonts w:eastAsia="Times New Roman"/>
          <w:i/>
          <w:iCs/>
          <w:shd w:val="clear" w:color="auto" w:fill="FFFFFF"/>
        </w:rPr>
        <w:t>International Journal of Language &amp; Communication Disorders</w:t>
      </w:r>
      <w:r w:rsidRPr="00AD0394">
        <w:rPr>
          <w:rFonts w:eastAsia="Times New Roman"/>
          <w:shd w:val="clear" w:color="auto" w:fill="FFFFFF"/>
        </w:rPr>
        <w:t>, </w:t>
      </w:r>
      <w:r w:rsidRPr="000D12EE">
        <w:rPr>
          <w:rFonts w:eastAsia="Times New Roman"/>
          <w:shd w:val="clear" w:color="auto" w:fill="FFFFFF"/>
        </w:rPr>
        <w:t>58</w:t>
      </w:r>
      <w:r w:rsidRPr="00AD0394">
        <w:rPr>
          <w:rFonts w:eastAsia="Times New Roman"/>
          <w:shd w:val="clear" w:color="auto" w:fill="FFFFFF"/>
        </w:rPr>
        <w:t>(2), pp.</w:t>
      </w:r>
      <w:r w:rsidR="00107C48">
        <w:rPr>
          <w:rFonts w:eastAsia="Times New Roman"/>
          <w:shd w:val="clear" w:color="auto" w:fill="FFFFFF"/>
        </w:rPr>
        <w:t xml:space="preserve"> </w:t>
      </w:r>
      <w:r w:rsidRPr="00AD0394">
        <w:rPr>
          <w:rFonts w:eastAsia="Times New Roman"/>
          <w:shd w:val="clear" w:color="auto" w:fill="FFFFFF"/>
        </w:rPr>
        <w:t>451</w:t>
      </w:r>
      <w:r w:rsidR="00107C48" w:rsidRPr="000A5802">
        <w:rPr>
          <w:rFonts w:eastAsia="Times New Roman"/>
          <w:spacing w:val="-2"/>
        </w:rPr>
        <w:t>–</w:t>
      </w:r>
      <w:r w:rsidRPr="00AD0394">
        <w:rPr>
          <w:rFonts w:eastAsia="Times New Roman"/>
          <w:shd w:val="clear" w:color="auto" w:fill="FFFFFF"/>
        </w:rPr>
        <w:t xml:space="preserve">466. </w:t>
      </w:r>
      <w:proofErr w:type="spellStart"/>
      <w:r w:rsidR="00107C48">
        <w:rPr>
          <w:rFonts w:eastAsia="Times New Roman"/>
          <w:shd w:val="clear" w:color="auto" w:fill="FFFFFF"/>
        </w:rPr>
        <w:t>d</w:t>
      </w:r>
      <w:r w:rsidRPr="00AD0394">
        <w:rPr>
          <w:rFonts w:eastAsia="Times New Roman"/>
          <w:shd w:val="clear" w:color="auto" w:fill="FFFFFF"/>
        </w:rPr>
        <w:t>oi</w:t>
      </w:r>
      <w:proofErr w:type="spellEnd"/>
      <w:r w:rsidRPr="00AD0394">
        <w:rPr>
          <w:rFonts w:eastAsia="Times New Roman"/>
          <w:shd w:val="clear" w:color="auto" w:fill="FFFFFF"/>
        </w:rPr>
        <w:t xml:space="preserve">: </w:t>
      </w:r>
      <w:hyperlink r:id="rId44" w:history="1">
        <w:r w:rsidRPr="00AD0394">
          <w:rPr>
            <w:rStyle w:val="Hyperlink"/>
            <w:rFonts w:eastAsia="Times New Roman" w:cs="Times New Roman"/>
            <w:bCs/>
            <w:shd w:val="clear" w:color="auto" w:fill="FFFFFF"/>
          </w:rPr>
          <w:t>10.1111/1460-6984.12804</w:t>
        </w:r>
      </w:hyperlink>
    </w:p>
    <w:p w14:paraId="77DC4F87" w14:textId="7CE3C90D" w:rsidR="00370E7C" w:rsidRPr="004313AA" w:rsidRDefault="00370E7C" w:rsidP="008253F0">
      <w:pPr>
        <w:rPr>
          <w:rFonts w:eastAsia="Times New Roman"/>
        </w:rPr>
      </w:pPr>
      <w:r w:rsidRPr="004313AA">
        <w:rPr>
          <w:rFonts w:eastAsia="Times New Roman"/>
        </w:rPr>
        <w:t xml:space="preserve">Stroke Association (2021) </w:t>
      </w:r>
      <w:r w:rsidRPr="004313AA">
        <w:rPr>
          <w:rFonts w:eastAsia="Times New Roman"/>
          <w:i/>
        </w:rPr>
        <w:t xml:space="preserve">Swallowing Problems. </w:t>
      </w:r>
      <w:r w:rsidRPr="004313AA">
        <w:rPr>
          <w:rFonts w:eastAsia="Times New Roman"/>
        </w:rPr>
        <w:t xml:space="preserve">Available at: </w:t>
      </w:r>
      <w:hyperlink r:id="rId45" w:history="1">
        <w:r w:rsidRPr="004313AA">
          <w:rPr>
            <w:rStyle w:val="Hyperlink"/>
            <w:rFonts w:eastAsia="Times New Roman" w:cs="Arial"/>
          </w:rPr>
          <w:t>https://www.stroke.org.uk/effects-of-stroke/physical-effects-of-stroke/swallowing-problems</w:t>
        </w:r>
      </w:hyperlink>
      <w:r w:rsidRPr="004313AA">
        <w:rPr>
          <w:rFonts w:eastAsia="Times New Roman"/>
        </w:rPr>
        <w:t xml:space="preserve"> (Accessed: 26 December 2021) </w:t>
      </w:r>
    </w:p>
    <w:p w14:paraId="149FE205" w14:textId="49A4EAE3" w:rsidR="00370E7C" w:rsidRPr="004313AA" w:rsidRDefault="00370E7C" w:rsidP="008253F0">
      <w:pPr>
        <w:rPr>
          <w:rFonts w:eastAsia="Times New Roman"/>
        </w:rPr>
      </w:pPr>
      <w:r w:rsidRPr="004313AA">
        <w:rPr>
          <w:rFonts w:eastAsia="Times New Roman"/>
        </w:rPr>
        <w:t xml:space="preserve">Stroke Association (2022a) </w:t>
      </w:r>
      <w:r w:rsidRPr="004313AA">
        <w:rPr>
          <w:rFonts w:eastAsia="Times New Roman"/>
          <w:i/>
        </w:rPr>
        <w:t xml:space="preserve">Take part in research. </w:t>
      </w:r>
      <w:r w:rsidRPr="004313AA">
        <w:rPr>
          <w:rFonts w:eastAsia="Times New Roman"/>
        </w:rPr>
        <w:t xml:space="preserve">Available at: </w:t>
      </w:r>
      <w:hyperlink r:id="rId46" w:history="1">
        <w:r w:rsidRPr="004313AA">
          <w:rPr>
            <w:rStyle w:val="Hyperlink"/>
            <w:rFonts w:eastAsia="Times New Roman" w:cs="Arial"/>
          </w:rPr>
          <w:t>https://www.stroke.org.uk/research/get-involved-research/take-part-in-research</w:t>
        </w:r>
      </w:hyperlink>
      <w:r w:rsidRPr="004313AA">
        <w:rPr>
          <w:rFonts w:eastAsia="Times New Roman"/>
        </w:rPr>
        <w:t xml:space="preserve"> (Accessed: 17 May 2022) </w:t>
      </w:r>
    </w:p>
    <w:p w14:paraId="4A9143D6" w14:textId="56D3E759" w:rsidR="00370E7C" w:rsidRPr="004313AA" w:rsidRDefault="00370E7C" w:rsidP="008253F0">
      <w:pPr>
        <w:rPr>
          <w:rFonts w:eastAsia="Times New Roman"/>
        </w:rPr>
      </w:pPr>
      <w:r w:rsidRPr="004313AA">
        <w:rPr>
          <w:rFonts w:eastAsia="Times New Roman"/>
        </w:rPr>
        <w:t xml:space="preserve">Stroke Association (2022b) </w:t>
      </w:r>
      <w:r w:rsidRPr="004313AA">
        <w:rPr>
          <w:rFonts w:eastAsia="Times New Roman"/>
          <w:i/>
        </w:rPr>
        <w:t xml:space="preserve">Our Funding Schemes. </w:t>
      </w:r>
      <w:r w:rsidRPr="004313AA">
        <w:rPr>
          <w:rFonts w:eastAsia="Times New Roman"/>
        </w:rPr>
        <w:t xml:space="preserve">Available at: </w:t>
      </w:r>
      <w:hyperlink r:id="rId47" w:history="1">
        <w:r w:rsidRPr="004313AA">
          <w:rPr>
            <w:rStyle w:val="Hyperlink"/>
            <w:rFonts w:eastAsia="Times New Roman" w:cs="Arial"/>
          </w:rPr>
          <w:t>https://www.stroke.org.uk/research/our-funding-schemes</w:t>
        </w:r>
      </w:hyperlink>
      <w:r w:rsidRPr="004313AA">
        <w:rPr>
          <w:rFonts w:eastAsia="Times New Roman"/>
        </w:rPr>
        <w:t xml:space="preserve"> (Accessed: 17 May 2022) </w:t>
      </w:r>
    </w:p>
    <w:p w14:paraId="6CF4FEA2" w14:textId="5D2CE806" w:rsidR="00370E7C" w:rsidRPr="004313AA" w:rsidRDefault="00370E7C" w:rsidP="008253F0">
      <w:pPr>
        <w:rPr>
          <w:rFonts w:eastAsia="Times New Roman"/>
        </w:rPr>
      </w:pPr>
      <w:r w:rsidRPr="004313AA">
        <w:rPr>
          <w:rFonts w:eastAsia="Times New Roman"/>
          <w:bCs/>
          <w:spacing w:val="-2"/>
        </w:rPr>
        <w:t xml:space="preserve">Threats, T. T. (2007) ‘Use of the ICF in Dysphagia Management’, </w:t>
      </w:r>
      <w:r w:rsidRPr="004313AA">
        <w:rPr>
          <w:rFonts w:eastAsia="Times New Roman"/>
          <w:bCs/>
          <w:i/>
          <w:spacing w:val="-2"/>
        </w:rPr>
        <w:t xml:space="preserve">Seminars in Speech and Language, </w:t>
      </w:r>
      <w:r w:rsidRPr="004313AA">
        <w:rPr>
          <w:rFonts w:eastAsia="Times New Roman"/>
          <w:bCs/>
          <w:spacing w:val="-2"/>
        </w:rPr>
        <w:t>28(4), pp. 323</w:t>
      </w:r>
      <w:r w:rsidR="00107C48" w:rsidRPr="000A5802">
        <w:rPr>
          <w:rFonts w:eastAsia="Times New Roman"/>
          <w:spacing w:val="-2"/>
        </w:rPr>
        <w:t>–</w:t>
      </w:r>
      <w:r w:rsidRPr="004313AA">
        <w:rPr>
          <w:rFonts w:eastAsia="Times New Roman"/>
          <w:bCs/>
          <w:spacing w:val="-2"/>
        </w:rPr>
        <w:t xml:space="preserve">333. </w:t>
      </w:r>
      <w:proofErr w:type="spellStart"/>
      <w:r w:rsidR="00107C48">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r w:rsidRPr="004313AA">
        <w:rPr>
          <w:rFonts w:eastAsia="Times New Roman"/>
        </w:rPr>
        <w:t>10.1055/s-2007-986529</w:t>
      </w:r>
    </w:p>
    <w:p w14:paraId="6E24C27C" w14:textId="62D6E550" w:rsidR="00370E7C" w:rsidRPr="004313AA" w:rsidRDefault="00370E7C" w:rsidP="008253F0">
      <w:pPr>
        <w:rPr>
          <w:rFonts w:eastAsia="Times New Roman"/>
        </w:rPr>
      </w:pPr>
      <w:r w:rsidRPr="004313AA">
        <w:rPr>
          <w:rFonts w:eastAsia="Times New Roman"/>
        </w:rPr>
        <w:lastRenderedPageBreak/>
        <w:t xml:space="preserve">Triggs, J. &amp; Pandolfino, J. (2019) ‘Recent advances in dysphagia management’, </w:t>
      </w:r>
      <w:r w:rsidRPr="004313AA">
        <w:rPr>
          <w:rFonts w:eastAsia="Times New Roman"/>
          <w:i/>
        </w:rPr>
        <w:t xml:space="preserve">F1000 Research, </w:t>
      </w:r>
      <w:r w:rsidRPr="004313AA">
        <w:rPr>
          <w:rFonts w:eastAsia="Times New Roman"/>
        </w:rPr>
        <w:t xml:space="preserve">8, p. 1527. </w:t>
      </w:r>
      <w:proofErr w:type="spellStart"/>
      <w:r w:rsidR="00107C48">
        <w:rPr>
          <w:rFonts w:eastAsia="Times New Roman"/>
        </w:rPr>
        <w:t>d</w:t>
      </w:r>
      <w:r w:rsidRPr="004313AA">
        <w:rPr>
          <w:rFonts w:eastAsia="Times New Roman"/>
        </w:rPr>
        <w:t>oi</w:t>
      </w:r>
      <w:proofErr w:type="spellEnd"/>
      <w:r w:rsidRPr="004313AA">
        <w:rPr>
          <w:rFonts w:eastAsia="Times New Roman"/>
        </w:rPr>
        <w:t xml:space="preserve">: </w:t>
      </w:r>
      <w:hyperlink r:id="rId48" w:tgtFrame="_blank" w:history="1">
        <w:r w:rsidRPr="004313AA">
          <w:rPr>
            <w:rFonts w:eastAsia="Times New Roman"/>
            <w:shd w:val="clear" w:color="auto" w:fill="FFFFFF"/>
          </w:rPr>
          <w:t>10.12688/f1000research.18900.1</w:t>
        </w:r>
      </w:hyperlink>
      <w:r w:rsidRPr="004313AA">
        <w:rPr>
          <w:rFonts w:eastAsia="Times New Roman"/>
        </w:rPr>
        <w:t xml:space="preserve"> </w:t>
      </w:r>
    </w:p>
    <w:p w14:paraId="7CFE3308" w14:textId="4DDD002F" w:rsidR="00370E7C" w:rsidRPr="004313AA" w:rsidRDefault="00370E7C" w:rsidP="008253F0">
      <w:pPr>
        <w:rPr>
          <w:rFonts w:eastAsia="Times New Roman"/>
        </w:rPr>
      </w:pPr>
      <w:r w:rsidRPr="004313AA">
        <w:rPr>
          <w:rFonts w:eastAsia="Times New Roman"/>
        </w:rPr>
        <w:t xml:space="preserve">United Kingdom Research and Innovation (2022) </w:t>
      </w:r>
      <w:r w:rsidRPr="004313AA">
        <w:rPr>
          <w:rFonts w:eastAsia="Times New Roman"/>
          <w:i/>
        </w:rPr>
        <w:t xml:space="preserve">Apply for Funding. </w:t>
      </w:r>
      <w:r w:rsidRPr="004313AA">
        <w:rPr>
          <w:rFonts w:eastAsia="Times New Roman"/>
        </w:rPr>
        <w:t xml:space="preserve">Available at: https://www.ukri.org/apply-for-funding/ (Accessed: 17 May 2022) </w:t>
      </w:r>
    </w:p>
    <w:p w14:paraId="7DF48288" w14:textId="30CC766C" w:rsidR="00370E7C" w:rsidRPr="004313AA" w:rsidRDefault="00370E7C" w:rsidP="008253F0">
      <w:pPr>
        <w:rPr>
          <w:noProof/>
        </w:rPr>
      </w:pPr>
      <w:r w:rsidRPr="004313AA">
        <w:rPr>
          <w:noProof/>
        </w:rPr>
        <w:t xml:space="preserve">University of Essex (2022a) </w:t>
      </w:r>
      <w:r w:rsidRPr="004313AA">
        <w:rPr>
          <w:i/>
          <w:noProof/>
        </w:rPr>
        <w:t xml:space="preserve">Ethical Aprroval: resources for applicants. </w:t>
      </w:r>
      <w:r w:rsidRPr="004313AA">
        <w:rPr>
          <w:noProof/>
        </w:rPr>
        <w:t xml:space="preserve">Available at: </w:t>
      </w:r>
      <w:hyperlink r:id="rId49" w:history="1">
        <w:r w:rsidRPr="004313AA">
          <w:rPr>
            <w:rStyle w:val="Hyperlink"/>
            <w:rFonts w:cs="Arial"/>
            <w:noProof/>
          </w:rPr>
          <w:t>https://www.essex.ac.uk/staff/research-governance/ethical-approval-resources-for-applicants</w:t>
        </w:r>
      </w:hyperlink>
      <w:r w:rsidRPr="004313AA">
        <w:rPr>
          <w:noProof/>
        </w:rPr>
        <w:t xml:space="preserve"> (Accessed: 17 May 2022) </w:t>
      </w:r>
    </w:p>
    <w:p w14:paraId="53C94862" w14:textId="2EE7DE62" w:rsidR="00370E7C" w:rsidRPr="004313AA" w:rsidRDefault="00370E7C" w:rsidP="008253F0">
      <w:pPr>
        <w:rPr>
          <w:noProof/>
        </w:rPr>
      </w:pPr>
      <w:r w:rsidRPr="004313AA">
        <w:rPr>
          <w:noProof/>
        </w:rPr>
        <w:t xml:space="preserve">Univeristy of Essex (2022b) </w:t>
      </w:r>
      <w:r w:rsidRPr="004313AA">
        <w:rPr>
          <w:i/>
          <w:noProof/>
        </w:rPr>
        <w:t xml:space="preserve">Research and Enterprise Office Team. </w:t>
      </w:r>
      <w:r w:rsidRPr="004313AA">
        <w:rPr>
          <w:noProof/>
        </w:rPr>
        <w:t xml:space="preserve">Available at: </w:t>
      </w:r>
      <w:hyperlink r:id="rId50" w:history="1">
        <w:r w:rsidRPr="004313AA">
          <w:rPr>
            <w:rStyle w:val="Hyperlink"/>
            <w:rFonts w:cs="Arial"/>
            <w:noProof/>
          </w:rPr>
          <w:t>https://www.essex.ac.uk/student/professional-services/research-enterprise-office-team</w:t>
        </w:r>
      </w:hyperlink>
      <w:r w:rsidRPr="004313AA">
        <w:rPr>
          <w:noProof/>
        </w:rPr>
        <w:t xml:space="preserve"> (Accessed: 17 May 2022) </w:t>
      </w:r>
    </w:p>
    <w:p w14:paraId="271E9CC8" w14:textId="41172B54" w:rsidR="00370E7C" w:rsidRPr="004313AA" w:rsidRDefault="00370E7C" w:rsidP="008253F0">
      <w:pPr>
        <w:rPr>
          <w:rFonts w:eastAsia="Times New Roman"/>
        </w:rPr>
      </w:pPr>
      <w:r w:rsidRPr="004313AA">
        <w:rPr>
          <w:noProof/>
        </w:rPr>
        <w:t xml:space="preserve">Vasileiou, K., Barnett, J., Thorpe, S. </w:t>
      </w:r>
      <w:r w:rsidRPr="004313AA">
        <w:t>Young, T. (2018) ‘</w:t>
      </w:r>
      <w:r w:rsidRPr="004313AA">
        <w:rPr>
          <w:rFonts w:eastAsia="Times New Roman"/>
        </w:rPr>
        <w:t xml:space="preserve">Characterising and justifying sample size sufficiency in interview-based studies: systematic analysis of qualitative health research over a 15-year period’, </w:t>
      </w:r>
      <w:r w:rsidRPr="004313AA">
        <w:rPr>
          <w:rFonts w:eastAsia="Times New Roman"/>
          <w:i/>
        </w:rPr>
        <w:t xml:space="preserve">BMC Medical Research Methodology, </w:t>
      </w:r>
      <w:r w:rsidRPr="004313AA">
        <w:rPr>
          <w:rFonts w:eastAsia="Times New Roman"/>
        </w:rPr>
        <w:t xml:space="preserve">18(1). </w:t>
      </w:r>
      <w:proofErr w:type="spellStart"/>
      <w:r w:rsidR="00107C48">
        <w:rPr>
          <w:rFonts w:eastAsia="Times New Roman"/>
        </w:rPr>
        <w:t>d</w:t>
      </w:r>
      <w:r w:rsidRPr="004313AA">
        <w:rPr>
          <w:rFonts w:eastAsia="Times New Roman"/>
        </w:rPr>
        <w:t>oi</w:t>
      </w:r>
      <w:proofErr w:type="spellEnd"/>
      <w:r w:rsidRPr="004313AA">
        <w:rPr>
          <w:rFonts w:eastAsia="Times New Roman"/>
        </w:rPr>
        <w:t xml:space="preserve">: </w:t>
      </w:r>
      <w:hyperlink r:id="rId51" w:tgtFrame="_blank" w:history="1">
        <w:r w:rsidRPr="004313AA">
          <w:rPr>
            <w:rStyle w:val="Hyperlink"/>
            <w:rFonts w:eastAsia="Times New Roman" w:cs="Arial"/>
            <w:bdr w:val="none" w:sz="0" w:space="0" w:color="auto" w:frame="1"/>
            <w:shd w:val="clear" w:color="auto" w:fill="FFFFFF"/>
          </w:rPr>
          <w:t>10.1186/s12874-018-0594-7</w:t>
        </w:r>
      </w:hyperlink>
    </w:p>
    <w:p w14:paraId="23DE5809" w14:textId="47503F73" w:rsidR="00370E7C" w:rsidRPr="008253F0" w:rsidRDefault="00370E7C" w:rsidP="008253F0">
      <w:pPr>
        <w:rPr>
          <w:rFonts w:eastAsia="Times New Roman"/>
        </w:rPr>
      </w:pPr>
      <w:r w:rsidRPr="004313AA">
        <w:rPr>
          <w:rFonts w:eastAsia="Times New Roman"/>
          <w:bCs/>
          <w:spacing w:val="-2"/>
        </w:rPr>
        <w:t xml:space="preserve">Waite, M. (2009) </w:t>
      </w:r>
      <w:r w:rsidRPr="004313AA">
        <w:rPr>
          <w:rFonts w:eastAsia="Times New Roman"/>
          <w:bCs/>
          <w:i/>
          <w:spacing w:val="-2"/>
        </w:rPr>
        <w:t>Oxford Thesaurus of English</w:t>
      </w:r>
      <w:r w:rsidRPr="004313AA">
        <w:rPr>
          <w:rFonts w:eastAsia="Times New Roman"/>
          <w:bCs/>
          <w:spacing w:val="-2"/>
        </w:rPr>
        <w:t>. (3</w:t>
      </w:r>
      <w:r w:rsidRPr="004313AA">
        <w:rPr>
          <w:rFonts w:eastAsia="Times New Roman"/>
          <w:bCs/>
          <w:spacing w:val="-2"/>
          <w:vertAlign w:val="superscript"/>
        </w:rPr>
        <w:t>rd</w:t>
      </w:r>
      <w:r w:rsidRPr="004313AA">
        <w:rPr>
          <w:rFonts w:eastAsia="Times New Roman"/>
          <w:bCs/>
          <w:spacing w:val="-2"/>
        </w:rPr>
        <w:t xml:space="preserve"> Eds)</w:t>
      </w:r>
      <w:r w:rsidRPr="004313AA">
        <w:rPr>
          <w:rFonts w:eastAsia="Times New Roman"/>
          <w:bCs/>
          <w:i/>
          <w:spacing w:val="-2"/>
        </w:rPr>
        <w:t xml:space="preserve"> </w:t>
      </w:r>
      <w:r w:rsidRPr="004313AA">
        <w:rPr>
          <w:rFonts w:eastAsia="Times New Roman"/>
          <w:bCs/>
          <w:spacing w:val="-2"/>
        </w:rPr>
        <w:t xml:space="preserve">Oxford: Oxford University Press. </w:t>
      </w:r>
    </w:p>
    <w:p w14:paraId="38871F12" w14:textId="17AFF756" w:rsidR="00370E7C" w:rsidRDefault="00370E7C" w:rsidP="008253F0">
      <w:pPr>
        <w:rPr>
          <w:rStyle w:val="Hyperlink"/>
          <w:rFonts w:eastAsia="Times New Roman" w:cs="Arial"/>
          <w:shd w:val="clear" w:color="auto" w:fill="FFFFFF"/>
        </w:rPr>
      </w:pPr>
      <w:r w:rsidRPr="000D12EE">
        <w:rPr>
          <w:rFonts w:cs="Times New Roman"/>
        </w:rPr>
        <w:t xml:space="preserve">Wiley Online Library (2022) </w:t>
      </w:r>
      <w:r w:rsidRPr="000D12EE">
        <w:rPr>
          <w:rFonts w:cs="Times New Roman"/>
          <w:i/>
          <w:iCs/>
        </w:rPr>
        <w:t>Aims and Scope</w:t>
      </w:r>
      <w:r w:rsidRPr="000D12EE">
        <w:rPr>
          <w:rFonts w:cs="Times New Roman"/>
        </w:rPr>
        <w:t>.</w:t>
      </w:r>
      <w:r w:rsidRPr="004313AA">
        <w:rPr>
          <w:rStyle w:val="Hyperlink"/>
          <w:rFonts w:eastAsia="Times New Roman" w:cs="Arial"/>
          <w:i/>
          <w:shd w:val="clear" w:color="auto" w:fill="FFFFFF"/>
        </w:rPr>
        <w:t xml:space="preserve"> </w:t>
      </w:r>
      <w:r w:rsidRPr="004313AA">
        <w:rPr>
          <w:rStyle w:val="Hyperlink"/>
          <w:rFonts w:eastAsia="Times New Roman" w:cs="Arial"/>
          <w:shd w:val="clear" w:color="auto" w:fill="FFFFFF"/>
        </w:rPr>
        <w:t xml:space="preserve">Available at: </w:t>
      </w:r>
      <w:hyperlink r:id="rId52" w:history="1">
        <w:r w:rsidRPr="004313AA">
          <w:rPr>
            <w:rStyle w:val="Hyperlink"/>
            <w:rFonts w:eastAsia="Times New Roman" w:cs="Arial"/>
            <w:shd w:val="clear" w:color="auto" w:fill="FFFFFF"/>
          </w:rPr>
          <w:t>https://onlinelibrary.wiley.com/journal/14606984</w:t>
        </w:r>
      </w:hyperlink>
      <w:r w:rsidRPr="004313AA">
        <w:rPr>
          <w:rStyle w:val="Hyperlink"/>
          <w:rFonts w:eastAsia="Times New Roman" w:cs="Arial"/>
          <w:shd w:val="clear" w:color="auto" w:fill="FFFFFF"/>
        </w:rPr>
        <w:t xml:space="preserve"> </w:t>
      </w:r>
      <w:r w:rsidRPr="000D12EE">
        <w:rPr>
          <w:rFonts w:cs="Times New Roman"/>
        </w:rPr>
        <w:t xml:space="preserve">(Accessed: 17 May 2022) </w:t>
      </w:r>
    </w:p>
    <w:p w14:paraId="2C008D58" w14:textId="54B063A0" w:rsidR="00370E7C" w:rsidRPr="008253F0" w:rsidRDefault="00370E7C" w:rsidP="008253F0">
      <w:pPr>
        <w:rPr>
          <w:rStyle w:val="Hyperlink"/>
          <w:rFonts w:eastAsia="Times New Roman" w:cs="Times New Roman"/>
          <w:color w:val="auto"/>
          <w:u w:val="none"/>
        </w:rPr>
      </w:pPr>
      <w:r w:rsidRPr="008253F0">
        <w:rPr>
          <w:rFonts w:eastAsia="Times New Roman" w:cs="Times New Roman"/>
          <w:shd w:val="clear" w:color="auto" w:fill="FFFFFF"/>
        </w:rPr>
        <w:t>Willis, J. W. &amp; Nilakanta, R. (2007) </w:t>
      </w:r>
      <w:r w:rsidRPr="008253F0">
        <w:rPr>
          <w:rFonts w:eastAsia="Times New Roman" w:cs="Times New Roman"/>
          <w:i/>
          <w:iCs/>
          <w:shd w:val="clear" w:color="auto" w:fill="FFFFFF"/>
        </w:rPr>
        <w:t>Foundations of Qualitative Research: Interpretive and Critical Approaches</w:t>
      </w:r>
      <w:r w:rsidRPr="008253F0">
        <w:rPr>
          <w:rFonts w:eastAsia="Times New Roman" w:cs="Times New Roman"/>
          <w:shd w:val="clear" w:color="auto" w:fill="FFFFFF"/>
        </w:rPr>
        <w:t>. 1st edition. Los Angeles: SAGE Publications.</w:t>
      </w:r>
    </w:p>
    <w:p w14:paraId="783CCAD8" w14:textId="025DC0D3" w:rsidR="00370E7C" w:rsidRPr="008253F0" w:rsidRDefault="00370E7C" w:rsidP="008253F0">
      <w:pPr>
        <w:rPr>
          <w:rStyle w:val="Hyperlink"/>
          <w:rFonts w:eastAsia="Times New Roman" w:cs="Arial"/>
        </w:rPr>
      </w:pPr>
      <w:r w:rsidRPr="000D12EE">
        <w:rPr>
          <w:bCs/>
          <w:spacing w:val="-2"/>
        </w:rPr>
        <w:t xml:space="preserve">Wilson, P. M., </w:t>
      </w:r>
      <w:proofErr w:type="spellStart"/>
      <w:r w:rsidRPr="000D12EE">
        <w:rPr>
          <w:bCs/>
          <w:spacing w:val="-2"/>
        </w:rPr>
        <w:t>Petticrew</w:t>
      </w:r>
      <w:proofErr w:type="spellEnd"/>
      <w:r w:rsidRPr="000D12EE">
        <w:rPr>
          <w:bCs/>
          <w:spacing w:val="-2"/>
        </w:rPr>
        <w:t xml:space="preserve">, M., </w:t>
      </w:r>
      <w:proofErr w:type="spellStart"/>
      <w:r w:rsidRPr="000D12EE">
        <w:rPr>
          <w:bCs/>
          <w:spacing w:val="-2"/>
        </w:rPr>
        <w:t>Calnan</w:t>
      </w:r>
      <w:proofErr w:type="spellEnd"/>
      <w:r w:rsidRPr="000D12EE">
        <w:rPr>
          <w:bCs/>
          <w:spacing w:val="-2"/>
        </w:rPr>
        <w:t>, M. W. &amp; Nazareth, I. (2010) ‘</w:t>
      </w:r>
      <w:r w:rsidRPr="004313AA">
        <w:rPr>
          <w:rFonts w:eastAsia="Times New Roman"/>
          <w:bCs/>
          <w:spacing w:val="-2"/>
        </w:rPr>
        <w:t xml:space="preserve">Disseminating research findings: what should researchers do? A systematic scoping review of conceptual frameworks’, </w:t>
      </w:r>
      <w:r w:rsidRPr="004313AA">
        <w:rPr>
          <w:rFonts w:eastAsia="Times New Roman"/>
          <w:bCs/>
          <w:i/>
          <w:spacing w:val="-2"/>
        </w:rPr>
        <w:t xml:space="preserve">Implementation Science, </w:t>
      </w:r>
      <w:r w:rsidRPr="004313AA">
        <w:rPr>
          <w:rFonts w:eastAsia="Times New Roman"/>
          <w:bCs/>
          <w:spacing w:val="-2"/>
        </w:rPr>
        <w:t xml:space="preserve">5. </w:t>
      </w:r>
      <w:r w:rsidR="00107C48">
        <w:rPr>
          <w:rFonts w:eastAsia="Times New Roman"/>
          <w:bCs/>
          <w:spacing w:val="-2"/>
        </w:rPr>
        <w:t>p</w:t>
      </w:r>
      <w:r w:rsidRPr="004313AA">
        <w:rPr>
          <w:rFonts w:eastAsia="Times New Roman"/>
          <w:bCs/>
          <w:spacing w:val="-2"/>
        </w:rPr>
        <w:t xml:space="preserve">. 91. </w:t>
      </w:r>
      <w:proofErr w:type="spellStart"/>
      <w:r w:rsidR="00107C48">
        <w:rPr>
          <w:rFonts w:eastAsia="Times New Roman"/>
          <w:bCs/>
          <w:spacing w:val="-2"/>
        </w:rPr>
        <w:t>d</w:t>
      </w:r>
      <w:r w:rsidRPr="004313AA">
        <w:rPr>
          <w:rFonts w:eastAsia="Times New Roman"/>
          <w:bCs/>
          <w:spacing w:val="-2"/>
        </w:rPr>
        <w:t>oi</w:t>
      </w:r>
      <w:proofErr w:type="spellEnd"/>
      <w:r w:rsidRPr="004313AA">
        <w:rPr>
          <w:rFonts w:eastAsia="Times New Roman"/>
          <w:bCs/>
          <w:spacing w:val="-2"/>
        </w:rPr>
        <w:t xml:space="preserve">: </w:t>
      </w:r>
      <w:hyperlink r:id="rId53" w:tgtFrame="_blank" w:history="1">
        <w:r w:rsidRPr="004313AA">
          <w:rPr>
            <w:rStyle w:val="Hyperlink"/>
            <w:rFonts w:eastAsia="Times New Roman" w:cs="Arial"/>
            <w:shd w:val="clear" w:color="auto" w:fill="FFFFFF"/>
          </w:rPr>
          <w:t>10.1186/1748-5908-5-91</w:t>
        </w:r>
      </w:hyperlink>
    </w:p>
    <w:p w14:paraId="36BA097D" w14:textId="049E6A37" w:rsidR="00370E7C" w:rsidRPr="008253F0" w:rsidRDefault="00370E7C" w:rsidP="008253F0">
      <w:pPr>
        <w:rPr>
          <w:rFonts w:eastAsia="Times New Roman"/>
        </w:rPr>
      </w:pPr>
      <w:r w:rsidRPr="004313AA">
        <w:rPr>
          <w:rFonts w:eastAsia="Times New Roman"/>
        </w:rPr>
        <w:t xml:space="preserve">World Health Organisation (2022a) </w:t>
      </w:r>
      <w:r w:rsidRPr="004313AA">
        <w:rPr>
          <w:rFonts w:eastAsia="Times New Roman"/>
          <w:i/>
        </w:rPr>
        <w:t xml:space="preserve">WHOQOL: Measuring Quality of Life. </w:t>
      </w:r>
      <w:r w:rsidRPr="004313AA">
        <w:rPr>
          <w:rFonts w:eastAsia="Times New Roman"/>
        </w:rPr>
        <w:t xml:space="preserve">Available at: </w:t>
      </w:r>
      <w:hyperlink r:id="rId54" w:history="1">
        <w:r w:rsidRPr="004313AA">
          <w:rPr>
            <w:rStyle w:val="Hyperlink"/>
            <w:rFonts w:eastAsia="Times New Roman" w:cs="Arial"/>
          </w:rPr>
          <w:t>https://www.who.int/tools/whoqol</w:t>
        </w:r>
      </w:hyperlink>
      <w:r w:rsidRPr="004313AA">
        <w:rPr>
          <w:rFonts w:eastAsia="Times New Roman"/>
        </w:rPr>
        <w:t xml:space="preserve"> (Accessed: 24 January 2022) </w:t>
      </w:r>
    </w:p>
    <w:p w14:paraId="2CF37FF8" w14:textId="68FDA314" w:rsidR="00370E7C" w:rsidRPr="004313AA" w:rsidRDefault="00370E7C" w:rsidP="008253F0">
      <w:pPr>
        <w:rPr>
          <w:rFonts w:eastAsia="Times New Roman"/>
        </w:rPr>
      </w:pPr>
      <w:r w:rsidRPr="004313AA">
        <w:rPr>
          <w:rFonts w:eastAsia="Times New Roman"/>
        </w:rPr>
        <w:t xml:space="preserve">World Health Organisation (2022b) </w:t>
      </w:r>
      <w:r w:rsidRPr="004313AA">
        <w:rPr>
          <w:rFonts w:eastAsia="Times New Roman"/>
          <w:i/>
        </w:rPr>
        <w:t xml:space="preserve">International Classification of Functioning, Disability and Health (ICF). </w:t>
      </w:r>
      <w:r w:rsidRPr="004313AA">
        <w:rPr>
          <w:rFonts w:eastAsia="Times New Roman"/>
        </w:rPr>
        <w:t xml:space="preserve">Available at:  </w:t>
      </w:r>
      <w:hyperlink r:id="rId55" w:history="1">
        <w:r w:rsidR="008253F0" w:rsidRPr="00533985">
          <w:rPr>
            <w:rStyle w:val="Hyperlink"/>
            <w:rFonts w:eastAsia="Times New Roman" w:cs="Arial"/>
          </w:rPr>
          <w:t>https://www.who.int/standards/classifications/international-classification-of-functioning-disability-and-health</w:t>
        </w:r>
      </w:hyperlink>
      <w:r w:rsidRPr="004313AA">
        <w:rPr>
          <w:rFonts w:eastAsia="Times New Roman"/>
          <w:i/>
        </w:rPr>
        <w:t xml:space="preserve"> </w:t>
      </w:r>
      <w:r w:rsidRPr="004313AA">
        <w:rPr>
          <w:rFonts w:eastAsia="Times New Roman"/>
        </w:rPr>
        <w:t xml:space="preserve">(Accessed: 26 January 2022) </w:t>
      </w:r>
    </w:p>
    <w:p w14:paraId="4C1C7B61" w14:textId="77777777" w:rsidR="00370E7C" w:rsidRDefault="00370E7C" w:rsidP="00370E7C">
      <w:pPr>
        <w:spacing w:afterLines="160" w:after="384" w:line="240" w:lineRule="auto"/>
        <w:contextualSpacing/>
        <w:rPr>
          <w:rStyle w:val="Hyperlink"/>
          <w:rFonts w:eastAsia="Times New Roman" w:cs="Arial"/>
          <w:color w:val="auto"/>
          <w:u w:val="none"/>
          <w:shd w:val="clear" w:color="auto" w:fill="FFFFFF"/>
        </w:rPr>
      </w:pPr>
    </w:p>
    <w:p w14:paraId="1100508A" w14:textId="1C3BACBC" w:rsidR="00370E7C" w:rsidRPr="000F5D30" w:rsidRDefault="00370E7C" w:rsidP="000F5D30">
      <w:pPr>
        <w:pStyle w:val="Heading2"/>
        <w:rPr>
          <w:rStyle w:val="Hyperlink"/>
          <w:color w:val="000000" w:themeColor="text1"/>
          <w:u w:val="none"/>
        </w:rPr>
      </w:pPr>
      <w:r w:rsidRPr="000F5D30">
        <w:rPr>
          <w:rStyle w:val="Hyperlink"/>
          <w:color w:val="000000" w:themeColor="text1"/>
          <w:u w:val="none"/>
        </w:rPr>
        <w:lastRenderedPageBreak/>
        <w:t>Appendices</w:t>
      </w:r>
    </w:p>
    <w:p w14:paraId="2333320C" w14:textId="1CDCD7BC" w:rsidR="00370E7C" w:rsidRDefault="00370E7C" w:rsidP="00370E7C">
      <w:pPr>
        <w:pStyle w:val="Heading3"/>
      </w:pPr>
      <w:r>
        <w:t>Appendix 1</w:t>
      </w:r>
    </w:p>
    <w:p w14:paraId="27710D47" w14:textId="4BF45464" w:rsidR="00370E7C" w:rsidRDefault="00370E7C" w:rsidP="00370E7C">
      <w:r>
        <w:rPr>
          <w:noProof/>
          <w:lang w:val="en-US"/>
        </w:rPr>
        <w:drawing>
          <wp:inline distT="0" distB="0" distL="0" distR="0" wp14:anchorId="775658AA" wp14:editId="469477E1">
            <wp:extent cx="5497195" cy="6438265"/>
            <wp:effectExtent l="0" t="0" r="8255" b="635"/>
            <wp:docPr id="24" name="Picture 24" descr="PRISMA (2009) diagram showing the systematic overview of the steps involved during this literature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PRISMA (2009) diagram showing the systematic overview of the steps involved during this literature search."/>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97195" cy="6438265"/>
                    </a:xfrm>
                    <a:prstGeom prst="rect">
                      <a:avLst/>
                    </a:prstGeom>
                    <a:noFill/>
                    <a:ln>
                      <a:noFill/>
                    </a:ln>
                  </pic:spPr>
                </pic:pic>
              </a:graphicData>
            </a:graphic>
          </wp:inline>
        </w:drawing>
      </w:r>
    </w:p>
    <w:p w14:paraId="2234486F" w14:textId="77777777" w:rsidR="00370E7C" w:rsidRDefault="00370E7C" w:rsidP="00370E7C"/>
    <w:p w14:paraId="0B28751F" w14:textId="2C4BA183" w:rsidR="00370E7C" w:rsidRDefault="00370E7C" w:rsidP="00370E7C">
      <w:pPr>
        <w:pStyle w:val="Heading3"/>
      </w:pPr>
      <w:r>
        <w:t>Appendix 2</w:t>
      </w:r>
    </w:p>
    <w:p w14:paraId="45EEB4CD" w14:textId="77777777" w:rsidR="00370E7C" w:rsidRPr="00FA56F8" w:rsidRDefault="00370E7C" w:rsidP="00370E7C">
      <w:pPr>
        <w:spacing w:line="360" w:lineRule="auto"/>
        <w:rPr>
          <w:rFonts w:cs="Arial"/>
        </w:rPr>
      </w:pPr>
      <w:r w:rsidRPr="00FA56F8">
        <w:rPr>
          <w:rFonts w:cs="Arial"/>
          <w:i/>
        </w:rPr>
        <w:t xml:space="preserve">Glossary: </w:t>
      </w:r>
    </w:p>
    <w:p w14:paraId="719AF59E" w14:textId="77777777" w:rsidR="00370E7C" w:rsidRPr="00FA56F8" w:rsidRDefault="00370E7C" w:rsidP="00370E7C">
      <w:pPr>
        <w:spacing w:line="360" w:lineRule="auto"/>
        <w:rPr>
          <w:rFonts w:cs="Arial"/>
        </w:rPr>
      </w:pPr>
    </w:p>
    <w:tbl>
      <w:tblPr>
        <w:tblStyle w:val="TableGrid"/>
        <w:tblW w:w="10207" w:type="dxa"/>
        <w:tblInd w:w="-885" w:type="dxa"/>
        <w:tblLook w:val="04A0" w:firstRow="1" w:lastRow="0" w:firstColumn="1" w:lastColumn="0" w:noHBand="0" w:noVBand="1"/>
        <w:tblDescription w:val="Glossary of the terms used in this article. The table includes the terms, their definitions, and their associated references, which include the author and year."/>
      </w:tblPr>
      <w:tblGrid>
        <w:gridCol w:w="3723"/>
        <w:gridCol w:w="4216"/>
        <w:gridCol w:w="2268"/>
      </w:tblGrid>
      <w:tr w:rsidR="00370E7C" w:rsidRPr="00FA56F8" w14:paraId="2B01B5AE" w14:textId="77777777" w:rsidTr="00271849">
        <w:tc>
          <w:tcPr>
            <w:tcW w:w="3723" w:type="dxa"/>
          </w:tcPr>
          <w:p w14:paraId="60CD95F3" w14:textId="77777777" w:rsidR="00370E7C" w:rsidRPr="00FA56F8" w:rsidRDefault="00370E7C" w:rsidP="00271849">
            <w:pPr>
              <w:spacing w:line="360" w:lineRule="auto"/>
              <w:rPr>
                <w:rFonts w:cs="Arial"/>
                <w:b/>
                <w:sz w:val="22"/>
                <w:szCs w:val="22"/>
              </w:rPr>
            </w:pPr>
            <w:r w:rsidRPr="00FA56F8">
              <w:rPr>
                <w:rFonts w:cs="Arial"/>
                <w:b/>
                <w:sz w:val="22"/>
                <w:szCs w:val="22"/>
              </w:rPr>
              <w:lastRenderedPageBreak/>
              <w:t>Term</w:t>
            </w:r>
          </w:p>
        </w:tc>
        <w:tc>
          <w:tcPr>
            <w:tcW w:w="4216" w:type="dxa"/>
          </w:tcPr>
          <w:p w14:paraId="49FE6651" w14:textId="77777777" w:rsidR="00370E7C" w:rsidRPr="00FA56F8" w:rsidRDefault="00370E7C" w:rsidP="00271849">
            <w:pPr>
              <w:spacing w:line="360" w:lineRule="auto"/>
              <w:rPr>
                <w:rFonts w:cs="Arial"/>
                <w:b/>
                <w:sz w:val="22"/>
                <w:szCs w:val="22"/>
              </w:rPr>
            </w:pPr>
            <w:r w:rsidRPr="00FA56F8">
              <w:rPr>
                <w:rFonts w:cs="Arial"/>
                <w:b/>
                <w:sz w:val="22"/>
                <w:szCs w:val="22"/>
              </w:rPr>
              <w:t xml:space="preserve">Definition </w:t>
            </w:r>
          </w:p>
        </w:tc>
        <w:tc>
          <w:tcPr>
            <w:tcW w:w="2268" w:type="dxa"/>
          </w:tcPr>
          <w:p w14:paraId="3FA7FF80" w14:textId="77777777" w:rsidR="00370E7C" w:rsidRPr="00FA56F8" w:rsidRDefault="00370E7C" w:rsidP="00271849">
            <w:pPr>
              <w:spacing w:line="360" w:lineRule="auto"/>
              <w:rPr>
                <w:rFonts w:cs="Arial"/>
                <w:b/>
                <w:sz w:val="22"/>
                <w:szCs w:val="22"/>
              </w:rPr>
            </w:pPr>
            <w:r w:rsidRPr="00FA56F8">
              <w:rPr>
                <w:rFonts w:cs="Arial"/>
                <w:b/>
                <w:sz w:val="22"/>
                <w:szCs w:val="22"/>
              </w:rPr>
              <w:t xml:space="preserve">Reference </w:t>
            </w:r>
          </w:p>
        </w:tc>
      </w:tr>
      <w:tr w:rsidR="00370E7C" w:rsidRPr="00FA56F8" w14:paraId="39B82A85" w14:textId="77777777" w:rsidTr="00271849">
        <w:tc>
          <w:tcPr>
            <w:tcW w:w="3723" w:type="dxa"/>
          </w:tcPr>
          <w:p w14:paraId="7BA3A86D" w14:textId="77777777" w:rsidR="00370E7C" w:rsidRPr="00FA56F8" w:rsidRDefault="00370E7C" w:rsidP="00271849">
            <w:pPr>
              <w:spacing w:line="360" w:lineRule="auto"/>
              <w:rPr>
                <w:rFonts w:cs="Arial"/>
                <w:sz w:val="22"/>
                <w:szCs w:val="22"/>
              </w:rPr>
            </w:pPr>
            <w:r w:rsidRPr="00FA56F8">
              <w:rPr>
                <w:rFonts w:cs="Arial"/>
                <w:sz w:val="22"/>
                <w:szCs w:val="22"/>
              </w:rPr>
              <w:t xml:space="preserve">Convenience sampling </w:t>
            </w:r>
          </w:p>
        </w:tc>
        <w:tc>
          <w:tcPr>
            <w:tcW w:w="4216" w:type="dxa"/>
          </w:tcPr>
          <w:p w14:paraId="50816418" w14:textId="77777777" w:rsidR="00370E7C" w:rsidRPr="00FA56F8" w:rsidRDefault="00370E7C" w:rsidP="00271849">
            <w:pPr>
              <w:spacing w:line="360" w:lineRule="auto"/>
              <w:rPr>
                <w:rFonts w:cs="Arial"/>
                <w:sz w:val="22"/>
                <w:szCs w:val="22"/>
              </w:rPr>
            </w:pPr>
            <w:r w:rsidRPr="00FA56F8">
              <w:rPr>
                <w:rFonts w:cs="Arial"/>
                <w:sz w:val="22"/>
                <w:szCs w:val="22"/>
              </w:rPr>
              <w:t xml:space="preserve">Sampling method whereby participants are selected based on being close at hand to the researcher. </w:t>
            </w:r>
          </w:p>
        </w:tc>
        <w:tc>
          <w:tcPr>
            <w:tcW w:w="2268" w:type="dxa"/>
          </w:tcPr>
          <w:p w14:paraId="0EE9C85C"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67621138" w14:textId="77777777" w:rsidTr="00271849">
        <w:tc>
          <w:tcPr>
            <w:tcW w:w="3723" w:type="dxa"/>
          </w:tcPr>
          <w:p w14:paraId="6943F386" w14:textId="77777777" w:rsidR="00370E7C" w:rsidRPr="00FA56F8" w:rsidRDefault="00370E7C" w:rsidP="00271849">
            <w:pPr>
              <w:spacing w:line="360" w:lineRule="auto"/>
              <w:rPr>
                <w:rFonts w:cs="Arial"/>
                <w:sz w:val="22"/>
                <w:szCs w:val="22"/>
              </w:rPr>
            </w:pPr>
            <w:r w:rsidRPr="00FA56F8">
              <w:rPr>
                <w:rFonts w:cs="Arial"/>
                <w:sz w:val="22"/>
                <w:szCs w:val="22"/>
              </w:rPr>
              <w:t xml:space="preserve">Descriptive phenomenology </w:t>
            </w:r>
          </w:p>
        </w:tc>
        <w:tc>
          <w:tcPr>
            <w:tcW w:w="4216" w:type="dxa"/>
          </w:tcPr>
          <w:p w14:paraId="6EE25942" w14:textId="77777777" w:rsidR="00370E7C" w:rsidRPr="00FA56F8" w:rsidRDefault="00370E7C" w:rsidP="00271849">
            <w:pPr>
              <w:spacing w:line="360" w:lineRule="auto"/>
              <w:rPr>
                <w:rFonts w:cs="Arial"/>
                <w:sz w:val="22"/>
                <w:szCs w:val="22"/>
              </w:rPr>
            </w:pPr>
            <w:r w:rsidRPr="00FA56F8">
              <w:rPr>
                <w:rFonts w:cs="Arial"/>
                <w:sz w:val="22"/>
                <w:szCs w:val="22"/>
              </w:rPr>
              <w:t xml:space="preserve">A method to explore and describe the lived experiences of individuals. </w:t>
            </w:r>
          </w:p>
        </w:tc>
        <w:tc>
          <w:tcPr>
            <w:tcW w:w="2268" w:type="dxa"/>
          </w:tcPr>
          <w:p w14:paraId="7C87234C"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7BBEEAE9" w14:textId="77777777" w:rsidTr="00271849">
        <w:tc>
          <w:tcPr>
            <w:tcW w:w="3723" w:type="dxa"/>
          </w:tcPr>
          <w:p w14:paraId="383B7FDD" w14:textId="77777777" w:rsidR="00370E7C" w:rsidRPr="00FA56F8" w:rsidRDefault="00370E7C" w:rsidP="00271849">
            <w:pPr>
              <w:spacing w:line="360" w:lineRule="auto"/>
              <w:rPr>
                <w:rFonts w:cs="Arial"/>
                <w:sz w:val="22"/>
                <w:szCs w:val="22"/>
              </w:rPr>
            </w:pPr>
            <w:r w:rsidRPr="00FA56F8">
              <w:rPr>
                <w:rFonts w:cs="Arial"/>
                <w:sz w:val="22"/>
                <w:szCs w:val="22"/>
              </w:rPr>
              <w:t>Dysphagia</w:t>
            </w:r>
          </w:p>
        </w:tc>
        <w:tc>
          <w:tcPr>
            <w:tcW w:w="4216" w:type="dxa"/>
          </w:tcPr>
          <w:p w14:paraId="5DA5180D" w14:textId="77777777" w:rsidR="00370E7C" w:rsidRPr="00FA56F8" w:rsidRDefault="00370E7C" w:rsidP="00271849">
            <w:pPr>
              <w:spacing w:line="360" w:lineRule="auto"/>
              <w:rPr>
                <w:rFonts w:cs="Arial"/>
                <w:sz w:val="22"/>
                <w:szCs w:val="22"/>
              </w:rPr>
            </w:pPr>
            <w:r w:rsidRPr="00FA56F8">
              <w:rPr>
                <w:rFonts w:cs="Arial"/>
                <w:sz w:val="22"/>
                <w:szCs w:val="22"/>
              </w:rPr>
              <w:t>Medical term for swallowing difficulties.</w:t>
            </w:r>
          </w:p>
        </w:tc>
        <w:tc>
          <w:tcPr>
            <w:tcW w:w="2268" w:type="dxa"/>
          </w:tcPr>
          <w:p w14:paraId="2198919A" w14:textId="77777777" w:rsidR="00370E7C" w:rsidRPr="00FA56F8" w:rsidRDefault="00370E7C" w:rsidP="00271849">
            <w:pPr>
              <w:spacing w:line="360" w:lineRule="auto"/>
              <w:rPr>
                <w:rFonts w:cs="Arial"/>
                <w:sz w:val="22"/>
                <w:szCs w:val="22"/>
              </w:rPr>
            </w:pPr>
            <w:r w:rsidRPr="00FA56F8">
              <w:rPr>
                <w:rFonts w:cs="Arial"/>
                <w:sz w:val="22"/>
                <w:szCs w:val="22"/>
              </w:rPr>
              <w:t>(Langdon &amp; Blacker, 2010)</w:t>
            </w:r>
          </w:p>
          <w:p w14:paraId="7516837B" w14:textId="77777777" w:rsidR="00370E7C" w:rsidRPr="00FA56F8" w:rsidRDefault="00370E7C" w:rsidP="00271849">
            <w:pPr>
              <w:spacing w:line="360" w:lineRule="auto"/>
              <w:rPr>
                <w:rFonts w:cs="Arial"/>
                <w:sz w:val="22"/>
                <w:szCs w:val="22"/>
              </w:rPr>
            </w:pPr>
          </w:p>
        </w:tc>
      </w:tr>
      <w:tr w:rsidR="00370E7C" w:rsidRPr="00FA56F8" w14:paraId="17EA4F48" w14:textId="77777777" w:rsidTr="00271849">
        <w:tc>
          <w:tcPr>
            <w:tcW w:w="3723" w:type="dxa"/>
          </w:tcPr>
          <w:p w14:paraId="6646D5C4" w14:textId="77777777" w:rsidR="00370E7C" w:rsidRPr="00FA56F8" w:rsidRDefault="00370E7C" w:rsidP="00271849">
            <w:pPr>
              <w:spacing w:line="360" w:lineRule="auto"/>
              <w:rPr>
                <w:rFonts w:cs="Arial"/>
                <w:sz w:val="22"/>
                <w:szCs w:val="22"/>
              </w:rPr>
            </w:pPr>
            <w:r w:rsidRPr="00FA56F8">
              <w:rPr>
                <w:rFonts w:cs="Arial"/>
                <w:sz w:val="22"/>
                <w:szCs w:val="22"/>
              </w:rPr>
              <w:t xml:space="preserve">Ethnography </w:t>
            </w:r>
          </w:p>
        </w:tc>
        <w:tc>
          <w:tcPr>
            <w:tcW w:w="4216" w:type="dxa"/>
          </w:tcPr>
          <w:p w14:paraId="4683BA69" w14:textId="77777777" w:rsidR="00370E7C" w:rsidRPr="00FA56F8" w:rsidRDefault="00370E7C" w:rsidP="00271849">
            <w:pPr>
              <w:spacing w:line="360" w:lineRule="auto"/>
              <w:rPr>
                <w:rFonts w:cs="Arial"/>
                <w:sz w:val="22"/>
                <w:szCs w:val="22"/>
              </w:rPr>
            </w:pPr>
            <w:r w:rsidRPr="00FA56F8">
              <w:rPr>
                <w:rFonts w:cs="Arial"/>
                <w:sz w:val="22"/>
                <w:szCs w:val="22"/>
              </w:rPr>
              <w:t xml:space="preserve">The study of individuals ad their culture, including customs, beliefs, habits, and mutual differences. </w:t>
            </w:r>
          </w:p>
        </w:tc>
        <w:tc>
          <w:tcPr>
            <w:tcW w:w="2268" w:type="dxa"/>
          </w:tcPr>
          <w:p w14:paraId="469331CD" w14:textId="77777777" w:rsidR="00370E7C" w:rsidRPr="00FA56F8" w:rsidRDefault="00370E7C" w:rsidP="00271849">
            <w:pPr>
              <w:spacing w:line="360" w:lineRule="auto"/>
              <w:rPr>
                <w:rFonts w:cs="Arial"/>
                <w:sz w:val="22"/>
                <w:szCs w:val="22"/>
              </w:rPr>
            </w:pPr>
            <w:r w:rsidRPr="00FA56F8">
              <w:rPr>
                <w:rFonts w:cs="Arial"/>
                <w:sz w:val="22"/>
                <w:szCs w:val="22"/>
              </w:rPr>
              <w:t xml:space="preserve">(Aveyard, 2019)  </w:t>
            </w:r>
          </w:p>
        </w:tc>
      </w:tr>
      <w:tr w:rsidR="00370E7C" w:rsidRPr="00FA56F8" w14:paraId="7A91460B" w14:textId="77777777" w:rsidTr="00271849">
        <w:tc>
          <w:tcPr>
            <w:tcW w:w="3723" w:type="dxa"/>
          </w:tcPr>
          <w:p w14:paraId="12F02D6A" w14:textId="77777777" w:rsidR="00370E7C" w:rsidRPr="00FA56F8" w:rsidRDefault="00370E7C" w:rsidP="00271849">
            <w:pPr>
              <w:spacing w:line="360" w:lineRule="auto"/>
              <w:rPr>
                <w:rFonts w:cs="Arial"/>
                <w:sz w:val="22"/>
                <w:szCs w:val="22"/>
              </w:rPr>
            </w:pPr>
            <w:r w:rsidRPr="00FA56F8">
              <w:rPr>
                <w:rFonts w:cs="Arial"/>
                <w:sz w:val="22"/>
                <w:szCs w:val="22"/>
              </w:rPr>
              <w:t xml:space="preserve">Grounded theory </w:t>
            </w:r>
          </w:p>
        </w:tc>
        <w:tc>
          <w:tcPr>
            <w:tcW w:w="4216" w:type="dxa"/>
          </w:tcPr>
          <w:p w14:paraId="230AEE16" w14:textId="77777777" w:rsidR="00370E7C" w:rsidRPr="00FA56F8" w:rsidRDefault="00370E7C" w:rsidP="00271849">
            <w:pPr>
              <w:spacing w:line="360" w:lineRule="auto"/>
              <w:rPr>
                <w:rFonts w:cs="Arial"/>
                <w:sz w:val="22"/>
                <w:szCs w:val="22"/>
              </w:rPr>
            </w:pPr>
            <w:r w:rsidRPr="00FA56F8">
              <w:rPr>
                <w:rFonts w:cs="Arial"/>
                <w:sz w:val="22"/>
                <w:szCs w:val="22"/>
              </w:rPr>
              <w:t xml:space="preserve">A qualitative methodology that enables researchers to generate theory. </w:t>
            </w:r>
          </w:p>
        </w:tc>
        <w:tc>
          <w:tcPr>
            <w:tcW w:w="2268" w:type="dxa"/>
          </w:tcPr>
          <w:p w14:paraId="755C8CC5" w14:textId="77777777" w:rsidR="00370E7C" w:rsidRPr="00FA56F8" w:rsidRDefault="00370E7C" w:rsidP="00271849">
            <w:pPr>
              <w:spacing w:line="360" w:lineRule="auto"/>
              <w:rPr>
                <w:rFonts w:cs="Arial"/>
                <w:sz w:val="22"/>
                <w:szCs w:val="22"/>
              </w:rPr>
            </w:pPr>
            <w:r w:rsidRPr="00FA56F8">
              <w:rPr>
                <w:rFonts w:cs="Arial"/>
                <w:sz w:val="22"/>
                <w:szCs w:val="22"/>
              </w:rPr>
              <w:t xml:space="preserve">(Aveyard, 2019) </w:t>
            </w:r>
          </w:p>
        </w:tc>
      </w:tr>
      <w:tr w:rsidR="00370E7C" w:rsidRPr="00FA56F8" w14:paraId="1F96D719" w14:textId="77777777" w:rsidTr="00271849">
        <w:tc>
          <w:tcPr>
            <w:tcW w:w="3723" w:type="dxa"/>
          </w:tcPr>
          <w:p w14:paraId="3239042A" w14:textId="77777777" w:rsidR="00370E7C" w:rsidRPr="00FA56F8" w:rsidRDefault="00370E7C" w:rsidP="00271849">
            <w:pPr>
              <w:spacing w:line="360" w:lineRule="auto"/>
              <w:rPr>
                <w:rFonts w:cs="Arial"/>
                <w:sz w:val="22"/>
                <w:szCs w:val="22"/>
              </w:rPr>
            </w:pPr>
            <w:r w:rsidRPr="00FA56F8">
              <w:rPr>
                <w:rFonts w:cs="Arial"/>
                <w:sz w:val="22"/>
                <w:szCs w:val="22"/>
              </w:rPr>
              <w:t xml:space="preserve">Interpretivism </w:t>
            </w:r>
          </w:p>
        </w:tc>
        <w:tc>
          <w:tcPr>
            <w:tcW w:w="4216" w:type="dxa"/>
          </w:tcPr>
          <w:p w14:paraId="506195F3" w14:textId="56E8721E" w:rsidR="00370E7C" w:rsidRPr="00FA56F8" w:rsidRDefault="00370E7C" w:rsidP="00271849">
            <w:pPr>
              <w:spacing w:line="360" w:lineRule="auto"/>
              <w:rPr>
                <w:rFonts w:cs="Arial"/>
                <w:sz w:val="22"/>
                <w:szCs w:val="22"/>
              </w:rPr>
            </w:pPr>
            <w:r w:rsidRPr="00FA56F8">
              <w:rPr>
                <w:rFonts w:cs="Arial"/>
                <w:sz w:val="22"/>
                <w:szCs w:val="22"/>
              </w:rPr>
              <w:t xml:space="preserve">An approach that studies humans in terms of their subjective experiences, views, </w:t>
            </w:r>
            <w:r w:rsidR="000D12EE" w:rsidRPr="00FA56F8">
              <w:rPr>
                <w:rFonts w:cs="Arial"/>
                <w:sz w:val="22"/>
                <w:szCs w:val="22"/>
              </w:rPr>
              <w:t>opinions,</w:t>
            </w:r>
            <w:r w:rsidRPr="00FA56F8">
              <w:rPr>
                <w:rFonts w:cs="Arial"/>
                <w:sz w:val="22"/>
                <w:szCs w:val="22"/>
              </w:rPr>
              <w:t xml:space="preserve"> and emotions. </w:t>
            </w:r>
          </w:p>
        </w:tc>
        <w:tc>
          <w:tcPr>
            <w:tcW w:w="2268" w:type="dxa"/>
          </w:tcPr>
          <w:p w14:paraId="4AC26B2F" w14:textId="77777777" w:rsidR="00370E7C" w:rsidRPr="00FA56F8" w:rsidRDefault="00370E7C" w:rsidP="00271849">
            <w:pPr>
              <w:spacing w:line="360" w:lineRule="auto"/>
              <w:rPr>
                <w:rFonts w:cs="Arial"/>
                <w:sz w:val="22"/>
                <w:szCs w:val="22"/>
              </w:rPr>
            </w:pPr>
            <w:r w:rsidRPr="00FA56F8">
              <w:rPr>
                <w:rFonts w:cs="Arial"/>
                <w:sz w:val="22"/>
                <w:szCs w:val="22"/>
              </w:rPr>
              <w:t xml:space="preserve">(Aveyard, 2019) </w:t>
            </w:r>
          </w:p>
        </w:tc>
      </w:tr>
      <w:tr w:rsidR="00370E7C" w:rsidRPr="00FA56F8" w14:paraId="1657A526" w14:textId="77777777" w:rsidTr="00271849">
        <w:tc>
          <w:tcPr>
            <w:tcW w:w="3723" w:type="dxa"/>
          </w:tcPr>
          <w:p w14:paraId="78C69892" w14:textId="77777777" w:rsidR="00370E7C" w:rsidRPr="00FA56F8" w:rsidRDefault="00370E7C" w:rsidP="00271849">
            <w:pPr>
              <w:spacing w:line="360" w:lineRule="auto"/>
              <w:rPr>
                <w:rFonts w:cs="Arial"/>
                <w:sz w:val="22"/>
                <w:szCs w:val="22"/>
              </w:rPr>
            </w:pPr>
            <w:r w:rsidRPr="00FA56F8">
              <w:rPr>
                <w:rFonts w:cs="Arial"/>
                <w:sz w:val="22"/>
                <w:szCs w:val="22"/>
              </w:rPr>
              <w:t xml:space="preserve">Interpretive phenomenological analysis </w:t>
            </w:r>
          </w:p>
        </w:tc>
        <w:tc>
          <w:tcPr>
            <w:tcW w:w="4216" w:type="dxa"/>
          </w:tcPr>
          <w:p w14:paraId="75D8059B" w14:textId="77777777" w:rsidR="00370E7C" w:rsidRPr="00FA56F8" w:rsidRDefault="00370E7C" w:rsidP="00271849">
            <w:pPr>
              <w:spacing w:line="360" w:lineRule="auto"/>
              <w:rPr>
                <w:rFonts w:cs="Arial"/>
                <w:sz w:val="22"/>
                <w:szCs w:val="22"/>
              </w:rPr>
            </w:pPr>
            <w:r w:rsidRPr="00FA56F8">
              <w:rPr>
                <w:rFonts w:cs="Arial"/>
                <w:sz w:val="22"/>
                <w:szCs w:val="22"/>
              </w:rPr>
              <w:t xml:space="preserve">Form of qualitative data analysis that seeks to provide detailed examinations of personal lived experiences. </w:t>
            </w:r>
          </w:p>
        </w:tc>
        <w:tc>
          <w:tcPr>
            <w:tcW w:w="2268" w:type="dxa"/>
          </w:tcPr>
          <w:p w14:paraId="7B5C1326"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22BCA150" w14:textId="77777777" w:rsidTr="00271849">
        <w:tc>
          <w:tcPr>
            <w:tcW w:w="3723" w:type="dxa"/>
          </w:tcPr>
          <w:p w14:paraId="3B675E86" w14:textId="77777777" w:rsidR="00370E7C" w:rsidRPr="00FA56F8" w:rsidRDefault="00370E7C" w:rsidP="00271849">
            <w:pPr>
              <w:spacing w:line="360" w:lineRule="auto"/>
              <w:rPr>
                <w:rFonts w:cs="Arial"/>
                <w:sz w:val="22"/>
                <w:szCs w:val="22"/>
              </w:rPr>
            </w:pPr>
            <w:r w:rsidRPr="00FA56F8">
              <w:rPr>
                <w:rFonts w:cs="Arial"/>
                <w:sz w:val="22"/>
                <w:szCs w:val="22"/>
              </w:rPr>
              <w:t xml:space="preserve">Interpretivist phenomenology </w:t>
            </w:r>
          </w:p>
        </w:tc>
        <w:tc>
          <w:tcPr>
            <w:tcW w:w="4216" w:type="dxa"/>
          </w:tcPr>
          <w:p w14:paraId="07A20B9B" w14:textId="77777777" w:rsidR="00370E7C" w:rsidRPr="00FA56F8" w:rsidRDefault="00370E7C" w:rsidP="00271849">
            <w:pPr>
              <w:spacing w:line="360" w:lineRule="auto"/>
              <w:rPr>
                <w:rFonts w:cs="Arial"/>
                <w:sz w:val="22"/>
                <w:szCs w:val="22"/>
              </w:rPr>
            </w:pPr>
            <w:r w:rsidRPr="00FA56F8">
              <w:rPr>
                <w:rFonts w:cs="Arial"/>
                <w:sz w:val="22"/>
                <w:szCs w:val="22"/>
              </w:rPr>
              <w:t xml:space="preserve">A method to explore and understand the lived experiences of individuals. </w:t>
            </w:r>
          </w:p>
        </w:tc>
        <w:tc>
          <w:tcPr>
            <w:tcW w:w="2268" w:type="dxa"/>
          </w:tcPr>
          <w:p w14:paraId="6EA3F360" w14:textId="77777777" w:rsidR="00370E7C" w:rsidRPr="00FA56F8" w:rsidRDefault="00370E7C" w:rsidP="00271849">
            <w:pPr>
              <w:spacing w:line="360" w:lineRule="auto"/>
              <w:rPr>
                <w:rFonts w:cs="Arial"/>
                <w:sz w:val="22"/>
                <w:szCs w:val="22"/>
              </w:rPr>
            </w:pPr>
            <w:r w:rsidRPr="00FA56F8">
              <w:rPr>
                <w:rFonts w:cs="Arial"/>
                <w:sz w:val="22"/>
                <w:szCs w:val="22"/>
              </w:rPr>
              <w:t>(Bryman, 2008)</w:t>
            </w:r>
          </w:p>
        </w:tc>
      </w:tr>
      <w:tr w:rsidR="00370E7C" w:rsidRPr="00FA56F8" w14:paraId="105F6743" w14:textId="77777777" w:rsidTr="00271849">
        <w:tc>
          <w:tcPr>
            <w:tcW w:w="3723" w:type="dxa"/>
          </w:tcPr>
          <w:p w14:paraId="39854238" w14:textId="77777777" w:rsidR="00370E7C" w:rsidRPr="00FA56F8" w:rsidRDefault="00370E7C" w:rsidP="00271849">
            <w:pPr>
              <w:spacing w:line="360" w:lineRule="auto"/>
              <w:rPr>
                <w:rFonts w:cs="Arial"/>
                <w:sz w:val="22"/>
                <w:szCs w:val="22"/>
              </w:rPr>
            </w:pPr>
            <w:r w:rsidRPr="00FA56F8">
              <w:rPr>
                <w:rFonts w:cs="Arial"/>
                <w:sz w:val="22"/>
                <w:szCs w:val="22"/>
              </w:rPr>
              <w:t xml:space="preserve">Inter-subjective reflexivity </w:t>
            </w:r>
          </w:p>
        </w:tc>
        <w:tc>
          <w:tcPr>
            <w:tcW w:w="4216" w:type="dxa"/>
          </w:tcPr>
          <w:p w14:paraId="484A351C" w14:textId="77777777" w:rsidR="00370E7C" w:rsidRPr="00FA56F8" w:rsidRDefault="00370E7C" w:rsidP="00271849">
            <w:pPr>
              <w:spacing w:line="360" w:lineRule="auto"/>
              <w:rPr>
                <w:rFonts w:cs="Arial"/>
                <w:sz w:val="22"/>
                <w:szCs w:val="22"/>
              </w:rPr>
            </w:pPr>
            <w:r w:rsidRPr="00FA56F8">
              <w:rPr>
                <w:rStyle w:val="xs1"/>
                <w:rFonts w:cs="Arial"/>
                <w:sz w:val="22"/>
                <w:szCs w:val="22"/>
                <w:bdr w:val="none" w:sz="0" w:space="0" w:color="auto" w:frame="1"/>
              </w:rPr>
              <w:t xml:space="preserve">How the relationship between the participant and researcher may influence the research. </w:t>
            </w:r>
          </w:p>
        </w:tc>
        <w:tc>
          <w:tcPr>
            <w:tcW w:w="2268" w:type="dxa"/>
          </w:tcPr>
          <w:p w14:paraId="61E45A0C"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76D0EE93" w14:textId="77777777" w:rsidTr="00271849">
        <w:tc>
          <w:tcPr>
            <w:tcW w:w="3723" w:type="dxa"/>
          </w:tcPr>
          <w:p w14:paraId="37093435" w14:textId="77777777" w:rsidR="00370E7C" w:rsidRPr="00FA56F8" w:rsidRDefault="00370E7C" w:rsidP="00271849">
            <w:pPr>
              <w:spacing w:line="360" w:lineRule="auto"/>
              <w:rPr>
                <w:rFonts w:cs="Arial"/>
                <w:sz w:val="22"/>
                <w:szCs w:val="22"/>
              </w:rPr>
            </w:pPr>
            <w:r w:rsidRPr="00FA56F8">
              <w:rPr>
                <w:rFonts w:cs="Arial"/>
                <w:sz w:val="22"/>
                <w:szCs w:val="22"/>
              </w:rPr>
              <w:t xml:space="preserve">Maximum variation sampling </w:t>
            </w:r>
          </w:p>
        </w:tc>
        <w:tc>
          <w:tcPr>
            <w:tcW w:w="4216" w:type="dxa"/>
          </w:tcPr>
          <w:p w14:paraId="772497F0" w14:textId="77777777" w:rsidR="00370E7C" w:rsidRPr="00FA56F8" w:rsidRDefault="00370E7C" w:rsidP="00271849">
            <w:pPr>
              <w:spacing w:line="360" w:lineRule="auto"/>
              <w:rPr>
                <w:rFonts w:cs="Arial"/>
                <w:sz w:val="22"/>
                <w:szCs w:val="22"/>
              </w:rPr>
            </w:pPr>
            <w:r w:rsidRPr="00FA56F8">
              <w:rPr>
                <w:rFonts w:cs="Arial"/>
                <w:sz w:val="22"/>
                <w:szCs w:val="22"/>
              </w:rPr>
              <w:t xml:space="preserve">Sampling method whereby researcher attempts to collect participants from the widest range of perspectives on a certain topic. </w:t>
            </w:r>
          </w:p>
        </w:tc>
        <w:tc>
          <w:tcPr>
            <w:tcW w:w="2268" w:type="dxa"/>
          </w:tcPr>
          <w:p w14:paraId="51E5C55A"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2AB8893C" w14:textId="77777777" w:rsidTr="00271849">
        <w:tc>
          <w:tcPr>
            <w:tcW w:w="3723" w:type="dxa"/>
          </w:tcPr>
          <w:p w14:paraId="485D7849" w14:textId="77777777" w:rsidR="00370E7C" w:rsidRPr="00FA56F8" w:rsidRDefault="00370E7C" w:rsidP="00271849">
            <w:pPr>
              <w:spacing w:line="360" w:lineRule="auto"/>
              <w:rPr>
                <w:rFonts w:cs="Arial"/>
                <w:sz w:val="22"/>
                <w:szCs w:val="22"/>
              </w:rPr>
            </w:pPr>
            <w:r w:rsidRPr="00FA56F8">
              <w:rPr>
                <w:rFonts w:cs="Arial"/>
                <w:sz w:val="22"/>
                <w:szCs w:val="22"/>
              </w:rPr>
              <w:lastRenderedPageBreak/>
              <w:t>Oropharyngeal dysphagia</w:t>
            </w:r>
          </w:p>
        </w:tc>
        <w:tc>
          <w:tcPr>
            <w:tcW w:w="4216" w:type="dxa"/>
          </w:tcPr>
          <w:p w14:paraId="44DC5E2A" w14:textId="67A53143" w:rsidR="00370E7C" w:rsidRPr="00FA56F8" w:rsidRDefault="00370E7C" w:rsidP="00271849">
            <w:pPr>
              <w:spacing w:line="360" w:lineRule="auto"/>
              <w:rPr>
                <w:rFonts w:cs="Arial"/>
                <w:sz w:val="22"/>
                <w:szCs w:val="22"/>
              </w:rPr>
            </w:pPr>
            <w:r w:rsidRPr="00FA56F8">
              <w:rPr>
                <w:rFonts w:cs="Arial"/>
                <w:sz w:val="22"/>
                <w:szCs w:val="22"/>
              </w:rPr>
              <w:t>Swallowing difficulty occurring in</w:t>
            </w:r>
            <w:r w:rsidR="000D12EE">
              <w:rPr>
                <w:rFonts w:cs="Arial"/>
                <w:sz w:val="22"/>
                <w:szCs w:val="22"/>
              </w:rPr>
              <w:t xml:space="preserve"> the</w:t>
            </w:r>
            <w:r w:rsidRPr="00FA56F8">
              <w:rPr>
                <w:rFonts w:cs="Arial"/>
                <w:sz w:val="22"/>
                <w:szCs w:val="22"/>
              </w:rPr>
              <w:t xml:space="preserve"> mouth and/or throat.</w:t>
            </w:r>
          </w:p>
        </w:tc>
        <w:tc>
          <w:tcPr>
            <w:tcW w:w="2268" w:type="dxa"/>
          </w:tcPr>
          <w:p w14:paraId="55153C56" w14:textId="77777777" w:rsidR="00370E7C" w:rsidRPr="00FA56F8" w:rsidRDefault="00370E7C" w:rsidP="00271849">
            <w:pPr>
              <w:spacing w:line="360" w:lineRule="auto"/>
              <w:rPr>
                <w:rFonts w:cs="Arial"/>
                <w:sz w:val="22"/>
                <w:szCs w:val="22"/>
              </w:rPr>
            </w:pPr>
            <w:r w:rsidRPr="00FA56F8">
              <w:rPr>
                <w:rFonts w:cs="Arial"/>
                <w:sz w:val="22"/>
                <w:szCs w:val="22"/>
              </w:rPr>
              <w:t>(Moloney &amp; Walshe, 2017)</w:t>
            </w:r>
          </w:p>
        </w:tc>
      </w:tr>
      <w:tr w:rsidR="00370E7C" w:rsidRPr="00FA56F8" w14:paraId="72855A94" w14:textId="77777777" w:rsidTr="00271849">
        <w:tc>
          <w:tcPr>
            <w:tcW w:w="3723" w:type="dxa"/>
          </w:tcPr>
          <w:p w14:paraId="04757C0C" w14:textId="77777777" w:rsidR="00370E7C" w:rsidRPr="00FA56F8" w:rsidRDefault="00370E7C" w:rsidP="00271849">
            <w:pPr>
              <w:spacing w:line="360" w:lineRule="auto"/>
              <w:rPr>
                <w:rFonts w:cs="Arial"/>
                <w:sz w:val="22"/>
                <w:szCs w:val="22"/>
              </w:rPr>
            </w:pPr>
            <w:r w:rsidRPr="00FA56F8">
              <w:rPr>
                <w:rFonts w:cs="Arial"/>
                <w:sz w:val="22"/>
                <w:szCs w:val="22"/>
              </w:rPr>
              <w:t xml:space="preserve">Phenomenology </w:t>
            </w:r>
          </w:p>
        </w:tc>
        <w:tc>
          <w:tcPr>
            <w:tcW w:w="4216" w:type="dxa"/>
          </w:tcPr>
          <w:p w14:paraId="2A248325" w14:textId="4B8435A8" w:rsidR="00370E7C" w:rsidRPr="00FA56F8" w:rsidRDefault="00370E7C" w:rsidP="00271849">
            <w:pPr>
              <w:spacing w:line="360" w:lineRule="auto"/>
              <w:rPr>
                <w:rFonts w:cs="Arial"/>
                <w:sz w:val="22"/>
                <w:szCs w:val="22"/>
              </w:rPr>
            </w:pPr>
            <w:r w:rsidRPr="00FA56F8">
              <w:rPr>
                <w:rFonts w:cs="Arial"/>
                <w:sz w:val="22"/>
                <w:szCs w:val="22"/>
              </w:rPr>
              <w:t>Study of lived experiences</w:t>
            </w:r>
            <w:r w:rsidR="000D12EE">
              <w:rPr>
                <w:rFonts w:cs="Arial"/>
                <w:sz w:val="22"/>
                <w:szCs w:val="22"/>
              </w:rPr>
              <w:t>.</w:t>
            </w:r>
          </w:p>
        </w:tc>
        <w:tc>
          <w:tcPr>
            <w:tcW w:w="2268" w:type="dxa"/>
          </w:tcPr>
          <w:p w14:paraId="55C7F16A" w14:textId="77777777" w:rsidR="00370E7C" w:rsidRPr="00FA56F8" w:rsidRDefault="00370E7C" w:rsidP="00271849">
            <w:pPr>
              <w:spacing w:line="360" w:lineRule="auto"/>
              <w:rPr>
                <w:rFonts w:cs="Arial"/>
                <w:sz w:val="22"/>
                <w:szCs w:val="22"/>
              </w:rPr>
            </w:pPr>
            <w:r w:rsidRPr="00FA56F8">
              <w:rPr>
                <w:rFonts w:cs="Arial"/>
                <w:sz w:val="22"/>
                <w:szCs w:val="22"/>
              </w:rPr>
              <w:t xml:space="preserve">(Aveyard, 2019) </w:t>
            </w:r>
          </w:p>
        </w:tc>
      </w:tr>
      <w:tr w:rsidR="00370E7C" w:rsidRPr="00FA56F8" w14:paraId="63C989BA" w14:textId="77777777" w:rsidTr="00271849">
        <w:tc>
          <w:tcPr>
            <w:tcW w:w="3723" w:type="dxa"/>
          </w:tcPr>
          <w:p w14:paraId="00F0CF43" w14:textId="77777777" w:rsidR="00370E7C" w:rsidRPr="00FA56F8" w:rsidRDefault="00370E7C" w:rsidP="00271849">
            <w:pPr>
              <w:spacing w:line="360" w:lineRule="auto"/>
              <w:rPr>
                <w:rFonts w:cs="Arial"/>
                <w:sz w:val="22"/>
                <w:szCs w:val="22"/>
              </w:rPr>
            </w:pPr>
            <w:r w:rsidRPr="00FA56F8">
              <w:rPr>
                <w:rFonts w:cs="Arial"/>
                <w:sz w:val="22"/>
                <w:szCs w:val="22"/>
              </w:rPr>
              <w:t xml:space="preserve">Purposeful sampling </w:t>
            </w:r>
          </w:p>
        </w:tc>
        <w:tc>
          <w:tcPr>
            <w:tcW w:w="4216" w:type="dxa"/>
          </w:tcPr>
          <w:p w14:paraId="314BFB9B" w14:textId="582FF59A" w:rsidR="00370E7C" w:rsidRPr="00FA56F8" w:rsidRDefault="00370E7C" w:rsidP="00271849">
            <w:pPr>
              <w:spacing w:line="360" w:lineRule="auto"/>
              <w:rPr>
                <w:rFonts w:cs="Arial"/>
                <w:sz w:val="22"/>
                <w:szCs w:val="22"/>
              </w:rPr>
            </w:pPr>
            <w:r w:rsidRPr="00FA56F8">
              <w:rPr>
                <w:rFonts w:cs="Arial"/>
                <w:sz w:val="22"/>
                <w:szCs w:val="22"/>
              </w:rPr>
              <w:t xml:space="preserve">Sampling method whereby participants are selected based on meeting a </w:t>
            </w:r>
            <w:r w:rsidR="000D12EE" w:rsidRPr="00FA56F8">
              <w:rPr>
                <w:rFonts w:cs="Arial"/>
                <w:sz w:val="22"/>
                <w:szCs w:val="22"/>
              </w:rPr>
              <w:t>certain characteristic</w:t>
            </w:r>
            <w:r w:rsidRPr="00FA56F8">
              <w:rPr>
                <w:rFonts w:cs="Arial"/>
                <w:sz w:val="22"/>
                <w:szCs w:val="22"/>
              </w:rPr>
              <w:t xml:space="preserve">. </w:t>
            </w:r>
          </w:p>
        </w:tc>
        <w:tc>
          <w:tcPr>
            <w:tcW w:w="2268" w:type="dxa"/>
          </w:tcPr>
          <w:p w14:paraId="4B0040FA"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4F3FBE24" w14:textId="77777777" w:rsidTr="00271849">
        <w:tc>
          <w:tcPr>
            <w:tcW w:w="3723" w:type="dxa"/>
          </w:tcPr>
          <w:p w14:paraId="45B59111" w14:textId="77777777" w:rsidR="00370E7C" w:rsidRPr="00FA56F8" w:rsidRDefault="00370E7C" w:rsidP="00271849">
            <w:pPr>
              <w:spacing w:line="360" w:lineRule="auto"/>
              <w:rPr>
                <w:rFonts w:cs="Arial"/>
                <w:sz w:val="22"/>
                <w:szCs w:val="22"/>
              </w:rPr>
            </w:pPr>
            <w:r w:rsidRPr="00FA56F8">
              <w:rPr>
                <w:rFonts w:cs="Arial"/>
                <w:sz w:val="22"/>
                <w:szCs w:val="22"/>
              </w:rPr>
              <w:t>Quality of life</w:t>
            </w:r>
          </w:p>
        </w:tc>
        <w:tc>
          <w:tcPr>
            <w:tcW w:w="4216" w:type="dxa"/>
          </w:tcPr>
          <w:p w14:paraId="618B139D" w14:textId="67910838" w:rsidR="00370E7C" w:rsidRPr="00FA56F8" w:rsidRDefault="00370E7C" w:rsidP="00271849">
            <w:pPr>
              <w:spacing w:line="360" w:lineRule="auto"/>
              <w:rPr>
                <w:rFonts w:cs="Arial"/>
                <w:sz w:val="22"/>
                <w:szCs w:val="22"/>
              </w:rPr>
            </w:pPr>
            <w:r w:rsidRPr="00FA56F8">
              <w:rPr>
                <w:rFonts w:cs="Arial"/>
                <w:sz w:val="22"/>
                <w:szCs w:val="22"/>
              </w:rPr>
              <w:t xml:space="preserve">An individual’s perception of their living with regards to their expectations, concerns, </w:t>
            </w:r>
            <w:r w:rsidR="001F5DCA" w:rsidRPr="00FA56F8">
              <w:rPr>
                <w:rFonts w:cs="Arial"/>
                <w:sz w:val="22"/>
                <w:szCs w:val="22"/>
              </w:rPr>
              <w:t>goals,</w:t>
            </w:r>
            <w:r w:rsidRPr="00FA56F8">
              <w:rPr>
                <w:rFonts w:cs="Arial"/>
                <w:sz w:val="22"/>
                <w:szCs w:val="22"/>
              </w:rPr>
              <w:t xml:space="preserve"> and standards.</w:t>
            </w:r>
          </w:p>
        </w:tc>
        <w:tc>
          <w:tcPr>
            <w:tcW w:w="2268" w:type="dxa"/>
          </w:tcPr>
          <w:p w14:paraId="2F7C5117" w14:textId="7A352D7D" w:rsidR="00370E7C" w:rsidRPr="00FA56F8" w:rsidRDefault="00370E7C" w:rsidP="000B1B9F">
            <w:pPr>
              <w:spacing w:line="360" w:lineRule="auto"/>
              <w:rPr>
                <w:rFonts w:cs="Arial"/>
                <w:sz w:val="22"/>
                <w:szCs w:val="22"/>
              </w:rPr>
            </w:pPr>
            <w:r w:rsidRPr="00FA56F8">
              <w:rPr>
                <w:rFonts w:cs="Arial"/>
                <w:sz w:val="22"/>
                <w:szCs w:val="22"/>
              </w:rPr>
              <w:t>(</w:t>
            </w:r>
            <w:r w:rsidR="00BD2F4E">
              <w:rPr>
                <w:rFonts w:cs="Arial"/>
                <w:sz w:val="22"/>
                <w:szCs w:val="22"/>
              </w:rPr>
              <w:t xml:space="preserve">World Health </w:t>
            </w:r>
            <w:proofErr w:type="spellStart"/>
            <w:r w:rsidR="00BD2F4E">
              <w:rPr>
                <w:rFonts w:cs="Arial"/>
                <w:sz w:val="22"/>
                <w:szCs w:val="22"/>
              </w:rPr>
              <w:t>Organisation</w:t>
            </w:r>
            <w:proofErr w:type="spellEnd"/>
            <w:r w:rsidRPr="00FA56F8">
              <w:rPr>
                <w:rFonts w:cs="Arial"/>
                <w:sz w:val="22"/>
                <w:szCs w:val="22"/>
              </w:rPr>
              <w:t>, 2022a)</w:t>
            </w:r>
          </w:p>
        </w:tc>
      </w:tr>
      <w:tr w:rsidR="00370E7C" w:rsidRPr="00FA56F8" w14:paraId="1B9524E0" w14:textId="77777777" w:rsidTr="00271849">
        <w:tc>
          <w:tcPr>
            <w:tcW w:w="3723" w:type="dxa"/>
          </w:tcPr>
          <w:p w14:paraId="5B6E3C4D" w14:textId="77777777" w:rsidR="00370E7C" w:rsidRPr="00FA56F8" w:rsidRDefault="00370E7C" w:rsidP="00271849">
            <w:pPr>
              <w:spacing w:line="360" w:lineRule="auto"/>
              <w:rPr>
                <w:rFonts w:cs="Arial"/>
                <w:sz w:val="22"/>
                <w:szCs w:val="22"/>
              </w:rPr>
            </w:pPr>
            <w:r w:rsidRPr="00FA56F8">
              <w:rPr>
                <w:rFonts w:cs="Arial"/>
                <w:sz w:val="22"/>
                <w:szCs w:val="22"/>
              </w:rPr>
              <w:t xml:space="preserve">Random selection </w:t>
            </w:r>
          </w:p>
        </w:tc>
        <w:tc>
          <w:tcPr>
            <w:tcW w:w="4216" w:type="dxa"/>
          </w:tcPr>
          <w:p w14:paraId="2F0C2BEB" w14:textId="77777777" w:rsidR="00370E7C" w:rsidRPr="00FA56F8" w:rsidRDefault="00370E7C" w:rsidP="00271849">
            <w:pPr>
              <w:spacing w:line="360" w:lineRule="auto"/>
              <w:rPr>
                <w:rFonts w:cs="Arial"/>
                <w:sz w:val="22"/>
                <w:szCs w:val="22"/>
              </w:rPr>
            </w:pPr>
            <w:r w:rsidRPr="00FA56F8">
              <w:rPr>
                <w:rFonts w:cs="Arial"/>
                <w:sz w:val="22"/>
                <w:szCs w:val="22"/>
              </w:rPr>
              <w:t>Sampling method whereby by participants are selected at random to have an equal opportunity of being selected.</w:t>
            </w:r>
          </w:p>
        </w:tc>
        <w:tc>
          <w:tcPr>
            <w:tcW w:w="2268" w:type="dxa"/>
          </w:tcPr>
          <w:p w14:paraId="00FD96F7"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60EF99D4" w14:textId="77777777" w:rsidTr="00271849">
        <w:tc>
          <w:tcPr>
            <w:tcW w:w="3723" w:type="dxa"/>
          </w:tcPr>
          <w:p w14:paraId="43B4601F" w14:textId="77777777" w:rsidR="00370E7C" w:rsidRPr="00FA56F8" w:rsidRDefault="00370E7C" w:rsidP="00271849">
            <w:pPr>
              <w:spacing w:line="360" w:lineRule="auto"/>
              <w:rPr>
                <w:rFonts w:cs="Arial"/>
                <w:sz w:val="22"/>
                <w:szCs w:val="22"/>
              </w:rPr>
            </w:pPr>
            <w:r w:rsidRPr="00FA56F8">
              <w:rPr>
                <w:rFonts w:cs="Arial"/>
                <w:sz w:val="22"/>
                <w:szCs w:val="22"/>
              </w:rPr>
              <w:t xml:space="preserve">Recall bias </w:t>
            </w:r>
          </w:p>
        </w:tc>
        <w:tc>
          <w:tcPr>
            <w:tcW w:w="4216" w:type="dxa"/>
          </w:tcPr>
          <w:p w14:paraId="79D853D2" w14:textId="77777777" w:rsidR="00370E7C" w:rsidRPr="00FA56F8" w:rsidRDefault="00370E7C" w:rsidP="00271849">
            <w:pPr>
              <w:spacing w:line="360" w:lineRule="auto"/>
              <w:rPr>
                <w:rFonts w:cs="Arial"/>
                <w:sz w:val="22"/>
                <w:szCs w:val="22"/>
              </w:rPr>
            </w:pPr>
            <w:r w:rsidRPr="00FA56F8">
              <w:rPr>
                <w:rFonts w:cs="Arial"/>
                <w:sz w:val="22"/>
                <w:szCs w:val="22"/>
              </w:rPr>
              <w:t xml:space="preserve">Memory impacts what information is remembered.  </w:t>
            </w:r>
          </w:p>
        </w:tc>
        <w:tc>
          <w:tcPr>
            <w:tcW w:w="2268" w:type="dxa"/>
          </w:tcPr>
          <w:p w14:paraId="7B149D9D"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58C99AEE" w14:textId="77777777" w:rsidTr="00271849">
        <w:tc>
          <w:tcPr>
            <w:tcW w:w="3723" w:type="dxa"/>
          </w:tcPr>
          <w:p w14:paraId="62ED355A" w14:textId="77777777" w:rsidR="00370E7C" w:rsidRPr="00FA56F8" w:rsidRDefault="00370E7C" w:rsidP="00271849">
            <w:pPr>
              <w:spacing w:line="360" w:lineRule="auto"/>
              <w:rPr>
                <w:rFonts w:cs="Arial"/>
                <w:sz w:val="22"/>
                <w:szCs w:val="22"/>
              </w:rPr>
            </w:pPr>
            <w:r w:rsidRPr="00FA56F8">
              <w:rPr>
                <w:rFonts w:cs="Arial"/>
                <w:sz w:val="22"/>
                <w:szCs w:val="22"/>
              </w:rPr>
              <w:t xml:space="preserve">Reflexivity </w:t>
            </w:r>
          </w:p>
        </w:tc>
        <w:tc>
          <w:tcPr>
            <w:tcW w:w="4216" w:type="dxa"/>
          </w:tcPr>
          <w:p w14:paraId="4124A7A5" w14:textId="166A0AF2" w:rsidR="00370E7C" w:rsidRPr="00FA56F8" w:rsidRDefault="00370E7C" w:rsidP="00271849">
            <w:pPr>
              <w:spacing w:line="360" w:lineRule="auto"/>
              <w:rPr>
                <w:rFonts w:cs="Arial"/>
                <w:sz w:val="22"/>
                <w:szCs w:val="22"/>
              </w:rPr>
            </w:pPr>
            <w:r w:rsidRPr="00FA56F8">
              <w:rPr>
                <w:rFonts w:cs="Arial"/>
                <w:sz w:val="22"/>
                <w:szCs w:val="22"/>
              </w:rPr>
              <w:t xml:space="preserve">When an individual examines how his or her own experiences, thoughts, </w:t>
            </w:r>
            <w:r w:rsidR="000D12EE" w:rsidRPr="00FA56F8">
              <w:rPr>
                <w:rFonts w:cs="Arial"/>
                <w:sz w:val="22"/>
                <w:szCs w:val="22"/>
              </w:rPr>
              <w:t>opinions,</w:t>
            </w:r>
            <w:r w:rsidRPr="00FA56F8">
              <w:rPr>
                <w:rFonts w:cs="Arial"/>
                <w:sz w:val="22"/>
                <w:szCs w:val="22"/>
              </w:rPr>
              <w:t xml:space="preserve"> and feelings may influence a situation. </w:t>
            </w:r>
          </w:p>
        </w:tc>
        <w:tc>
          <w:tcPr>
            <w:tcW w:w="2268" w:type="dxa"/>
          </w:tcPr>
          <w:p w14:paraId="364038A3"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r w:rsidR="00370E7C" w:rsidRPr="00FA56F8" w14:paraId="081F85D6" w14:textId="77777777" w:rsidTr="00271849">
        <w:tc>
          <w:tcPr>
            <w:tcW w:w="3723" w:type="dxa"/>
          </w:tcPr>
          <w:p w14:paraId="494994DF" w14:textId="77777777" w:rsidR="00370E7C" w:rsidRPr="00FA56F8" w:rsidRDefault="00370E7C" w:rsidP="00271849">
            <w:pPr>
              <w:spacing w:line="360" w:lineRule="auto"/>
              <w:rPr>
                <w:rFonts w:cs="Arial"/>
                <w:sz w:val="22"/>
                <w:szCs w:val="22"/>
              </w:rPr>
            </w:pPr>
            <w:r w:rsidRPr="00FA56F8">
              <w:rPr>
                <w:rFonts w:cs="Arial"/>
                <w:sz w:val="22"/>
                <w:szCs w:val="22"/>
              </w:rPr>
              <w:t>Stroke</w:t>
            </w:r>
          </w:p>
        </w:tc>
        <w:tc>
          <w:tcPr>
            <w:tcW w:w="4216" w:type="dxa"/>
          </w:tcPr>
          <w:p w14:paraId="26E104E2" w14:textId="77777777" w:rsidR="00370E7C" w:rsidRPr="00FA56F8" w:rsidRDefault="00370E7C" w:rsidP="00271849">
            <w:pPr>
              <w:spacing w:line="360" w:lineRule="auto"/>
              <w:rPr>
                <w:rFonts w:cs="Arial"/>
                <w:sz w:val="22"/>
                <w:szCs w:val="22"/>
              </w:rPr>
            </w:pPr>
            <w:r w:rsidRPr="00FA56F8">
              <w:rPr>
                <w:rFonts w:cs="Arial"/>
                <w:sz w:val="22"/>
                <w:szCs w:val="22"/>
              </w:rPr>
              <w:t>Blood supply to part of the brain is disrupted.</w:t>
            </w:r>
          </w:p>
        </w:tc>
        <w:tc>
          <w:tcPr>
            <w:tcW w:w="2268" w:type="dxa"/>
          </w:tcPr>
          <w:p w14:paraId="21850BB9" w14:textId="77777777" w:rsidR="00370E7C" w:rsidRPr="00FA56F8" w:rsidRDefault="00370E7C" w:rsidP="00271849">
            <w:pPr>
              <w:spacing w:line="360" w:lineRule="auto"/>
              <w:rPr>
                <w:rFonts w:cs="Arial"/>
                <w:sz w:val="22"/>
                <w:szCs w:val="22"/>
              </w:rPr>
            </w:pPr>
            <w:r w:rsidRPr="00FA56F8">
              <w:rPr>
                <w:rFonts w:cs="Arial"/>
                <w:sz w:val="22"/>
                <w:szCs w:val="22"/>
              </w:rPr>
              <w:t>(Moloney &amp; Walshe, 2017)</w:t>
            </w:r>
          </w:p>
        </w:tc>
      </w:tr>
      <w:tr w:rsidR="00370E7C" w:rsidRPr="00FA56F8" w14:paraId="24F43D5A" w14:textId="77777777" w:rsidTr="00271849">
        <w:tc>
          <w:tcPr>
            <w:tcW w:w="3723" w:type="dxa"/>
          </w:tcPr>
          <w:p w14:paraId="3C5E1D1D" w14:textId="77777777" w:rsidR="00370E7C" w:rsidRPr="00FA56F8" w:rsidRDefault="00370E7C" w:rsidP="00271849">
            <w:pPr>
              <w:spacing w:line="360" w:lineRule="auto"/>
              <w:rPr>
                <w:rFonts w:cs="Arial"/>
                <w:sz w:val="22"/>
                <w:szCs w:val="22"/>
              </w:rPr>
            </w:pPr>
            <w:r w:rsidRPr="00FA56F8">
              <w:rPr>
                <w:rFonts w:cs="Arial"/>
                <w:sz w:val="22"/>
                <w:szCs w:val="22"/>
              </w:rPr>
              <w:t>Swallowing function test</w:t>
            </w:r>
          </w:p>
        </w:tc>
        <w:tc>
          <w:tcPr>
            <w:tcW w:w="4216" w:type="dxa"/>
          </w:tcPr>
          <w:p w14:paraId="018FA81F" w14:textId="6EDD7E98" w:rsidR="00370E7C" w:rsidRPr="00FA56F8" w:rsidRDefault="00370E7C" w:rsidP="00271849">
            <w:pPr>
              <w:spacing w:line="360" w:lineRule="auto"/>
              <w:rPr>
                <w:rFonts w:cs="Arial"/>
                <w:sz w:val="22"/>
                <w:szCs w:val="22"/>
              </w:rPr>
            </w:pPr>
            <w:r w:rsidRPr="00FA56F8">
              <w:rPr>
                <w:rFonts w:cs="Arial"/>
                <w:sz w:val="22"/>
                <w:szCs w:val="22"/>
              </w:rPr>
              <w:t>A test used to measure the level of swallowing function</w:t>
            </w:r>
            <w:r w:rsidR="000D12EE">
              <w:rPr>
                <w:rFonts w:cs="Arial"/>
                <w:sz w:val="22"/>
                <w:szCs w:val="22"/>
              </w:rPr>
              <w:t>.</w:t>
            </w:r>
          </w:p>
        </w:tc>
        <w:tc>
          <w:tcPr>
            <w:tcW w:w="2268" w:type="dxa"/>
          </w:tcPr>
          <w:p w14:paraId="7F3164C8" w14:textId="77777777" w:rsidR="00370E7C" w:rsidRPr="00FA56F8" w:rsidRDefault="00370E7C" w:rsidP="00271849">
            <w:pPr>
              <w:spacing w:line="360" w:lineRule="auto"/>
              <w:rPr>
                <w:rFonts w:cs="Arial"/>
                <w:sz w:val="22"/>
                <w:szCs w:val="22"/>
              </w:rPr>
            </w:pPr>
            <w:r w:rsidRPr="00FA56F8">
              <w:rPr>
                <w:rFonts w:cs="Arial"/>
                <w:sz w:val="22"/>
                <w:szCs w:val="22"/>
              </w:rPr>
              <w:t>(Hong &amp; Yoo, 2017)</w:t>
            </w:r>
          </w:p>
        </w:tc>
      </w:tr>
      <w:tr w:rsidR="00370E7C" w:rsidRPr="00FA56F8" w14:paraId="600DAC26" w14:textId="77777777" w:rsidTr="00271849">
        <w:tc>
          <w:tcPr>
            <w:tcW w:w="3723" w:type="dxa"/>
          </w:tcPr>
          <w:p w14:paraId="48E26BE7" w14:textId="77777777" w:rsidR="00370E7C" w:rsidRPr="00FA56F8" w:rsidRDefault="00370E7C" w:rsidP="00271849">
            <w:pPr>
              <w:spacing w:line="360" w:lineRule="auto"/>
              <w:rPr>
                <w:rFonts w:cs="Arial"/>
                <w:sz w:val="22"/>
                <w:szCs w:val="22"/>
              </w:rPr>
            </w:pPr>
            <w:r w:rsidRPr="00FA56F8">
              <w:rPr>
                <w:rFonts w:cs="Arial"/>
                <w:sz w:val="22"/>
                <w:szCs w:val="22"/>
              </w:rPr>
              <w:t>Swallowing quality of life questionnaire</w:t>
            </w:r>
          </w:p>
        </w:tc>
        <w:tc>
          <w:tcPr>
            <w:tcW w:w="4216" w:type="dxa"/>
          </w:tcPr>
          <w:p w14:paraId="31525E53" w14:textId="77777777" w:rsidR="00370E7C" w:rsidRPr="00FA56F8" w:rsidRDefault="00370E7C" w:rsidP="00271849">
            <w:pPr>
              <w:spacing w:line="360" w:lineRule="auto"/>
              <w:rPr>
                <w:rFonts w:cs="Arial"/>
                <w:sz w:val="22"/>
                <w:szCs w:val="22"/>
              </w:rPr>
            </w:pPr>
            <w:r w:rsidRPr="00FA56F8">
              <w:rPr>
                <w:rFonts w:cs="Arial"/>
                <w:sz w:val="22"/>
                <w:szCs w:val="22"/>
              </w:rPr>
              <w:t>A quantitative 44-item tool that assesses and measures quality of life for individuals with oropharyngeal dysphagia.</w:t>
            </w:r>
          </w:p>
        </w:tc>
        <w:tc>
          <w:tcPr>
            <w:tcW w:w="2268" w:type="dxa"/>
          </w:tcPr>
          <w:p w14:paraId="3FF97516" w14:textId="77777777" w:rsidR="00370E7C" w:rsidRPr="00FA56F8" w:rsidRDefault="00370E7C" w:rsidP="00271849">
            <w:pPr>
              <w:spacing w:line="360" w:lineRule="auto"/>
              <w:rPr>
                <w:rFonts w:cs="Arial"/>
                <w:sz w:val="22"/>
                <w:szCs w:val="22"/>
              </w:rPr>
            </w:pPr>
            <w:r w:rsidRPr="00FA56F8">
              <w:rPr>
                <w:rFonts w:cs="Arial"/>
                <w:sz w:val="22"/>
                <w:szCs w:val="22"/>
              </w:rPr>
              <w:t>(Pontes et al, 2017)</w:t>
            </w:r>
          </w:p>
        </w:tc>
      </w:tr>
      <w:tr w:rsidR="00370E7C" w:rsidRPr="00FA56F8" w14:paraId="1D54F0CB" w14:textId="77777777" w:rsidTr="00271849">
        <w:tc>
          <w:tcPr>
            <w:tcW w:w="3723" w:type="dxa"/>
          </w:tcPr>
          <w:p w14:paraId="079221DF" w14:textId="77777777" w:rsidR="00370E7C" w:rsidRPr="00FA56F8" w:rsidRDefault="00370E7C" w:rsidP="00271849">
            <w:pPr>
              <w:spacing w:line="360" w:lineRule="auto"/>
              <w:rPr>
                <w:rFonts w:cs="Arial"/>
                <w:sz w:val="22"/>
                <w:szCs w:val="22"/>
              </w:rPr>
            </w:pPr>
            <w:r w:rsidRPr="00FA56F8">
              <w:rPr>
                <w:rFonts w:cs="Arial"/>
                <w:sz w:val="22"/>
                <w:szCs w:val="22"/>
              </w:rPr>
              <w:t>Videofluoroscopic Dysphagia Scale</w:t>
            </w:r>
          </w:p>
        </w:tc>
        <w:tc>
          <w:tcPr>
            <w:tcW w:w="4216" w:type="dxa"/>
          </w:tcPr>
          <w:p w14:paraId="0C2A295A" w14:textId="77777777" w:rsidR="00370E7C" w:rsidRPr="00FA56F8" w:rsidRDefault="00370E7C" w:rsidP="00271849">
            <w:pPr>
              <w:spacing w:line="360" w:lineRule="auto"/>
              <w:rPr>
                <w:rFonts w:cs="Arial"/>
                <w:sz w:val="22"/>
                <w:szCs w:val="22"/>
              </w:rPr>
            </w:pPr>
            <w:r w:rsidRPr="00FA56F8">
              <w:rPr>
                <w:rFonts w:cs="Arial"/>
                <w:sz w:val="22"/>
                <w:szCs w:val="22"/>
              </w:rPr>
              <w:t>Used to predict the long-term prognosis of dysphagia patients following stroke.</w:t>
            </w:r>
          </w:p>
        </w:tc>
        <w:tc>
          <w:tcPr>
            <w:tcW w:w="2268" w:type="dxa"/>
          </w:tcPr>
          <w:p w14:paraId="48812428" w14:textId="77777777" w:rsidR="00370E7C" w:rsidRPr="00FA56F8" w:rsidRDefault="00370E7C" w:rsidP="00271849">
            <w:pPr>
              <w:spacing w:line="360" w:lineRule="auto"/>
              <w:rPr>
                <w:rFonts w:cs="Arial"/>
                <w:sz w:val="22"/>
                <w:szCs w:val="22"/>
              </w:rPr>
            </w:pPr>
            <w:r w:rsidRPr="00FA56F8">
              <w:rPr>
                <w:rFonts w:cs="Arial"/>
                <w:sz w:val="22"/>
                <w:szCs w:val="22"/>
              </w:rPr>
              <w:t>(Kim et al, 2020)</w:t>
            </w:r>
          </w:p>
        </w:tc>
      </w:tr>
      <w:tr w:rsidR="00370E7C" w:rsidRPr="00FA56F8" w14:paraId="68352406" w14:textId="77777777" w:rsidTr="00271849">
        <w:tc>
          <w:tcPr>
            <w:tcW w:w="3723" w:type="dxa"/>
          </w:tcPr>
          <w:p w14:paraId="5EA6628D" w14:textId="77777777" w:rsidR="00370E7C" w:rsidRPr="00FA56F8" w:rsidRDefault="00370E7C" w:rsidP="00271849">
            <w:pPr>
              <w:spacing w:line="360" w:lineRule="auto"/>
              <w:rPr>
                <w:rFonts w:cs="Arial"/>
                <w:sz w:val="22"/>
                <w:szCs w:val="22"/>
              </w:rPr>
            </w:pPr>
            <w:r w:rsidRPr="00FA56F8">
              <w:rPr>
                <w:rFonts w:cs="Arial"/>
                <w:sz w:val="22"/>
                <w:szCs w:val="22"/>
              </w:rPr>
              <w:t xml:space="preserve">Videofluoroscopy </w:t>
            </w:r>
          </w:p>
        </w:tc>
        <w:tc>
          <w:tcPr>
            <w:tcW w:w="4216" w:type="dxa"/>
          </w:tcPr>
          <w:p w14:paraId="301FAE04" w14:textId="77777777" w:rsidR="00370E7C" w:rsidRPr="00FA56F8" w:rsidRDefault="00370E7C" w:rsidP="00271849">
            <w:pPr>
              <w:spacing w:line="360" w:lineRule="auto"/>
              <w:rPr>
                <w:rFonts w:cs="Arial"/>
                <w:sz w:val="22"/>
                <w:szCs w:val="22"/>
              </w:rPr>
            </w:pPr>
            <w:r w:rsidRPr="00FA56F8">
              <w:rPr>
                <w:rFonts w:cs="Arial"/>
                <w:sz w:val="22"/>
                <w:szCs w:val="22"/>
              </w:rPr>
              <w:t>A swallowing x-ray to assess an individual’s swallowing ability.</w:t>
            </w:r>
          </w:p>
        </w:tc>
        <w:tc>
          <w:tcPr>
            <w:tcW w:w="2268" w:type="dxa"/>
          </w:tcPr>
          <w:p w14:paraId="4A638D6B" w14:textId="77777777" w:rsidR="00370E7C" w:rsidRPr="00FA56F8" w:rsidRDefault="00370E7C" w:rsidP="00271849">
            <w:pPr>
              <w:spacing w:line="360" w:lineRule="auto"/>
              <w:rPr>
                <w:rFonts w:cs="Arial"/>
                <w:sz w:val="22"/>
                <w:szCs w:val="22"/>
              </w:rPr>
            </w:pPr>
            <w:r w:rsidRPr="00FA56F8">
              <w:rPr>
                <w:rFonts w:cs="Arial"/>
                <w:sz w:val="22"/>
                <w:szCs w:val="22"/>
              </w:rPr>
              <w:t>(Kim et al, 2020)</w:t>
            </w:r>
          </w:p>
        </w:tc>
      </w:tr>
      <w:tr w:rsidR="00370E7C" w:rsidRPr="00FA56F8" w14:paraId="53538A3E" w14:textId="77777777" w:rsidTr="00271849">
        <w:tc>
          <w:tcPr>
            <w:tcW w:w="3723" w:type="dxa"/>
          </w:tcPr>
          <w:p w14:paraId="59B3F86F" w14:textId="77777777" w:rsidR="00370E7C" w:rsidRPr="00FA56F8" w:rsidRDefault="00370E7C" w:rsidP="00271849">
            <w:pPr>
              <w:spacing w:line="360" w:lineRule="auto"/>
              <w:rPr>
                <w:rFonts w:cs="Arial"/>
                <w:sz w:val="22"/>
                <w:szCs w:val="22"/>
              </w:rPr>
            </w:pPr>
            <w:r w:rsidRPr="00FA56F8">
              <w:rPr>
                <w:rFonts w:cs="Arial"/>
                <w:sz w:val="22"/>
                <w:szCs w:val="22"/>
              </w:rPr>
              <w:t xml:space="preserve">Verstehen </w:t>
            </w:r>
          </w:p>
        </w:tc>
        <w:tc>
          <w:tcPr>
            <w:tcW w:w="4216" w:type="dxa"/>
          </w:tcPr>
          <w:p w14:paraId="684E96A2" w14:textId="40614694" w:rsidR="00370E7C" w:rsidRPr="00FA56F8" w:rsidRDefault="00370E7C" w:rsidP="00271849">
            <w:pPr>
              <w:spacing w:line="360" w:lineRule="auto"/>
              <w:rPr>
                <w:rFonts w:cs="Arial"/>
                <w:sz w:val="22"/>
                <w:szCs w:val="22"/>
              </w:rPr>
            </w:pPr>
            <w:r w:rsidRPr="00FA56F8">
              <w:rPr>
                <w:rFonts w:cs="Arial"/>
                <w:sz w:val="22"/>
                <w:szCs w:val="22"/>
              </w:rPr>
              <w:t>To form an empathetic and deep understanding of human behaviour</w:t>
            </w:r>
            <w:r w:rsidR="000D12EE">
              <w:rPr>
                <w:rFonts w:cs="Arial"/>
                <w:sz w:val="22"/>
                <w:szCs w:val="22"/>
              </w:rPr>
              <w:t>.</w:t>
            </w:r>
          </w:p>
        </w:tc>
        <w:tc>
          <w:tcPr>
            <w:tcW w:w="2268" w:type="dxa"/>
          </w:tcPr>
          <w:p w14:paraId="29F5BCAA" w14:textId="77777777" w:rsidR="00370E7C" w:rsidRPr="00FA56F8" w:rsidRDefault="00370E7C" w:rsidP="00271849">
            <w:pPr>
              <w:spacing w:line="360" w:lineRule="auto"/>
              <w:rPr>
                <w:rFonts w:cs="Arial"/>
                <w:sz w:val="22"/>
                <w:szCs w:val="22"/>
              </w:rPr>
            </w:pPr>
            <w:r w:rsidRPr="00FA56F8">
              <w:rPr>
                <w:rFonts w:cs="Arial"/>
                <w:sz w:val="22"/>
                <w:szCs w:val="22"/>
              </w:rPr>
              <w:t xml:space="preserve">(Bryman, 2008). </w:t>
            </w:r>
          </w:p>
        </w:tc>
      </w:tr>
    </w:tbl>
    <w:p w14:paraId="03988F14" w14:textId="77777777" w:rsidR="00370E7C" w:rsidRDefault="00370E7C" w:rsidP="00370E7C"/>
    <w:p w14:paraId="68AD06D1" w14:textId="7B6EF0AD" w:rsidR="00370E7C" w:rsidRDefault="00370E7C" w:rsidP="00370E7C">
      <w:pPr>
        <w:pStyle w:val="Heading3"/>
      </w:pPr>
      <w:r>
        <w:lastRenderedPageBreak/>
        <w:t>Appendix 3</w:t>
      </w:r>
    </w:p>
    <w:p w14:paraId="6DBCD119" w14:textId="69407903" w:rsidR="00370E7C" w:rsidRPr="001D7C42" w:rsidRDefault="00370E7C" w:rsidP="00370E7C">
      <w:pPr>
        <w:rPr>
          <w:rFonts w:cs="Arial"/>
          <w:i/>
        </w:rPr>
      </w:pPr>
      <w:r w:rsidRPr="001D7C42">
        <w:rPr>
          <w:rFonts w:cs="Arial"/>
          <w:i/>
        </w:rPr>
        <w:t xml:space="preserve">Interview Topic guide - Preset topics and open questions for semi-structured interviews: </w:t>
      </w:r>
    </w:p>
    <w:p w14:paraId="68905B3C" w14:textId="696F6957" w:rsidR="00370E7C" w:rsidRPr="001D7C42" w:rsidRDefault="00370E7C" w:rsidP="00370E7C">
      <w:pPr>
        <w:rPr>
          <w:rFonts w:cs="Arial"/>
          <w:u w:val="single"/>
        </w:rPr>
      </w:pPr>
      <w:r w:rsidRPr="001D7C42">
        <w:rPr>
          <w:rFonts w:cs="Arial"/>
          <w:u w:val="single"/>
        </w:rPr>
        <w:t xml:space="preserve">Topics </w:t>
      </w:r>
    </w:p>
    <w:p w14:paraId="0508EFA2" w14:textId="77777777" w:rsidR="00370E7C" w:rsidRPr="001D7C42" w:rsidRDefault="00370E7C" w:rsidP="00370E7C">
      <w:pPr>
        <w:pStyle w:val="ListParagraph"/>
        <w:numPr>
          <w:ilvl w:val="0"/>
          <w:numId w:val="4"/>
        </w:numPr>
        <w:spacing w:after="0" w:line="240" w:lineRule="auto"/>
        <w:rPr>
          <w:rFonts w:cs="Arial"/>
        </w:rPr>
      </w:pPr>
      <w:r w:rsidRPr="001D7C42">
        <w:rPr>
          <w:rFonts w:cs="Arial"/>
        </w:rPr>
        <w:t>Environment</w:t>
      </w:r>
    </w:p>
    <w:p w14:paraId="42DDBD5E"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Mental well-being </w:t>
      </w:r>
    </w:p>
    <w:p w14:paraId="4FB69CBC"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Physiology </w:t>
      </w:r>
    </w:p>
    <w:p w14:paraId="2BA7AD1E"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Healthcare professionals </w:t>
      </w:r>
    </w:p>
    <w:p w14:paraId="5AA9230D"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Coping / adaptation  </w:t>
      </w:r>
    </w:p>
    <w:p w14:paraId="25B28AAF"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Dysphagia </w:t>
      </w:r>
    </w:p>
    <w:p w14:paraId="4D7F10B3" w14:textId="77777777" w:rsidR="00370E7C" w:rsidRPr="001D7C42" w:rsidRDefault="00370E7C" w:rsidP="00370E7C">
      <w:pPr>
        <w:pStyle w:val="ListParagraph"/>
        <w:numPr>
          <w:ilvl w:val="0"/>
          <w:numId w:val="4"/>
        </w:numPr>
        <w:spacing w:after="0" w:line="240" w:lineRule="auto"/>
        <w:rPr>
          <w:rFonts w:cs="Arial"/>
        </w:rPr>
      </w:pPr>
      <w:r w:rsidRPr="001D7C42">
        <w:rPr>
          <w:rFonts w:cs="Arial"/>
        </w:rPr>
        <w:t xml:space="preserve">Employment </w:t>
      </w:r>
    </w:p>
    <w:p w14:paraId="69CC3A0E" w14:textId="77777777" w:rsidR="000B1B9F" w:rsidRPr="001D7C42" w:rsidRDefault="000B1B9F" w:rsidP="00370E7C">
      <w:pPr>
        <w:rPr>
          <w:rFonts w:cs="Arial"/>
          <w:u w:val="single"/>
        </w:rPr>
      </w:pPr>
    </w:p>
    <w:p w14:paraId="69B09350" w14:textId="7229151B" w:rsidR="00370E7C" w:rsidRPr="001D7C42" w:rsidRDefault="00370E7C" w:rsidP="00370E7C">
      <w:pPr>
        <w:rPr>
          <w:rFonts w:cs="Arial"/>
          <w:u w:val="single"/>
        </w:rPr>
      </w:pPr>
      <w:r w:rsidRPr="001D7C42">
        <w:rPr>
          <w:rFonts w:cs="Arial"/>
          <w:u w:val="single"/>
        </w:rPr>
        <w:t>Pre-set questions</w:t>
      </w:r>
    </w:p>
    <w:p w14:paraId="2BAFEFB9" w14:textId="2D1B993B" w:rsidR="00370E7C" w:rsidRPr="001F5DCA" w:rsidRDefault="00370E7C" w:rsidP="00370E7C">
      <w:pPr>
        <w:rPr>
          <w:rFonts w:cs="Arial"/>
        </w:rPr>
      </w:pPr>
      <w:r w:rsidRPr="001D7C42">
        <w:rPr>
          <w:rFonts w:cs="Arial"/>
        </w:rPr>
        <w:t>(One preset open question for each</w:t>
      </w:r>
      <w:r>
        <w:rPr>
          <w:rFonts w:cs="Arial"/>
        </w:rPr>
        <w:t xml:space="preserve"> topic, and then researcher would</w:t>
      </w:r>
      <w:r w:rsidRPr="001D7C42">
        <w:rPr>
          <w:rFonts w:cs="Arial"/>
        </w:rPr>
        <w:t xml:space="preserve"> improvise follow-up questions) </w:t>
      </w:r>
    </w:p>
    <w:p w14:paraId="0072E931" w14:textId="384D5B08" w:rsidR="00370E7C" w:rsidRPr="001F5DCA" w:rsidRDefault="00370E7C" w:rsidP="001F5DCA">
      <w:pPr>
        <w:pStyle w:val="ListParagraph"/>
        <w:numPr>
          <w:ilvl w:val="0"/>
          <w:numId w:val="5"/>
        </w:numPr>
        <w:spacing w:after="0" w:line="240" w:lineRule="auto"/>
        <w:rPr>
          <w:rFonts w:cs="Arial"/>
        </w:rPr>
      </w:pPr>
      <w:r w:rsidRPr="001D7C42">
        <w:rPr>
          <w:rFonts w:cs="Arial"/>
        </w:rPr>
        <w:t xml:space="preserve">What has your environment been like, such as interaction with other people, relationships and social situations since your swallowing has changed? </w:t>
      </w:r>
    </w:p>
    <w:p w14:paraId="70177E4B" w14:textId="41F5480D" w:rsidR="00370E7C" w:rsidRPr="001F5DCA" w:rsidRDefault="00370E7C" w:rsidP="00370E7C">
      <w:pPr>
        <w:pStyle w:val="ListParagraph"/>
        <w:numPr>
          <w:ilvl w:val="0"/>
          <w:numId w:val="5"/>
        </w:numPr>
        <w:spacing w:after="0" w:line="240" w:lineRule="auto"/>
        <w:rPr>
          <w:rFonts w:cs="Arial"/>
        </w:rPr>
      </w:pPr>
      <w:r w:rsidRPr="001D7C42">
        <w:rPr>
          <w:rFonts w:cs="Arial"/>
        </w:rPr>
        <w:t xml:space="preserve">How have you been feeling since your swallowing has changed? </w:t>
      </w:r>
    </w:p>
    <w:p w14:paraId="67F0CA6B" w14:textId="4CAE58F7" w:rsidR="00370E7C" w:rsidRPr="001F5DCA" w:rsidRDefault="00370E7C" w:rsidP="00370E7C">
      <w:pPr>
        <w:pStyle w:val="ListParagraph"/>
        <w:numPr>
          <w:ilvl w:val="0"/>
          <w:numId w:val="5"/>
        </w:numPr>
        <w:spacing w:after="0" w:line="240" w:lineRule="auto"/>
        <w:rPr>
          <w:rFonts w:cs="Arial"/>
        </w:rPr>
      </w:pPr>
      <w:r w:rsidRPr="001D7C42">
        <w:rPr>
          <w:rFonts w:cs="Arial"/>
        </w:rPr>
        <w:t xml:space="preserve"> What has it been like to interact with health / care services since your swallowing changed?</w:t>
      </w:r>
    </w:p>
    <w:p w14:paraId="0EB1A06E" w14:textId="1955DC18" w:rsidR="00370E7C" w:rsidRPr="001F5DCA" w:rsidRDefault="00370E7C" w:rsidP="001F5DCA">
      <w:pPr>
        <w:pStyle w:val="ListParagraph"/>
        <w:numPr>
          <w:ilvl w:val="0"/>
          <w:numId w:val="5"/>
        </w:numPr>
        <w:spacing w:after="0" w:line="240" w:lineRule="auto"/>
        <w:rPr>
          <w:rFonts w:cs="Arial"/>
        </w:rPr>
      </w:pPr>
      <w:r w:rsidRPr="001D7C42">
        <w:rPr>
          <w:rFonts w:cs="Arial"/>
        </w:rPr>
        <w:t xml:space="preserve">What does dysphagia mean to you? </w:t>
      </w:r>
    </w:p>
    <w:p w14:paraId="2296D76F" w14:textId="39B9C043" w:rsidR="00370E7C" w:rsidRPr="00370E7C" w:rsidRDefault="00370E7C" w:rsidP="00370E7C">
      <w:pPr>
        <w:pStyle w:val="ListParagraph"/>
        <w:numPr>
          <w:ilvl w:val="0"/>
          <w:numId w:val="5"/>
        </w:numPr>
        <w:spacing w:after="0" w:line="240" w:lineRule="auto"/>
        <w:rPr>
          <w:rFonts w:cs="Arial"/>
        </w:rPr>
      </w:pPr>
      <w:r w:rsidRPr="00370E7C">
        <w:rPr>
          <w:rFonts w:cs="Arial"/>
        </w:rPr>
        <w:t>What does it physically feel like to have dysphagia?</w:t>
      </w:r>
    </w:p>
    <w:p w14:paraId="1740C312" w14:textId="77777777" w:rsidR="00370E7C" w:rsidRDefault="00370E7C" w:rsidP="00370E7C"/>
    <w:p w14:paraId="3D815B4F" w14:textId="40671104" w:rsidR="00370E7C" w:rsidRPr="00370E7C" w:rsidRDefault="00370E7C" w:rsidP="00370E7C">
      <w:pPr>
        <w:pStyle w:val="Heading3"/>
      </w:pPr>
      <w:r>
        <w:t>Appendix 4</w:t>
      </w:r>
    </w:p>
    <w:p w14:paraId="1A3C445F" w14:textId="0DE936B3" w:rsidR="00942A9F" w:rsidRPr="001F5DCA" w:rsidRDefault="00942A9F" w:rsidP="00942A9F">
      <w:pPr>
        <w:spacing w:line="360" w:lineRule="auto"/>
        <w:rPr>
          <w:rFonts w:cs="Arial"/>
          <w:b/>
          <w:u w:val="single"/>
        </w:rPr>
      </w:pPr>
      <w:r w:rsidRPr="00254CC1">
        <w:rPr>
          <w:rFonts w:cs="Arial"/>
          <w:b/>
          <w:u w:val="single"/>
        </w:rPr>
        <w:t xml:space="preserve">Research Proposal </w:t>
      </w:r>
    </w:p>
    <w:p w14:paraId="48C11E26" w14:textId="46E42A6C" w:rsidR="00942A9F" w:rsidRPr="0032044B" w:rsidRDefault="00942A9F" w:rsidP="00942A9F">
      <w:pPr>
        <w:spacing w:line="360" w:lineRule="auto"/>
        <w:rPr>
          <w:rFonts w:cs="Arial"/>
          <w:b/>
          <w:i/>
        </w:rPr>
      </w:pPr>
      <w:r w:rsidRPr="0032044B">
        <w:rPr>
          <w:rFonts w:cs="Arial"/>
          <w:b/>
          <w:i/>
        </w:rPr>
        <w:t>Questions, Aims &amp; Objectives</w:t>
      </w:r>
    </w:p>
    <w:p w14:paraId="33AE723F" w14:textId="77777777" w:rsidR="00942A9F" w:rsidRPr="00254CC1" w:rsidRDefault="00942A9F" w:rsidP="00942A9F">
      <w:pPr>
        <w:spacing w:line="360" w:lineRule="auto"/>
        <w:rPr>
          <w:rFonts w:cs="Arial"/>
        </w:rPr>
      </w:pPr>
      <w:r w:rsidRPr="00254CC1">
        <w:rPr>
          <w:rFonts w:cs="Arial"/>
        </w:rPr>
        <w:t xml:space="preserve">Research Questions: </w:t>
      </w:r>
    </w:p>
    <w:p w14:paraId="2900E78D" w14:textId="5AF3750F" w:rsidR="00942A9F" w:rsidRPr="001F5DCA" w:rsidRDefault="00942A9F" w:rsidP="001F5DCA">
      <w:pPr>
        <w:pStyle w:val="ListParagraph"/>
        <w:numPr>
          <w:ilvl w:val="0"/>
          <w:numId w:val="6"/>
        </w:numPr>
        <w:spacing w:before="100" w:beforeAutospacing="1" w:after="100" w:afterAutospacing="1" w:line="360" w:lineRule="auto"/>
        <w:rPr>
          <w:rFonts w:cs="Arial"/>
          <w:color w:val="000000"/>
        </w:rPr>
      </w:pPr>
      <w:r w:rsidRPr="00254CC1">
        <w:rPr>
          <w:rFonts w:cs="Arial"/>
          <w:b/>
          <w:color w:val="000000"/>
        </w:rPr>
        <w:t>Primary question:</w:t>
      </w:r>
      <w:r w:rsidRPr="00254CC1">
        <w:rPr>
          <w:rFonts w:cs="Arial"/>
          <w:color w:val="000000"/>
        </w:rPr>
        <w:t xml:space="preserve"> What are the lived experiences of people living with long-term post-stroke dysphagia in the community?</w:t>
      </w:r>
    </w:p>
    <w:p w14:paraId="53913298" w14:textId="69FBD296" w:rsidR="00942A9F" w:rsidRPr="001F5DCA" w:rsidRDefault="00942A9F" w:rsidP="00942A9F">
      <w:pPr>
        <w:pStyle w:val="ListParagraph"/>
        <w:numPr>
          <w:ilvl w:val="0"/>
          <w:numId w:val="6"/>
        </w:numPr>
        <w:spacing w:before="100" w:beforeAutospacing="1" w:after="100" w:afterAutospacing="1" w:line="360" w:lineRule="auto"/>
        <w:rPr>
          <w:rFonts w:cs="Arial"/>
          <w:color w:val="000000"/>
        </w:rPr>
      </w:pPr>
      <w:r w:rsidRPr="00254CC1">
        <w:rPr>
          <w:rFonts w:cs="Arial"/>
          <w:b/>
          <w:color w:val="000000"/>
        </w:rPr>
        <w:t>Secondary question:</w:t>
      </w:r>
      <w:r>
        <w:rPr>
          <w:rFonts w:cs="Arial"/>
          <w:color w:val="000000"/>
        </w:rPr>
        <w:t xml:space="preserve"> How can the </w:t>
      </w:r>
      <w:r w:rsidRPr="00254CC1">
        <w:rPr>
          <w:rFonts w:cs="Arial"/>
          <w:color w:val="000000"/>
        </w:rPr>
        <w:t xml:space="preserve">experiences of people living </w:t>
      </w:r>
      <w:r>
        <w:rPr>
          <w:rFonts w:cs="Arial"/>
          <w:color w:val="000000"/>
        </w:rPr>
        <w:t>with</w:t>
      </w:r>
      <w:r w:rsidRPr="00CE6176">
        <w:rPr>
          <w:rFonts w:cs="Arial"/>
          <w:color w:val="000000"/>
        </w:rPr>
        <w:t xml:space="preserve"> long-term post-stroke dysphagia in the community inform others about how quality of life is impacted</w:t>
      </w:r>
      <w:r>
        <w:rPr>
          <w:rFonts w:cs="Arial"/>
          <w:color w:val="000000"/>
        </w:rPr>
        <w:t xml:space="preserve">? </w:t>
      </w:r>
    </w:p>
    <w:p w14:paraId="044ED254" w14:textId="77777777" w:rsidR="00942A9F" w:rsidRPr="0032044B" w:rsidRDefault="00942A9F" w:rsidP="00942A9F">
      <w:pPr>
        <w:spacing w:before="100" w:beforeAutospacing="1" w:after="100" w:afterAutospacing="1" w:line="360" w:lineRule="auto"/>
        <w:rPr>
          <w:rFonts w:cs="Arial"/>
          <w:b/>
          <w:i/>
          <w:color w:val="000000"/>
        </w:rPr>
      </w:pPr>
      <w:r w:rsidRPr="0032044B">
        <w:rPr>
          <w:rFonts w:cs="Arial"/>
          <w:b/>
          <w:i/>
          <w:color w:val="000000"/>
        </w:rPr>
        <w:t xml:space="preserve">Research aims: </w:t>
      </w:r>
    </w:p>
    <w:p w14:paraId="5EE7A393" w14:textId="2103E0C5" w:rsidR="00942A9F" w:rsidRPr="00254CC1" w:rsidRDefault="00942A9F" w:rsidP="00942A9F">
      <w:pPr>
        <w:spacing w:before="100" w:beforeAutospacing="1" w:after="100" w:afterAutospacing="1" w:line="360" w:lineRule="auto"/>
        <w:rPr>
          <w:rFonts w:cs="Arial"/>
          <w:color w:val="000000"/>
        </w:rPr>
      </w:pPr>
      <w:r w:rsidRPr="00254CC1">
        <w:rPr>
          <w:rFonts w:cs="Arial"/>
          <w:color w:val="000000"/>
        </w:rPr>
        <w:lastRenderedPageBreak/>
        <w:t>The aim of this study</w:t>
      </w:r>
      <w:r w:rsidR="000D12EE">
        <w:rPr>
          <w:rFonts w:cs="Arial"/>
          <w:color w:val="000000"/>
        </w:rPr>
        <w:t xml:space="preserve"> is to</w:t>
      </w:r>
      <w:r w:rsidRPr="00254CC1">
        <w:rPr>
          <w:rFonts w:cs="Arial"/>
          <w:color w:val="000000"/>
        </w:rPr>
        <w:t xml:space="preserve">:  </w:t>
      </w:r>
    </w:p>
    <w:p w14:paraId="777B2E0B" w14:textId="2E6ED53F" w:rsidR="00942A9F" w:rsidRPr="00254CC1" w:rsidRDefault="00942A9F" w:rsidP="00942A9F">
      <w:pPr>
        <w:pStyle w:val="ListParagraph"/>
        <w:numPr>
          <w:ilvl w:val="0"/>
          <w:numId w:val="6"/>
        </w:numPr>
        <w:spacing w:before="100" w:beforeAutospacing="1" w:after="100" w:afterAutospacing="1" w:line="360" w:lineRule="auto"/>
        <w:rPr>
          <w:rFonts w:cs="Arial"/>
          <w:color w:val="000000"/>
        </w:rPr>
      </w:pPr>
      <w:r w:rsidRPr="00254CC1">
        <w:rPr>
          <w:rFonts w:cs="Arial"/>
          <w:color w:val="000000"/>
        </w:rPr>
        <w:t>Understand and explore the long-term lived experiences of post-stroke dysphagia for those living in the community</w:t>
      </w:r>
    </w:p>
    <w:p w14:paraId="2CACB9D0" w14:textId="77777777" w:rsidR="00942A9F" w:rsidRPr="00254CC1" w:rsidRDefault="00942A9F" w:rsidP="00942A9F">
      <w:pPr>
        <w:pStyle w:val="ListParagraph"/>
        <w:numPr>
          <w:ilvl w:val="0"/>
          <w:numId w:val="6"/>
        </w:numPr>
        <w:spacing w:before="100" w:beforeAutospacing="1" w:after="100" w:afterAutospacing="1" w:line="360" w:lineRule="auto"/>
        <w:rPr>
          <w:rFonts w:cs="Arial"/>
          <w:color w:val="000000"/>
        </w:rPr>
      </w:pPr>
      <w:r w:rsidRPr="00254CC1">
        <w:rPr>
          <w:rFonts w:cs="Arial"/>
          <w:color w:val="000000"/>
        </w:rPr>
        <w:t>Understand how quality of life is impacted by post-stroke dysphagia</w:t>
      </w:r>
    </w:p>
    <w:p w14:paraId="206F4596" w14:textId="77777777" w:rsidR="00942A9F" w:rsidRPr="00254CC1" w:rsidRDefault="00942A9F" w:rsidP="00942A9F">
      <w:pPr>
        <w:pStyle w:val="ListParagraph"/>
        <w:numPr>
          <w:ilvl w:val="0"/>
          <w:numId w:val="6"/>
        </w:numPr>
        <w:spacing w:before="100" w:beforeAutospacing="1" w:after="100" w:afterAutospacing="1" w:line="360" w:lineRule="auto"/>
        <w:rPr>
          <w:rFonts w:cs="Arial"/>
          <w:color w:val="000000"/>
        </w:rPr>
      </w:pPr>
      <w:r w:rsidRPr="00254CC1">
        <w:rPr>
          <w:rFonts w:cs="Arial"/>
          <w:color w:val="000000"/>
        </w:rPr>
        <w:t xml:space="preserve">Generate new ideas by addressing the research gap identified in the above literature review </w:t>
      </w:r>
    </w:p>
    <w:p w14:paraId="49FAEA7D" w14:textId="77777777" w:rsidR="00942A9F" w:rsidRPr="00254CC1" w:rsidRDefault="00942A9F" w:rsidP="00942A9F">
      <w:pPr>
        <w:pStyle w:val="ListParagraph"/>
        <w:numPr>
          <w:ilvl w:val="0"/>
          <w:numId w:val="6"/>
        </w:numPr>
        <w:spacing w:before="100" w:beforeAutospacing="1" w:after="100" w:afterAutospacing="1" w:line="360" w:lineRule="auto"/>
        <w:rPr>
          <w:rFonts w:cs="Arial"/>
          <w:color w:val="000000"/>
        </w:rPr>
      </w:pPr>
      <w:r w:rsidRPr="00254CC1">
        <w:rPr>
          <w:rFonts w:cs="Arial"/>
          <w:color w:val="000000"/>
        </w:rPr>
        <w:t>Inform SLT practices and commissioning of services of these experiences to provide higher quality and evidence-based care</w:t>
      </w:r>
    </w:p>
    <w:p w14:paraId="0E719AF2" w14:textId="26152EDE" w:rsidR="00942A9F" w:rsidRPr="0032044B" w:rsidRDefault="000D12EE" w:rsidP="00942A9F">
      <w:pPr>
        <w:pStyle w:val="ListParagraph"/>
        <w:numPr>
          <w:ilvl w:val="0"/>
          <w:numId w:val="6"/>
        </w:numPr>
        <w:spacing w:before="100" w:beforeAutospacing="1" w:after="100" w:afterAutospacing="1" w:line="360" w:lineRule="auto"/>
        <w:rPr>
          <w:rFonts w:cs="Arial"/>
          <w:color w:val="000000"/>
        </w:rPr>
      </w:pPr>
      <w:r>
        <w:rPr>
          <w:rFonts w:cs="Arial"/>
          <w:color w:val="000000"/>
        </w:rPr>
        <w:t>A</w:t>
      </w:r>
      <w:r w:rsidR="00942A9F" w:rsidRPr="0032044B">
        <w:rPr>
          <w:rFonts w:cs="Arial"/>
          <w:color w:val="000000"/>
        </w:rPr>
        <w:t>dd to the knowledge base regarding the lived experiences of patients with post-stroke dysphagia</w:t>
      </w:r>
    </w:p>
    <w:p w14:paraId="5D146BC2" w14:textId="77777777" w:rsidR="00942A9F" w:rsidRPr="0032044B" w:rsidRDefault="00942A9F" w:rsidP="00942A9F">
      <w:pPr>
        <w:spacing w:before="100" w:beforeAutospacing="1" w:after="100" w:afterAutospacing="1" w:line="360" w:lineRule="auto"/>
        <w:rPr>
          <w:rFonts w:cs="Arial"/>
          <w:b/>
          <w:i/>
          <w:color w:val="000000"/>
        </w:rPr>
      </w:pPr>
      <w:r w:rsidRPr="0032044B">
        <w:rPr>
          <w:rFonts w:cs="Arial"/>
          <w:b/>
          <w:i/>
          <w:color w:val="000000"/>
        </w:rPr>
        <w:t xml:space="preserve">Research objectives: </w:t>
      </w:r>
    </w:p>
    <w:p w14:paraId="08F202F8" w14:textId="77777777" w:rsidR="000D12EE" w:rsidRDefault="00942A9F" w:rsidP="000D12EE">
      <w:pPr>
        <w:pStyle w:val="ListParagraph"/>
        <w:numPr>
          <w:ilvl w:val="0"/>
          <w:numId w:val="6"/>
        </w:numPr>
        <w:spacing w:before="100" w:beforeAutospacing="1" w:after="100" w:afterAutospacing="1" w:line="360" w:lineRule="auto"/>
        <w:rPr>
          <w:rFonts w:cs="Arial"/>
          <w:color w:val="000000"/>
        </w:rPr>
      </w:pPr>
      <w:r w:rsidRPr="00254CC1">
        <w:rPr>
          <w:rFonts w:cs="Arial"/>
          <w:color w:val="000000"/>
        </w:rPr>
        <w:t>To describe the lived experiences of people living with long-term post-stroke dysphagia in the community</w:t>
      </w:r>
    </w:p>
    <w:p w14:paraId="3E4D7C9F" w14:textId="4768983E" w:rsidR="00240A04" w:rsidRPr="000D12EE" w:rsidRDefault="00942A9F" w:rsidP="000D12EE">
      <w:pPr>
        <w:pStyle w:val="ListParagraph"/>
        <w:numPr>
          <w:ilvl w:val="0"/>
          <w:numId w:val="6"/>
        </w:numPr>
        <w:spacing w:before="100" w:beforeAutospacing="1" w:after="100" w:afterAutospacing="1" w:line="360" w:lineRule="auto"/>
        <w:rPr>
          <w:rFonts w:cs="Arial"/>
          <w:color w:val="000000"/>
        </w:rPr>
      </w:pPr>
      <w:r w:rsidRPr="000D12EE">
        <w:rPr>
          <w:rFonts w:cs="Arial"/>
          <w:color w:val="000000"/>
        </w:rPr>
        <w:t>To explore how long-term post-stroke dysphagia could influence the different aspects of QoL such as the environment, mental well-being, and physiology</w:t>
      </w:r>
    </w:p>
    <w:p w14:paraId="49212F25" w14:textId="77777777" w:rsidR="00942A9F" w:rsidRDefault="00942A9F" w:rsidP="00942A9F">
      <w:pPr>
        <w:spacing w:after="160" w:line="240" w:lineRule="auto"/>
      </w:pPr>
    </w:p>
    <w:p w14:paraId="42DDC9D1" w14:textId="628A0288" w:rsidR="00B968BA" w:rsidRDefault="00B968BA" w:rsidP="00B968BA">
      <w:pPr>
        <w:pStyle w:val="Heading2"/>
      </w:pPr>
      <w:r>
        <w:t>Copyright Statement</w:t>
      </w:r>
    </w:p>
    <w:p w14:paraId="78B87C67" w14:textId="5E1C135B" w:rsidR="001D7306" w:rsidRPr="00240A04" w:rsidRDefault="00397E61" w:rsidP="00240A04">
      <w:pPr>
        <w:spacing w:before="120" w:after="120" w:line="360" w:lineRule="auto"/>
        <w:jc w:val="both"/>
        <w:rPr>
          <w:rFonts w:eastAsia="Times New Roman" w:cs="Times New Roman"/>
          <w:lang w:eastAsia="en-GB"/>
        </w:rPr>
      </w:pPr>
      <w:r w:rsidRPr="00E1530F">
        <w:rPr>
          <w:rFonts w:eastAsia="Times New Roman" w:cs="Arial"/>
          <w:color w:val="212529"/>
          <w:shd w:val="clear" w:color="auto" w:fill="FFFFFF"/>
          <w:lang w:eastAsia="en-GB"/>
        </w:rPr>
        <w:t>©</w:t>
      </w:r>
      <w:r w:rsidR="00942A9F">
        <w:rPr>
          <w:rFonts w:eastAsia="Times New Roman" w:cs="Arial"/>
          <w:color w:val="212529"/>
          <w:shd w:val="clear" w:color="auto" w:fill="FFFFFF"/>
          <w:lang w:eastAsia="en-GB"/>
        </w:rPr>
        <w:t>Zainab Khatun Hussain</w:t>
      </w:r>
      <w:r w:rsidRPr="00E1530F">
        <w:rPr>
          <w:rFonts w:eastAsia="Times New Roman" w:cs="Arial"/>
          <w:color w:val="212529"/>
          <w:shd w:val="clear" w:color="auto" w:fill="FFFFFF"/>
          <w:lang w:eastAsia="en-GB"/>
        </w:rPr>
        <w:t>. This article is licensed under a Creative Commons Attribution 4.0 International Licence (CC BY).</w:t>
      </w:r>
    </w:p>
    <w:sectPr w:rsidR="001D7306" w:rsidRPr="00240A04" w:rsidSect="00BE6334">
      <w:headerReference w:type="default" r:id="rId57"/>
      <w:footerReference w:type="default" r:id="rId58"/>
      <w:headerReference w:type="first" r:id="rId59"/>
      <w:footerReference w:type="first" r:id="rId6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1F62" w14:textId="77777777" w:rsidR="00D05ABD" w:rsidRDefault="00D05ABD" w:rsidP="002B247D">
      <w:pPr>
        <w:spacing w:after="0" w:line="240" w:lineRule="auto"/>
      </w:pPr>
      <w:r>
        <w:separator/>
      </w:r>
    </w:p>
  </w:endnote>
  <w:endnote w:type="continuationSeparator" w:id="0">
    <w:p w14:paraId="51128CE3" w14:textId="77777777" w:rsidR="00D05ABD" w:rsidRDefault="00D05ABD"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0B1B9F">
          <w:rPr>
            <w:noProof/>
          </w:rPr>
          <w:t>2</w:t>
        </w:r>
        <w:r w:rsidRPr="00990D5E">
          <w:rPr>
            <w:noProof/>
          </w:rPr>
          <w:fldChar w:fldCharType="end"/>
        </w:r>
      </w:p>
      <w:p w14:paraId="01B5BDD7" w14:textId="38EEB7BC" w:rsidR="00BE6334" w:rsidRPr="00990D5E" w:rsidRDefault="00BE6334">
        <w:pPr>
          <w:pStyle w:val="Footer"/>
          <w:jc w:val="center"/>
          <w:rPr>
            <w:sz w:val="20"/>
            <w:szCs w:val="20"/>
          </w:rPr>
        </w:pPr>
        <w:r w:rsidRPr="00990D5E">
          <w:rPr>
            <w:noProof/>
            <w:sz w:val="20"/>
            <w:szCs w:val="20"/>
          </w:rPr>
          <w:t>This article is CC BY (</w:t>
        </w:r>
        <w:r w:rsidR="00942A9F">
          <w:rPr>
            <w:noProof/>
            <w:sz w:val="20"/>
            <w:szCs w:val="20"/>
          </w:rPr>
          <w:t>Zainab Khatun Hussain</w:t>
        </w:r>
        <w:r w:rsidRPr="00990D5E">
          <w:rPr>
            <w:noProof/>
            <w:sz w:val="20"/>
            <w:szCs w:val="20"/>
          </w:rPr>
          <w:t>)</w:t>
        </w:r>
        <w:r w:rsidRPr="00990D5E">
          <w:rPr>
            <w:noProof/>
            <w:sz w:val="20"/>
            <w:szCs w:val="20"/>
          </w:rPr>
          <w:tab/>
        </w:r>
        <w:r w:rsidRPr="00990D5E">
          <w:rPr>
            <w:noProof/>
            <w:sz w:val="20"/>
            <w:szCs w:val="20"/>
          </w:rPr>
          <w:tab/>
          <w:t xml:space="preserve">Essex Student Journal, </w:t>
        </w:r>
        <w:r w:rsidR="00391EB2">
          <w:rPr>
            <w:noProof/>
            <w:sz w:val="20"/>
            <w:szCs w:val="20"/>
          </w:rPr>
          <w:t>202</w:t>
        </w:r>
        <w:r w:rsidR="00FE78FE">
          <w:rPr>
            <w:noProof/>
            <w:sz w:val="20"/>
            <w:szCs w:val="20"/>
          </w:rPr>
          <w:t>4</w:t>
        </w:r>
        <w:r w:rsidR="00990D5E">
          <w:rPr>
            <w:noProof/>
            <w:sz w:val="20"/>
            <w:szCs w:val="20"/>
          </w:rPr>
          <w:t>, Vol</w:t>
        </w:r>
        <w:r w:rsidRPr="00990D5E">
          <w:rPr>
            <w:noProof/>
            <w:sz w:val="20"/>
            <w:szCs w:val="20"/>
          </w:rPr>
          <w:t>.</w:t>
        </w:r>
        <w:r w:rsidR="00391EB2">
          <w:rPr>
            <w:noProof/>
            <w:sz w:val="20"/>
            <w:szCs w:val="20"/>
          </w:rPr>
          <w:t xml:space="preserve"> 15(1)</w:t>
        </w:r>
      </w:p>
    </w:sdtContent>
  </w:sdt>
  <w:p w14:paraId="793C577F" w14:textId="1EBD2CAC" w:rsidR="00BE6334" w:rsidRPr="00990D5E" w:rsidRDefault="00BE6334">
    <w:pPr>
      <w:pStyle w:val="Footer"/>
      <w:rPr>
        <w:sz w:val="20"/>
        <w:szCs w:val="20"/>
      </w:rPr>
    </w:pPr>
    <w:r w:rsidRPr="00990D5E">
      <w:rPr>
        <w:sz w:val="20"/>
        <w:szCs w:val="20"/>
      </w:rPr>
      <w:t xml:space="preserve">DOI: </w:t>
    </w:r>
    <w:hyperlink r:id="rId1" w:history="1">
      <w:r w:rsidR="00C6198D" w:rsidRPr="0020218E">
        <w:rPr>
          <w:rStyle w:val="Hyperlink"/>
          <w:sz w:val="20"/>
          <w:szCs w:val="20"/>
        </w:rPr>
        <w:t>https://doi.org/10.5526/esj.293</w:t>
      </w:r>
    </w:hyperlink>
    <w:r w:rsidR="00FE78FE">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0B1B9F">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19320" w14:textId="77777777" w:rsidR="00D05ABD" w:rsidRDefault="00D05ABD" w:rsidP="002B247D">
      <w:pPr>
        <w:spacing w:after="0" w:line="240" w:lineRule="auto"/>
      </w:pPr>
      <w:r>
        <w:separator/>
      </w:r>
    </w:p>
  </w:footnote>
  <w:footnote w:type="continuationSeparator" w:id="0">
    <w:p w14:paraId="7D46BA5D" w14:textId="77777777" w:rsidR="00D05ABD" w:rsidRDefault="00D05ABD"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0755E08E" w:rsidR="002B247D" w:rsidRPr="00990D5E" w:rsidRDefault="00942A9F">
    <w:pPr>
      <w:pStyle w:val="Header"/>
    </w:pPr>
    <w:r w:rsidRPr="00942A9F">
      <w:t>Quality of Life for Individuals with Post-Stroke Dysphagia: A Narrative Literature Review and Research Proposal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6C81A2B7" w:rsidR="00575297" w:rsidRPr="00536CCB" w:rsidRDefault="00486A0C" w:rsidP="00486A0C">
    <w:pPr>
      <w:pStyle w:val="Header"/>
    </w:pPr>
    <w:r w:rsidRPr="00536CCB">
      <w:t>Quality of Life for Individuals with Post-Stroke Dysphagia: A Narrative Literature Review and Research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0582B"/>
    <w:multiLevelType w:val="hybridMultilevel"/>
    <w:tmpl w:val="2EB40A14"/>
    <w:lvl w:ilvl="0" w:tplc="0B809186">
      <w:start w:val="7"/>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284F2E"/>
    <w:multiLevelType w:val="hybridMultilevel"/>
    <w:tmpl w:val="F5A08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532F4"/>
    <w:multiLevelType w:val="hybridMultilevel"/>
    <w:tmpl w:val="C0EE1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357980">
    <w:abstractNumId w:val="1"/>
  </w:num>
  <w:num w:numId="2" w16cid:durableId="1943032923">
    <w:abstractNumId w:val="4"/>
  </w:num>
  <w:num w:numId="3" w16cid:durableId="2018388153">
    <w:abstractNumId w:val="0"/>
  </w:num>
  <w:num w:numId="4" w16cid:durableId="968050007">
    <w:abstractNumId w:val="3"/>
  </w:num>
  <w:num w:numId="5" w16cid:durableId="419453237">
    <w:abstractNumId w:val="5"/>
  </w:num>
  <w:num w:numId="6" w16cid:durableId="1797067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23DB4"/>
    <w:rsid w:val="000278A2"/>
    <w:rsid w:val="00054636"/>
    <w:rsid w:val="00057F3F"/>
    <w:rsid w:val="00066760"/>
    <w:rsid w:val="00082008"/>
    <w:rsid w:val="00082E66"/>
    <w:rsid w:val="00083282"/>
    <w:rsid w:val="00084D0D"/>
    <w:rsid w:val="00092C26"/>
    <w:rsid w:val="00094E2A"/>
    <w:rsid w:val="000A5802"/>
    <w:rsid w:val="000B1B9F"/>
    <w:rsid w:val="000D12EE"/>
    <w:rsid w:val="000D7DD6"/>
    <w:rsid w:val="000F5D30"/>
    <w:rsid w:val="001042E8"/>
    <w:rsid w:val="001057B8"/>
    <w:rsid w:val="00107C48"/>
    <w:rsid w:val="001463E9"/>
    <w:rsid w:val="00146B7A"/>
    <w:rsid w:val="00160C98"/>
    <w:rsid w:val="00171C79"/>
    <w:rsid w:val="001B6A43"/>
    <w:rsid w:val="001D7306"/>
    <w:rsid w:val="001F0025"/>
    <w:rsid w:val="001F5DCA"/>
    <w:rsid w:val="002167D1"/>
    <w:rsid w:val="00221F4A"/>
    <w:rsid w:val="00240A04"/>
    <w:rsid w:val="00240FC1"/>
    <w:rsid w:val="002B247D"/>
    <w:rsid w:val="002B2DDF"/>
    <w:rsid w:val="002C034E"/>
    <w:rsid w:val="002C2942"/>
    <w:rsid w:val="002C2FBC"/>
    <w:rsid w:val="002C4464"/>
    <w:rsid w:val="002C7AC5"/>
    <w:rsid w:val="002E1AF3"/>
    <w:rsid w:val="002E3823"/>
    <w:rsid w:val="00313E93"/>
    <w:rsid w:val="00325E64"/>
    <w:rsid w:val="00331418"/>
    <w:rsid w:val="0035767C"/>
    <w:rsid w:val="00370E7C"/>
    <w:rsid w:val="00374289"/>
    <w:rsid w:val="00391EB2"/>
    <w:rsid w:val="00397E61"/>
    <w:rsid w:val="003E584F"/>
    <w:rsid w:val="003F3860"/>
    <w:rsid w:val="00422B58"/>
    <w:rsid w:val="00443BC9"/>
    <w:rsid w:val="004567C1"/>
    <w:rsid w:val="00486A0C"/>
    <w:rsid w:val="004E51D5"/>
    <w:rsid w:val="005309C2"/>
    <w:rsid w:val="005364B0"/>
    <w:rsid w:val="00536CCB"/>
    <w:rsid w:val="00547427"/>
    <w:rsid w:val="00575297"/>
    <w:rsid w:val="00577D86"/>
    <w:rsid w:val="005B2908"/>
    <w:rsid w:val="005B39B8"/>
    <w:rsid w:val="00610299"/>
    <w:rsid w:val="00610606"/>
    <w:rsid w:val="00637440"/>
    <w:rsid w:val="00642356"/>
    <w:rsid w:val="00674826"/>
    <w:rsid w:val="00687721"/>
    <w:rsid w:val="006909F0"/>
    <w:rsid w:val="00691311"/>
    <w:rsid w:val="0069746A"/>
    <w:rsid w:val="006A66A3"/>
    <w:rsid w:val="006F1E93"/>
    <w:rsid w:val="006F7358"/>
    <w:rsid w:val="007159E9"/>
    <w:rsid w:val="00722551"/>
    <w:rsid w:val="00733AC7"/>
    <w:rsid w:val="00737741"/>
    <w:rsid w:val="007B0B3B"/>
    <w:rsid w:val="007B2F6E"/>
    <w:rsid w:val="007B39A3"/>
    <w:rsid w:val="007D3D54"/>
    <w:rsid w:val="007F7C2C"/>
    <w:rsid w:val="008253F0"/>
    <w:rsid w:val="008314F4"/>
    <w:rsid w:val="00863C36"/>
    <w:rsid w:val="00873FFB"/>
    <w:rsid w:val="008E394F"/>
    <w:rsid w:val="008F343A"/>
    <w:rsid w:val="008F4BA4"/>
    <w:rsid w:val="00903F46"/>
    <w:rsid w:val="009160DF"/>
    <w:rsid w:val="00930090"/>
    <w:rsid w:val="00933FA3"/>
    <w:rsid w:val="00942A9F"/>
    <w:rsid w:val="0094339F"/>
    <w:rsid w:val="00967DA4"/>
    <w:rsid w:val="00986A1A"/>
    <w:rsid w:val="00990D5E"/>
    <w:rsid w:val="009A0883"/>
    <w:rsid w:val="009C10A8"/>
    <w:rsid w:val="009C592F"/>
    <w:rsid w:val="009E26F7"/>
    <w:rsid w:val="009F523D"/>
    <w:rsid w:val="00A10993"/>
    <w:rsid w:val="00A23FF0"/>
    <w:rsid w:val="00A3652D"/>
    <w:rsid w:val="00A538B5"/>
    <w:rsid w:val="00A55EA2"/>
    <w:rsid w:val="00AC1E55"/>
    <w:rsid w:val="00B04BE3"/>
    <w:rsid w:val="00B322FB"/>
    <w:rsid w:val="00B377BF"/>
    <w:rsid w:val="00B442CD"/>
    <w:rsid w:val="00B45D8B"/>
    <w:rsid w:val="00B46256"/>
    <w:rsid w:val="00B77266"/>
    <w:rsid w:val="00B968BA"/>
    <w:rsid w:val="00BB78DF"/>
    <w:rsid w:val="00BC0C64"/>
    <w:rsid w:val="00BD2F4E"/>
    <w:rsid w:val="00BD4E1D"/>
    <w:rsid w:val="00BE6334"/>
    <w:rsid w:val="00C07F32"/>
    <w:rsid w:val="00C30B14"/>
    <w:rsid w:val="00C4128C"/>
    <w:rsid w:val="00C471D1"/>
    <w:rsid w:val="00C6198D"/>
    <w:rsid w:val="00C674F8"/>
    <w:rsid w:val="00C74E9F"/>
    <w:rsid w:val="00C80634"/>
    <w:rsid w:val="00CA3219"/>
    <w:rsid w:val="00CD45A0"/>
    <w:rsid w:val="00CE3A06"/>
    <w:rsid w:val="00CF5C0C"/>
    <w:rsid w:val="00D05ABD"/>
    <w:rsid w:val="00D34F9F"/>
    <w:rsid w:val="00D35A7A"/>
    <w:rsid w:val="00D3717F"/>
    <w:rsid w:val="00DB3949"/>
    <w:rsid w:val="00DC1DF3"/>
    <w:rsid w:val="00DD1181"/>
    <w:rsid w:val="00DF250D"/>
    <w:rsid w:val="00E27033"/>
    <w:rsid w:val="00E355F6"/>
    <w:rsid w:val="00E57E6E"/>
    <w:rsid w:val="00E61399"/>
    <w:rsid w:val="00E85A0D"/>
    <w:rsid w:val="00EC3D43"/>
    <w:rsid w:val="00ED039A"/>
    <w:rsid w:val="00EE345E"/>
    <w:rsid w:val="00F71D35"/>
    <w:rsid w:val="00FC77AB"/>
    <w:rsid w:val="00FD62F9"/>
    <w:rsid w:val="00FE1138"/>
    <w:rsid w:val="00FE534F"/>
    <w:rsid w:val="00FE78FE"/>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EAA79E"/>
  <w15:docId w15:val="{4394D826-1C46-42FB-A006-DA437C6D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20"/>
    <w:unhideWhenUsed/>
    <w:qFormat/>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customStyle="1" w:styleId="UnresolvedMention1">
    <w:name w:val="Unresolved Mention1"/>
    <w:basedOn w:val="DefaultParagraphFont"/>
    <w:uiPriority w:val="99"/>
    <w:semiHidden/>
    <w:unhideWhenUsed/>
    <w:rsid w:val="00FE534F"/>
    <w:rPr>
      <w:color w:val="605E5C"/>
      <w:shd w:val="clear" w:color="auto" w:fill="E1DFDD"/>
    </w:rPr>
  </w:style>
  <w:style w:type="paragraph" w:styleId="ListParagraph">
    <w:name w:val="List Paragraph"/>
    <w:basedOn w:val="Normal"/>
    <w:uiPriority w:val="34"/>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character" w:customStyle="1" w:styleId="xapple-converted-space">
    <w:name w:val="x_apple-converted-space"/>
    <w:basedOn w:val="DefaultParagraphFont"/>
    <w:rsid w:val="001B6A43"/>
  </w:style>
  <w:style w:type="paragraph" w:customStyle="1" w:styleId="xp1">
    <w:name w:val="x_p1"/>
    <w:basedOn w:val="Normal"/>
    <w:rsid w:val="001B6A43"/>
    <w:pPr>
      <w:spacing w:before="100" w:beforeAutospacing="1" w:after="100" w:afterAutospacing="1" w:line="240" w:lineRule="auto"/>
    </w:pPr>
    <w:rPr>
      <w:rFonts w:ascii="Times" w:eastAsiaTheme="minorEastAsia" w:hAnsi="Times"/>
      <w:sz w:val="20"/>
      <w:szCs w:val="20"/>
    </w:rPr>
  </w:style>
  <w:style w:type="character" w:customStyle="1" w:styleId="xs1">
    <w:name w:val="x_s1"/>
    <w:basedOn w:val="DefaultParagraphFont"/>
    <w:rsid w:val="001B6A43"/>
  </w:style>
  <w:style w:type="paragraph" w:customStyle="1" w:styleId="xp2">
    <w:name w:val="x_p2"/>
    <w:basedOn w:val="Normal"/>
    <w:rsid w:val="001B6A43"/>
    <w:pPr>
      <w:spacing w:before="100" w:beforeAutospacing="1" w:after="100" w:afterAutospacing="1" w:line="240" w:lineRule="auto"/>
    </w:pPr>
    <w:rPr>
      <w:rFonts w:ascii="Times" w:eastAsiaTheme="minorEastAsia" w:hAnsi="Times"/>
      <w:sz w:val="20"/>
      <w:szCs w:val="20"/>
    </w:rPr>
  </w:style>
  <w:style w:type="paragraph" w:styleId="NormalWeb">
    <w:name w:val="Normal (Web)"/>
    <w:basedOn w:val="Normal"/>
    <w:uiPriority w:val="99"/>
    <w:unhideWhenUsed/>
    <w:rsid w:val="001B6A43"/>
    <w:pPr>
      <w:spacing w:before="100" w:beforeAutospacing="1" w:after="100" w:afterAutospacing="1" w:line="240" w:lineRule="auto"/>
    </w:pPr>
    <w:rPr>
      <w:rFonts w:ascii="Times" w:eastAsiaTheme="minorEastAsia" w:hAnsi="Times" w:cs="Times New Roman"/>
      <w:sz w:val="20"/>
      <w:szCs w:val="20"/>
    </w:rPr>
  </w:style>
  <w:style w:type="character" w:customStyle="1" w:styleId="a-size-large">
    <w:name w:val="a-size-large"/>
    <w:basedOn w:val="DefaultParagraphFont"/>
    <w:rsid w:val="00370E7C"/>
  </w:style>
  <w:style w:type="table" w:styleId="TableGrid">
    <w:name w:val="Table Grid"/>
    <w:basedOn w:val="TableNormal"/>
    <w:uiPriority w:val="59"/>
    <w:rsid w:val="00370E7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3BC9"/>
    <w:pPr>
      <w:spacing w:after="0" w:line="240" w:lineRule="auto"/>
    </w:pPr>
    <w:rPr>
      <w:rFonts w:ascii="Sylfaen" w:hAnsi="Sylfaen"/>
    </w:rPr>
  </w:style>
  <w:style w:type="character" w:styleId="CommentReference">
    <w:name w:val="annotation reference"/>
    <w:basedOn w:val="DefaultParagraphFont"/>
    <w:uiPriority w:val="99"/>
    <w:semiHidden/>
    <w:unhideWhenUsed/>
    <w:rsid w:val="00DB3949"/>
    <w:rPr>
      <w:sz w:val="16"/>
      <w:szCs w:val="16"/>
    </w:rPr>
  </w:style>
  <w:style w:type="paragraph" w:styleId="CommentText">
    <w:name w:val="annotation text"/>
    <w:basedOn w:val="Normal"/>
    <w:link w:val="CommentTextChar"/>
    <w:uiPriority w:val="99"/>
    <w:unhideWhenUsed/>
    <w:rsid w:val="00DB3949"/>
    <w:pPr>
      <w:spacing w:line="240" w:lineRule="auto"/>
    </w:pPr>
    <w:rPr>
      <w:sz w:val="20"/>
      <w:szCs w:val="20"/>
    </w:rPr>
  </w:style>
  <w:style w:type="character" w:customStyle="1" w:styleId="CommentTextChar">
    <w:name w:val="Comment Text Char"/>
    <w:basedOn w:val="DefaultParagraphFont"/>
    <w:link w:val="CommentText"/>
    <w:uiPriority w:val="99"/>
    <w:rsid w:val="00DB3949"/>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DB3949"/>
    <w:rPr>
      <w:b/>
      <w:bCs/>
    </w:rPr>
  </w:style>
  <w:style w:type="character" w:customStyle="1" w:styleId="CommentSubjectChar">
    <w:name w:val="Comment Subject Char"/>
    <w:basedOn w:val="CommentTextChar"/>
    <w:link w:val="CommentSubject"/>
    <w:uiPriority w:val="99"/>
    <w:semiHidden/>
    <w:rsid w:val="00DB3949"/>
    <w:rPr>
      <w:rFonts w:ascii="Sylfaen" w:hAnsi="Sylfaen"/>
      <w:b/>
      <w:bCs/>
      <w:sz w:val="20"/>
      <w:szCs w:val="20"/>
    </w:rPr>
  </w:style>
  <w:style w:type="paragraph" w:styleId="BalloonText">
    <w:name w:val="Balloon Text"/>
    <w:basedOn w:val="Normal"/>
    <w:link w:val="BalloonTextChar"/>
    <w:uiPriority w:val="99"/>
    <w:semiHidden/>
    <w:unhideWhenUsed/>
    <w:rsid w:val="00084D0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D0D"/>
    <w:rPr>
      <w:rFonts w:ascii="Lucida Grande" w:hAnsi="Lucida Grande" w:cs="Lucida Grande"/>
      <w:sz w:val="18"/>
      <w:szCs w:val="18"/>
    </w:rPr>
  </w:style>
  <w:style w:type="character" w:styleId="FollowedHyperlink">
    <w:name w:val="FollowedHyperlink"/>
    <w:basedOn w:val="DefaultParagraphFont"/>
    <w:uiPriority w:val="99"/>
    <w:semiHidden/>
    <w:unhideWhenUsed/>
    <w:rsid w:val="00084D0D"/>
    <w:rPr>
      <w:color w:val="800080" w:themeColor="followedHyperlink"/>
      <w:u w:val="single"/>
    </w:rPr>
  </w:style>
  <w:style w:type="character" w:styleId="UnresolvedMention">
    <w:name w:val="Unresolved Mention"/>
    <w:basedOn w:val="DefaultParagraphFont"/>
    <w:uiPriority w:val="99"/>
    <w:semiHidden/>
    <w:unhideWhenUsed/>
    <w:rsid w:val="000A5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x.doi.org/10.1055%2Fs-0033-1364169" TargetMode="External"/><Relationship Id="rId18" Type="http://schemas.openxmlformats.org/officeDocument/2006/relationships/hyperlink" Target="https://doi.org/10.1002/hec.3612" TargetMode="External"/><Relationship Id="rId26" Type="http://schemas.openxmlformats.org/officeDocument/2006/relationships/hyperlink" Target="https://dx.doi.org/10.3390%2Fgeriatrics5010015" TargetMode="External"/><Relationship Id="rId39" Type="http://schemas.openxmlformats.org/officeDocument/2006/relationships/hyperlink" Target="https://www.rcslt.org/members/research/advice-and-support/" TargetMode="External"/><Relationship Id="rId21" Type="http://schemas.openxmlformats.org/officeDocument/2006/relationships/hyperlink" Target="https://dx.doi.org/10.1589%2Fjpts.29.1552" TargetMode="External"/><Relationship Id="rId34" Type="http://schemas.openxmlformats.org/officeDocument/2006/relationships/hyperlink" Target="https://doi.org/10.1080/09638288.2017.1300948" TargetMode="External"/><Relationship Id="rId42" Type="http://schemas.openxmlformats.org/officeDocument/2006/relationships/hyperlink" Target="https://dx.doi.org/10.1089%2Fjpm.2017.0391" TargetMode="External"/><Relationship Id="rId47" Type="http://schemas.openxmlformats.org/officeDocument/2006/relationships/hyperlink" Target="https://www.stroke.org.uk/research/our-funding-schemes" TargetMode="External"/><Relationship Id="rId50" Type="http://schemas.openxmlformats.org/officeDocument/2006/relationships/hyperlink" Target="https://www.essex.ac.uk/student/professional-services/research-enterprise-office-team" TargetMode="External"/><Relationship Id="rId55" Type="http://schemas.openxmlformats.org/officeDocument/2006/relationships/hyperlink" Target="https://www.who.int/standards/classifications/international-classification-of-functioning-disability-and-healt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x.doi.org/10.1590%2F2176-9451.19.4.027-029.ebo" TargetMode="External"/><Relationship Id="rId29" Type="http://schemas.openxmlformats.org/officeDocument/2006/relationships/hyperlink" Target="https://doi.org/10.1177%2F2632084320947559" TargetMode="External"/><Relationship Id="rId11" Type="http://schemas.openxmlformats.org/officeDocument/2006/relationships/hyperlink" Target="https://doi.org/10.1188/14.onf.545-547" TargetMode="External"/><Relationship Id="rId24" Type="http://schemas.openxmlformats.org/officeDocument/2006/relationships/hyperlink" Target="https://dx.doi.org/10.1016%2Fj.janxdis.2020.102239" TargetMode="External"/><Relationship Id="rId32" Type="http://schemas.openxmlformats.org/officeDocument/2006/relationships/hyperlink" Target="https://link.springer.com/article/10.1007/s00455-001-0109-1" TargetMode="External"/><Relationship Id="rId37" Type="http://schemas.openxmlformats.org/officeDocument/2006/relationships/hyperlink" Target="http://prisma-statement.org/documents/PRISMA%202009%20flow%20diagram.pdf" TargetMode="External"/><Relationship Id="rId40" Type="http://schemas.openxmlformats.org/officeDocument/2006/relationships/hyperlink" Target="https://doi.org/10.1177/1468794119884806" TargetMode="External"/><Relationship Id="rId45" Type="http://schemas.openxmlformats.org/officeDocument/2006/relationships/hyperlink" Target="https://www.stroke.org.uk/effects-of-stroke/physical-effects-of-stroke/swallowing-problems" TargetMode="External"/><Relationship Id="rId53" Type="http://schemas.openxmlformats.org/officeDocument/2006/relationships/hyperlink" Target="https://dx.doi.org/10.1186%2F1748-5908-5-91"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x.doi.org/10.1080%2F17482631.2018.1522194" TargetMode="External"/><Relationship Id="rId14" Type="http://schemas.openxmlformats.org/officeDocument/2006/relationships/hyperlink" Target="http://dx.doi.org/10.1007/s10508-012-0016-6" TargetMode="External"/><Relationship Id="rId22" Type="http://schemas.openxmlformats.org/officeDocument/2006/relationships/hyperlink" Target="https://jbi.global/sites/default/files/2019-05/JBI_Critical_Appraisal-Checklist_for_Analytical_Cross_Sectional_Studies2017_0.pdf" TargetMode="External"/><Relationship Id="rId27" Type="http://schemas.openxmlformats.org/officeDocument/2006/relationships/hyperlink" Target="https://doi.org/10.1080/09658211.2013.844261" TargetMode="External"/><Relationship Id="rId30" Type="http://schemas.openxmlformats.org/officeDocument/2006/relationships/hyperlink" Target="http://dx.doi.org/10.7748/nr.22.6.22.e1344" TargetMode="External"/><Relationship Id="rId35" Type="http://schemas.openxmlformats.org/officeDocument/2006/relationships/hyperlink" Target="http://dx.doi.org/10.1136/eb-2015-102054" TargetMode="External"/><Relationship Id="rId43" Type="http://schemas.openxmlformats.org/officeDocument/2006/relationships/hyperlink" Target="https://dx.doi.org/10.1177%2F2049463714541642" TargetMode="External"/><Relationship Id="rId48" Type="http://schemas.openxmlformats.org/officeDocument/2006/relationships/hyperlink" Target="https://dx.doi.org/10.12688%2Ff1000research.18900.1" TargetMode="External"/><Relationship Id="rId56" Type="http://schemas.openxmlformats.org/officeDocument/2006/relationships/image" Target="media/image1.jpeg"/><Relationship Id="rId8" Type="http://schemas.openxmlformats.org/officeDocument/2006/relationships/hyperlink" Target="https://doi.org/10.1016/j.cct.2007.02.004" TargetMode="External"/><Relationship Id="rId51" Type="http://schemas.openxmlformats.org/officeDocument/2006/relationships/hyperlink" Target="https://bmcmedresmethodol.biomedcentral.com/articles/10.1186/s12874-018-0594-7" TargetMode="External"/><Relationship Id="rId3" Type="http://schemas.openxmlformats.org/officeDocument/2006/relationships/styles" Target="styles.xml"/><Relationship Id="rId12" Type="http://schemas.openxmlformats.org/officeDocument/2006/relationships/hyperlink" Target="https://casp-uk.b-cdn.net/wp-content/uploads/2018/03/CASP-Qualitative-Checklist-2018_fillable_form.pdf" TargetMode="External"/><Relationship Id="rId17" Type="http://schemas.openxmlformats.org/officeDocument/2006/relationships/hyperlink" Target="https://dx.doi.org/10.1007%2Fs40141-013-0017-y" TargetMode="External"/><Relationship Id="rId25" Type="http://schemas.openxmlformats.org/officeDocument/2006/relationships/hyperlink" Target="https://dx.doi.org/10.1097%2FMD.0000000000021795" TargetMode="External"/><Relationship Id="rId33" Type="http://schemas.openxmlformats.org/officeDocument/2006/relationships/hyperlink" Target="https://dx.doi.org/10.1007%2Fs11266-021-00400-3" TargetMode="External"/><Relationship Id="rId38" Type="http://schemas.openxmlformats.org/officeDocument/2006/relationships/hyperlink" Target="http://dx.doi.org/10.1590/S2176-94512013000600003" TargetMode="External"/><Relationship Id="rId46" Type="http://schemas.openxmlformats.org/officeDocument/2006/relationships/hyperlink" Target="https://www.stroke.org.uk/research/get-involved-research/take-part-in-research" TargetMode="External"/><Relationship Id="rId59" Type="http://schemas.openxmlformats.org/officeDocument/2006/relationships/header" Target="header2.xml"/><Relationship Id="rId20" Type="http://schemas.openxmlformats.org/officeDocument/2006/relationships/hyperlink" Target="https://dx.doi.org/10.4172%2Fplastic-surgery.1000900" TargetMode="External"/><Relationship Id="rId41" Type="http://schemas.openxmlformats.org/officeDocument/2006/relationships/hyperlink" Target="https://dx.doi.org/10.3233%2FWOR-182754" TargetMode="External"/><Relationship Id="rId54" Type="http://schemas.openxmlformats.org/officeDocument/2006/relationships/hyperlink" Target="https://www.who.int/tools/whoqo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x.doi.org/10.3390%2Fgeriatrics4040067" TargetMode="External"/><Relationship Id="rId23" Type="http://schemas.openxmlformats.org/officeDocument/2006/relationships/hyperlink" Target="https://dx.doi.org/10.5688%2Fajpe7120" TargetMode="External"/><Relationship Id="rId28" Type="http://schemas.openxmlformats.org/officeDocument/2006/relationships/hyperlink" Target="http://dx.doi.org/10.4061/2010/570403" TargetMode="External"/><Relationship Id="rId36" Type="http://schemas.openxmlformats.org/officeDocument/2006/relationships/hyperlink" Target="https://dx.doi.org/10.1007%2Fs10488-013-0528-y" TargetMode="External"/><Relationship Id="rId49" Type="http://schemas.openxmlformats.org/officeDocument/2006/relationships/hyperlink" Target="https://www.essex.ac.uk/staff/research-governance/ethical-approval-resources-for-applicants" TargetMode="External"/><Relationship Id="rId57" Type="http://schemas.openxmlformats.org/officeDocument/2006/relationships/header" Target="header1.xml"/><Relationship Id="rId10" Type="http://schemas.openxmlformats.org/officeDocument/2006/relationships/hyperlink" Target="https://dx.doi.org/10.1007%2Fs11135-014-0144-2" TargetMode="External"/><Relationship Id="rId31" Type="http://schemas.openxmlformats.org/officeDocument/2006/relationships/hyperlink" Target="https://dx.doi.org/10.1016%2Fj.pmr.2008.06.004" TargetMode="External"/><Relationship Id="rId44" Type="http://schemas.openxmlformats.org/officeDocument/2006/relationships/hyperlink" Target="https://doi.org/10.1111/1460-6984.12804" TargetMode="External"/><Relationship Id="rId52" Type="http://schemas.openxmlformats.org/officeDocument/2006/relationships/hyperlink" Target="https://onlinelibrary.wiley.com/journal/14606984"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x.doi.org/10.5812/mejrh.1057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doi.org/10.5526/esj.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1E206921-18A8-F446-A3B5-97A21A79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11330</Words>
  <Characters>64585</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 Life for Individuals with Post-Stroke Dysphagia: A Narrative Literature Review and Research Proposal</dc:title>
  <dc:subject/>
  <dc:creator>Hussain, Zainab K J</dc:creator>
  <cp:keywords/>
  <dc:description/>
  <cp:lastModifiedBy>Aghasoleimani, Kimia</cp:lastModifiedBy>
  <cp:revision>2</cp:revision>
  <dcterms:created xsi:type="dcterms:W3CDTF">2024-07-22T12:01:00Z</dcterms:created>
  <dcterms:modified xsi:type="dcterms:W3CDTF">2024-07-22T12:01:00Z</dcterms:modified>
</cp:coreProperties>
</file>