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D1E4524"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2C1CC063" w:rsidR="0020222F" w:rsidRPr="00485B85" w:rsidRDefault="000C6DCF" w:rsidP="00B322FB">
      <w:pPr>
        <w:spacing w:after="160" w:line="360" w:lineRule="auto"/>
        <w:rPr>
          <w:rFonts w:ascii="Sylfaen" w:eastAsiaTheme="majorEastAsia" w:hAnsi="Sylfaen" w:cstheme="majorBidi"/>
          <w:spacing w:val="-10"/>
          <w:kern w:val="28"/>
          <w:sz w:val="48"/>
          <w:szCs w:val="56"/>
        </w:rPr>
      </w:pPr>
      <w:bookmarkStart w:id="0" w:name="_GoBack"/>
      <w:r w:rsidRPr="00485B85">
        <w:rPr>
          <w:rFonts w:ascii="Sylfaen" w:eastAsiaTheme="majorEastAsia" w:hAnsi="Sylfaen" w:cstheme="majorBidi"/>
          <w:spacing w:val="-10"/>
          <w:kern w:val="28"/>
          <w:sz w:val="48"/>
          <w:szCs w:val="56"/>
        </w:rPr>
        <w:t>Merits and Shortcomings of the Black-Scholes-Merton (BSM) Approach: An Analysis of the Role of Volatility</w:t>
      </w:r>
      <w:bookmarkEnd w:id="0"/>
    </w:p>
    <w:p w14:paraId="0736152B" w14:textId="247BE69C" w:rsidR="00240FC1" w:rsidRPr="00331418" w:rsidRDefault="000C6DCF" w:rsidP="00B322FB">
      <w:pPr>
        <w:spacing w:after="160" w:line="360" w:lineRule="auto"/>
        <w:rPr>
          <w:rFonts w:ascii="Sylfaen" w:hAnsi="Sylfaen"/>
        </w:rPr>
      </w:pPr>
      <w:r>
        <w:rPr>
          <w:rFonts w:ascii="Sylfaen" w:hAnsi="Sylfaen"/>
        </w:rPr>
        <w:t xml:space="preserve">Eleanora </w:t>
      </w:r>
      <w:proofErr w:type="spellStart"/>
      <w:r>
        <w:rPr>
          <w:rFonts w:ascii="Sylfaen" w:hAnsi="Sylfaen"/>
        </w:rPr>
        <w:t>Cambone</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5F0CF9">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15A2C1FE" w14:textId="77777777" w:rsidR="000C6DCF" w:rsidRDefault="000C6DCF" w:rsidP="000C6DCF">
      <w:pPr>
        <w:spacing w:line="360" w:lineRule="auto"/>
        <w:ind w:left="567" w:right="992"/>
        <w:jc w:val="both"/>
        <w:rPr>
          <w:rFonts w:ascii="Sylfaen" w:hAnsi="Sylfaen" w:cs="Times New Roman"/>
          <w:b/>
        </w:rPr>
      </w:pPr>
      <w:r>
        <w:rPr>
          <w:rFonts w:ascii="Sylfaen" w:hAnsi="Sylfaen" w:cs="Times New Roman"/>
        </w:rPr>
        <w:t xml:space="preserve">The historical background of option pricing dates back to 1900; before the Black-Scholes-Merton approach (BSM) was finalised, Louis </w:t>
      </w:r>
      <w:proofErr w:type="spellStart"/>
      <w:r>
        <w:rPr>
          <w:rFonts w:ascii="Sylfaen" w:hAnsi="Sylfaen" w:cs="Times New Roman"/>
        </w:rPr>
        <w:t>Bachelier</w:t>
      </w:r>
      <w:proofErr w:type="spellEnd"/>
      <w:r>
        <w:rPr>
          <w:rFonts w:ascii="Sylfaen" w:hAnsi="Sylfaen" w:cs="Times New Roman"/>
        </w:rPr>
        <w:t xml:space="preserve"> introduced the method of modelling option prices that was later extended by Sharpe and Lintner up until 1965 (Merton, 1973). With these foundations at hand, Black, Scholes and Merton finalised the model in 1973. </w:t>
      </w:r>
    </w:p>
    <w:p w14:paraId="29DE76E8" w14:textId="5FEA1261" w:rsidR="000C6DCF" w:rsidRDefault="000C6DCF" w:rsidP="000C6DCF">
      <w:pPr>
        <w:spacing w:line="360" w:lineRule="auto"/>
        <w:ind w:left="567" w:right="992"/>
        <w:jc w:val="both"/>
        <w:rPr>
          <w:rFonts w:ascii="Sylfaen" w:hAnsi="Sylfaen" w:cs="Times New Roman"/>
        </w:rPr>
      </w:pPr>
      <w:r>
        <w:rPr>
          <w:rFonts w:ascii="Sylfaen" w:hAnsi="Sylfaen" w:cs="Times New Roman"/>
        </w:rPr>
        <w:t>They constructed a model to determine the equilibrium value of an option by knowing the current price of the stock, the option striking price, the short-term interest rate (risk free), time to expiration (maturity), and the volatility of the return on the stock (Black and Scholes, 1971). The aim of this paper is to assess its economic and empirical validity as opposed to its shortcomings and limitations.</w:t>
      </w:r>
    </w:p>
    <w:p w14:paraId="56846B2F" w14:textId="77777777" w:rsidR="000C6DCF" w:rsidRDefault="000C6DCF" w:rsidP="000C6DCF">
      <w:pPr>
        <w:spacing w:line="360" w:lineRule="auto"/>
        <w:ind w:left="567" w:right="992"/>
        <w:jc w:val="both"/>
        <w:rPr>
          <w:rFonts w:ascii="Sylfaen" w:hAnsi="Sylfaen" w:cs="Times New Roman"/>
        </w:rPr>
      </w:pPr>
      <w:r>
        <w:rPr>
          <w:rFonts w:ascii="Sylfaen" w:hAnsi="Sylfaen" w:cs="Times New Roman"/>
        </w:rPr>
        <w:t>The paper is structured as follows. The first section describes the main assumptions of the BSM model. The second section provides an overview of the main merits and weaknesses of the approach, followed by a description of the contingent applications of the BSM in the next section. The final section is aimed at reminding the reader of the main points of the paper and provides constructive conclusions.</w:t>
      </w:r>
    </w:p>
    <w:p w14:paraId="393D1953" w14:textId="77777777" w:rsidR="001232EB" w:rsidRPr="00C50186" w:rsidRDefault="001232EB" w:rsidP="00355BD8">
      <w:pPr>
        <w:spacing w:after="0"/>
        <w:ind w:left="567" w:right="662"/>
        <w:contextualSpacing/>
        <w:jc w:val="both"/>
        <w:rPr>
          <w:rFonts w:ascii="Sylfaen" w:hAnsi="Sylfaen"/>
          <w:sz w:val="24"/>
          <w:szCs w:val="36"/>
        </w:rPr>
      </w:pPr>
    </w:p>
    <w:p w14:paraId="3EDF040D" w14:textId="3C25A93E" w:rsidR="002B247D" w:rsidRDefault="00240FC1" w:rsidP="00B322FB">
      <w:pPr>
        <w:spacing w:after="160" w:line="360" w:lineRule="auto"/>
        <w:rPr>
          <w:rFonts w:ascii="Sylfaen" w:hAnsi="Sylfaen"/>
        </w:rPr>
      </w:pPr>
      <w:r w:rsidRPr="00ED039A">
        <w:rPr>
          <w:rStyle w:val="Heading1Char"/>
        </w:rPr>
        <w:lastRenderedPageBreak/>
        <w:t>Keywords:</w:t>
      </w:r>
      <w:r w:rsidRPr="00331418">
        <w:rPr>
          <w:rFonts w:ascii="Sylfaen" w:hAnsi="Sylfaen"/>
        </w:rPr>
        <w:t xml:space="preserve">  </w:t>
      </w:r>
      <w:r w:rsidR="000C6DCF" w:rsidRPr="000C6DCF">
        <w:rPr>
          <w:rFonts w:ascii="Sylfaen" w:hAnsi="Sylfaen"/>
        </w:rPr>
        <w:t>Black-Scholes-Merton, BSM Model, Equilibrium Value</w:t>
      </w:r>
    </w:p>
    <w:p w14:paraId="3445926B" w14:textId="09738C5C" w:rsidR="000C6DCF" w:rsidRPr="000C6DCF" w:rsidRDefault="000C6DCF" w:rsidP="000C6DCF">
      <w:pPr>
        <w:pStyle w:val="Heading1"/>
        <w:rPr>
          <w:rFonts w:eastAsia="MS Mincho"/>
          <w:lang w:eastAsia="it-IT"/>
        </w:rPr>
      </w:pPr>
      <w:r w:rsidRPr="000C6DCF">
        <w:rPr>
          <w:rFonts w:eastAsia="MS Mincho"/>
          <w:lang w:eastAsia="it-IT"/>
        </w:rPr>
        <w:t>Assumptions of the BSM Approach</w:t>
      </w:r>
    </w:p>
    <w:p w14:paraId="6C0EE7EA"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Before proceeding with the description of the fundamental assumptions of the BSM model on option pricing, it is necessary to define what an option actually is. As Black and Scholes (1973) assert, an option is a financial contract that gives an investor the right to buy or sell an asset within a specified time window and under determined conditions. There are two main kinds of options: the European option and the American option; the former differs from the latter as it gives the owner the right to sell the shares at a pre-arranged price, the exercise price (or strike price), at the pre-arranged date: the expiration date. On the other hand, the American option can be exercised at any date before maturity (Merton, 1977). Furthermore, option types can be divided according to flexibility in terms of execution: the owner of a call or a put option – namely options that can be bought or sold on or before a specific date - has the right to exercise it for a price said to be the option premium. Both of these two options can be either naked – when the owner does not own the underlying stock - or covered (Fortune, 1996). Nevertheless, the emphasis of the BSM is put on the European-style options. </w:t>
      </w:r>
    </w:p>
    <w:p w14:paraId="12E3DC12" w14:textId="77777777" w:rsidR="000C6DCF" w:rsidRPr="000C6DCF" w:rsidRDefault="000C6DCF" w:rsidP="000C6DCF">
      <w:pPr>
        <w:spacing w:after="0" w:line="360" w:lineRule="auto"/>
        <w:jc w:val="both"/>
        <w:rPr>
          <w:rFonts w:ascii="Sylfaen" w:eastAsia="MS Mincho" w:hAnsi="Sylfaen" w:cs="Times New Roman"/>
          <w:lang w:eastAsia="it-IT"/>
        </w:rPr>
      </w:pPr>
    </w:p>
    <w:p w14:paraId="4A7E4CEB"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The assumptions that make the BSM valid are presented below, amongst the standard </w:t>
      </w:r>
      <w:proofErr w:type="gramStart"/>
      <w:r w:rsidRPr="000C6DCF">
        <w:rPr>
          <w:rFonts w:ascii="Sylfaen" w:eastAsia="MS Mincho" w:hAnsi="Sylfaen" w:cs="Times New Roman"/>
          <w:lang w:eastAsia="it-IT"/>
        </w:rPr>
        <w:t>assumptions</w:t>
      </w:r>
      <w:r w:rsidRPr="000C6DCF">
        <w:rPr>
          <w:rFonts w:ascii="Sylfaen" w:eastAsia="MS Mincho" w:hAnsi="Sylfaen" w:cs="Times New Roman"/>
          <w:vertAlign w:val="superscript"/>
          <w:lang w:eastAsia="it-IT"/>
        </w:rPr>
        <w:t xml:space="preserve"> </w:t>
      </w:r>
      <w:r w:rsidRPr="000C6DCF">
        <w:rPr>
          <w:rFonts w:ascii="Sylfaen" w:eastAsia="MS Mincho" w:hAnsi="Sylfaen" w:cs="Times New Roman"/>
          <w:lang w:eastAsia="it-IT"/>
        </w:rPr>
        <w:t xml:space="preserve"> (</w:t>
      </w:r>
      <w:proofErr w:type="gramEnd"/>
      <w:r w:rsidRPr="000C6DCF">
        <w:rPr>
          <w:rFonts w:ascii="Sylfaen" w:eastAsia="MS Mincho" w:hAnsi="Sylfaen" w:cs="Times New Roman"/>
          <w:lang w:eastAsia="it-IT"/>
        </w:rPr>
        <w:t>Bailey, 2005; Merton, 1998; Black and Scholes, 1971) for general option pricing models:</w:t>
      </w:r>
    </w:p>
    <w:p w14:paraId="6A59BDEB" w14:textId="77777777" w:rsidR="000C6DCF" w:rsidRPr="000C6DCF" w:rsidRDefault="000C6DCF" w:rsidP="000C6DCF">
      <w:pPr>
        <w:spacing w:after="0" w:line="360" w:lineRule="auto"/>
        <w:jc w:val="both"/>
        <w:rPr>
          <w:rFonts w:ascii="Sylfaen" w:eastAsia="MS Mincho" w:hAnsi="Sylfaen" w:cs="Times New Roman"/>
          <w:lang w:eastAsia="it-IT"/>
        </w:rPr>
      </w:pPr>
    </w:p>
    <w:p w14:paraId="0FD7C574"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r w:rsidRPr="000C6DCF">
        <w:rPr>
          <w:rFonts w:ascii="Sylfaen" w:eastAsia="MS Mincho" w:hAnsi="Sylfaen" w:cs="Times New Roman"/>
          <w:lang w:eastAsia="it-IT"/>
        </w:rPr>
        <w:t xml:space="preserve">Markets are frictionless; there are no transaction costs in buying or selling an underlying asset, no penalties are imposed for short selling and no institutional restrictions are enforced on trading. </w:t>
      </w:r>
    </w:p>
    <w:p w14:paraId="63BEA7E3"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r w:rsidRPr="000C6DCF">
        <w:rPr>
          <w:rFonts w:ascii="Sylfaen" w:eastAsia="MS Mincho" w:hAnsi="Sylfaen" w:cs="Times New Roman"/>
          <w:lang w:eastAsia="it-IT"/>
        </w:rPr>
        <w:t xml:space="preserve">It is possible to lend and borrow in unlimited amounts, if a constant and risk-free interest rate is guaranteed. The assets are perfectly divisible, so that each part can be sold or lent independently. </w:t>
      </w:r>
    </w:p>
    <w:p w14:paraId="243BAAE0"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r w:rsidRPr="000C6DCF">
        <w:rPr>
          <w:rFonts w:ascii="Sylfaen" w:eastAsia="MS Mincho" w:hAnsi="Sylfaen" w:cs="Times New Roman"/>
          <w:lang w:eastAsia="it-IT"/>
        </w:rPr>
        <w:t xml:space="preserve">The asset pays no dividends or other distributions during the life of the option, which is protected against possible stock splits. Additionally, the options considered are only the European type, meaning they can only be exercised at the pre-arranged maturity date. </w:t>
      </w:r>
    </w:p>
    <w:p w14:paraId="20170D12"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r w:rsidRPr="000C6DCF">
        <w:rPr>
          <w:rFonts w:ascii="Sylfaen" w:eastAsia="MS Mincho" w:hAnsi="Sylfaen" w:cs="Times New Roman"/>
          <w:lang w:eastAsia="it-IT"/>
        </w:rPr>
        <w:t>There are no riskless arbitrage opportunities: this can be viewed more like an implication from the other assumptions rather than an assumption itself.</w:t>
      </w:r>
    </w:p>
    <w:p w14:paraId="2F5D4022"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r w:rsidRPr="000C6DCF">
        <w:rPr>
          <w:rFonts w:ascii="Sylfaen" w:eastAsia="MS Mincho" w:hAnsi="Sylfaen" w:cs="Times New Roman"/>
          <w:lang w:eastAsia="it-IT"/>
        </w:rPr>
        <w:lastRenderedPageBreak/>
        <w:t xml:space="preserve">Investors’ preferences are assumed to be such that they would prefer to hold more rather than less. </w:t>
      </w:r>
    </w:p>
    <w:p w14:paraId="277234F7" w14:textId="77777777" w:rsidR="000C6DCF" w:rsidRPr="000C6DCF" w:rsidRDefault="000C6DCF" w:rsidP="000C6DCF">
      <w:pPr>
        <w:numPr>
          <w:ilvl w:val="0"/>
          <w:numId w:val="11"/>
        </w:numPr>
        <w:spacing w:after="0" w:line="360" w:lineRule="auto"/>
        <w:contextualSpacing/>
        <w:jc w:val="both"/>
        <w:rPr>
          <w:rFonts w:ascii="Sylfaen" w:eastAsia="MS Mincho" w:hAnsi="Sylfaen" w:cs="Times New Roman"/>
          <w:lang w:eastAsia="it-IT"/>
        </w:rPr>
      </w:pPr>
      <w:proofErr w:type="gramStart"/>
      <w:r w:rsidRPr="000C6DCF">
        <w:rPr>
          <w:rFonts w:ascii="Sylfaen" w:eastAsia="MS Mincho" w:hAnsi="Sylfaen" w:cs="Times New Roman"/>
          <w:lang w:eastAsia="it-IT"/>
        </w:rPr>
        <w:t>Logarithmic returns of an underlying stock are normally distributed, and follow a continuous random walk according to a Brownian motion</w:t>
      </w:r>
      <w:r w:rsidRPr="000C6DCF">
        <w:rPr>
          <w:rFonts w:ascii="Sylfaen" w:eastAsia="MS Mincho" w:hAnsi="Sylfaen" w:cs="Times New Roman"/>
          <w:vertAlign w:val="superscript"/>
          <w:lang w:eastAsia="it-IT"/>
        </w:rPr>
        <w:footnoteReference w:id="1"/>
      </w:r>
      <w:r w:rsidRPr="000C6DCF">
        <w:rPr>
          <w:rFonts w:ascii="Sylfaen" w:eastAsia="MS Mincho" w:hAnsi="Sylfaen" w:cs="Times New Roman"/>
          <w:lang w:eastAsia="it-IT"/>
        </w:rPr>
        <w:t>.</w:t>
      </w:r>
      <w:proofErr w:type="gramEnd"/>
      <w:r w:rsidRPr="000C6DCF">
        <w:rPr>
          <w:rFonts w:ascii="Sylfaen" w:eastAsia="MS Mincho" w:hAnsi="Sylfaen" w:cs="Times New Roman"/>
          <w:lang w:eastAsia="it-IT"/>
        </w:rPr>
        <w:t xml:space="preserve"> Moreover, markets are continuously open so that trading can happen anytime. </w:t>
      </w:r>
    </w:p>
    <w:p w14:paraId="6366AEB0" w14:textId="77777777" w:rsidR="000C6DCF" w:rsidRPr="000C6DCF" w:rsidRDefault="000C6DCF" w:rsidP="000C6DCF">
      <w:pPr>
        <w:spacing w:after="0" w:line="360" w:lineRule="auto"/>
        <w:ind w:left="720"/>
        <w:contextualSpacing/>
        <w:jc w:val="both"/>
        <w:rPr>
          <w:rFonts w:ascii="Sylfaen" w:eastAsia="MS Mincho" w:hAnsi="Sylfaen" w:cs="Times New Roman"/>
          <w:lang w:eastAsia="it-IT"/>
        </w:rPr>
      </w:pPr>
    </w:p>
    <w:p w14:paraId="4408F3DA" w14:textId="17B54589" w:rsidR="00485B85" w:rsidRPr="000C6DCF" w:rsidRDefault="000C6DCF" w:rsidP="00485B85">
      <w:pPr>
        <w:spacing w:after="0" w:line="360" w:lineRule="auto"/>
        <w:jc w:val="both"/>
        <w:rPr>
          <w:rFonts w:ascii="Sylfaen" w:eastAsia="MS Mincho" w:hAnsi="Sylfaen" w:cs="Times New Roman"/>
          <w:i/>
          <w:lang w:eastAsia="it-IT"/>
        </w:rPr>
      </w:pPr>
      <w:r w:rsidRPr="000C6DCF">
        <w:rPr>
          <w:rFonts w:ascii="Sylfaen" w:eastAsia="MS Mincho" w:hAnsi="Sylfaen" w:cs="Times New Roman"/>
          <w:lang w:eastAsia="it-IT"/>
        </w:rPr>
        <w:t>With the last assumption, Black, Scholes and Merton made a significant contribution to the standard assumptions already existing in financial models such as the ones described by Sharpe</w:t>
      </w:r>
      <w:r w:rsidRPr="000C6DCF">
        <w:rPr>
          <w:rFonts w:ascii="Sylfaen" w:eastAsia="MS Mincho" w:hAnsi="Sylfaen" w:cs="Times New Roman"/>
          <w:lang w:val="it-IT" w:eastAsia="it-IT"/>
        </w:rPr>
        <w:t xml:space="preserve"> (1964)</w:t>
      </w:r>
      <w:r w:rsidRPr="000C6DCF">
        <w:rPr>
          <w:rFonts w:ascii="Sylfaen" w:eastAsia="MS Mincho" w:hAnsi="Sylfaen" w:cs="Times New Roman"/>
          <w:lang w:eastAsia="it-IT"/>
        </w:rPr>
        <w:t xml:space="preserve"> and Lintner (</w:t>
      </w:r>
      <w:r w:rsidRPr="000C6DCF">
        <w:rPr>
          <w:rFonts w:ascii="Sylfaen" w:eastAsia="MS Mincho" w:hAnsi="Sylfaen" w:cs="Times New Roman"/>
          <w:lang w:val="it-IT" w:eastAsia="it-IT"/>
        </w:rPr>
        <w:t>1965)</w:t>
      </w:r>
      <w:r w:rsidRPr="000C6DCF">
        <w:rPr>
          <w:rFonts w:ascii="Sylfaen" w:eastAsia="MS Mincho" w:hAnsi="Sylfaen" w:cs="Times New Roman"/>
          <w:lang w:eastAsia="it-IT"/>
        </w:rPr>
        <w:t xml:space="preserve"> for the Capital Asset Pricing Model. The set of assumptions helps give credibility to the predictions. </w:t>
      </w:r>
      <w:proofErr w:type="gramStart"/>
      <w:r w:rsidRPr="000C6DCF">
        <w:rPr>
          <w:rFonts w:ascii="Sylfaen" w:eastAsia="MS Mincho" w:hAnsi="Sylfaen" w:cs="Times New Roman"/>
          <w:lang w:eastAsia="it-IT"/>
        </w:rPr>
        <w:t>Bearing in mind the above-mentioned theorizations,</w:t>
      </w:r>
      <w:proofErr w:type="gramEnd"/>
      <w:r w:rsidRPr="000C6DCF">
        <w:rPr>
          <w:rFonts w:ascii="Sylfaen" w:eastAsia="MS Mincho" w:hAnsi="Sylfaen" w:cs="Times New Roman"/>
          <w:lang w:eastAsia="it-IT"/>
        </w:rPr>
        <w:t xml:space="preserve"> </w:t>
      </w:r>
      <w:proofErr w:type="gramStart"/>
      <w:r w:rsidRPr="000C6DCF">
        <w:rPr>
          <w:rFonts w:ascii="Sylfaen" w:eastAsia="MS Mincho" w:hAnsi="Sylfaen" w:cs="Times New Roman"/>
          <w:lang w:eastAsia="it-IT"/>
        </w:rPr>
        <w:t>it</w:t>
      </w:r>
      <w:proofErr w:type="gramEnd"/>
      <w:r w:rsidRPr="000C6DCF">
        <w:rPr>
          <w:rFonts w:ascii="Sylfaen" w:eastAsia="MS Mincho" w:hAnsi="Sylfaen" w:cs="Times New Roman"/>
          <w:lang w:eastAsia="it-IT"/>
        </w:rPr>
        <w:t xml:space="preserve"> is now possible to outlay the formulae for the option premium (</w:t>
      </w:r>
      <w:r w:rsidRPr="000C6DCF">
        <w:rPr>
          <w:rFonts w:ascii="Sylfaen" w:eastAsia="MS Mincho" w:hAnsi="Sylfaen" w:cs="Times New Roman"/>
          <w:lang w:val="it-IT" w:eastAsia="it-IT"/>
        </w:rPr>
        <w:t xml:space="preserve">Hull, 2011) </w:t>
      </w:r>
      <w:r w:rsidRPr="000C6DCF">
        <w:rPr>
          <w:rFonts w:ascii="Sylfaen" w:eastAsia="MS Mincho" w:hAnsi="Sylfaen" w:cs="Times New Roman"/>
          <w:lang w:eastAsia="it-IT"/>
        </w:rPr>
        <w:t>regarding European call (1) and put options (2).</w:t>
      </w:r>
    </w:p>
    <w:p w14:paraId="102222AD" w14:textId="2A48DA0D" w:rsidR="000C6DCF" w:rsidRPr="00485B85" w:rsidRDefault="000C6DCF" w:rsidP="00485B85">
      <w:pPr>
        <w:pStyle w:val="ListParagraph"/>
        <w:numPr>
          <w:ilvl w:val="0"/>
          <w:numId w:val="12"/>
        </w:numPr>
        <w:spacing w:after="0" w:line="360" w:lineRule="auto"/>
        <w:ind w:left="284"/>
        <w:jc w:val="center"/>
        <w:rPr>
          <w:rFonts w:ascii="Sylfaen" w:eastAsia="MS Mincho" w:hAnsi="Sylfaen" w:cs="Times New Roman"/>
          <w:lang w:eastAsia="it-IT"/>
        </w:rPr>
      </w:pPr>
      <w:r w:rsidRPr="00485B85">
        <w:rPr>
          <w:rFonts w:ascii="Sylfaen" w:eastAsia="MS Mincho" w:hAnsi="Sylfaen" w:cs="Times New Roman"/>
          <w:i/>
          <w:lang w:eastAsia="it-IT"/>
        </w:rPr>
        <w:t>c=S</w:t>
      </w:r>
      <w:r w:rsidRPr="00485B85">
        <w:rPr>
          <w:rFonts w:ascii="Sylfaen" w:eastAsia="MS Mincho" w:hAnsi="Sylfaen" w:cs="Times New Roman"/>
          <w:i/>
          <w:vertAlign w:val="subscript"/>
          <w:lang w:eastAsia="it-IT"/>
        </w:rPr>
        <w:t>0</w:t>
      </w:r>
      <w:r w:rsidRPr="00485B85">
        <w:rPr>
          <w:rFonts w:ascii="Sylfaen" w:eastAsia="MS Mincho" w:hAnsi="Sylfaen" w:cs="Times New Roman"/>
          <w:i/>
          <w:lang w:eastAsia="it-IT"/>
        </w:rPr>
        <w:t>N(d</w:t>
      </w:r>
      <w:r w:rsidRPr="00485B85">
        <w:rPr>
          <w:rFonts w:ascii="Sylfaen" w:eastAsia="MS Mincho" w:hAnsi="Sylfaen" w:cs="Times New Roman"/>
          <w:i/>
          <w:vertAlign w:val="subscript"/>
          <w:lang w:eastAsia="it-IT"/>
        </w:rPr>
        <w:t>1</w:t>
      </w:r>
      <w:r w:rsidRPr="00485B85">
        <w:rPr>
          <w:rFonts w:ascii="Sylfaen" w:eastAsia="MS Mincho" w:hAnsi="Sylfaen" w:cs="Times New Roman"/>
          <w:i/>
          <w:lang w:eastAsia="it-IT"/>
        </w:rPr>
        <w:t>)-</w:t>
      </w:r>
      <w:proofErr w:type="spellStart"/>
      <w:r w:rsidRPr="00485B85">
        <w:rPr>
          <w:rFonts w:ascii="Sylfaen" w:eastAsia="MS Mincho" w:hAnsi="Sylfaen" w:cs="Times New Roman"/>
          <w:i/>
          <w:lang w:eastAsia="it-IT"/>
        </w:rPr>
        <w:t>Ke</w:t>
      </w:r>
      <w:r w:rsidRPr="00485B85">
        <w:rPr>
          <w:rFonts w:ascii="Sylfaen" w:eastAsia="MS Mincho" w:hAnsi="Sylfaen" w:cs="Times New Roman"/>
          <w:i/>
          <w:vertAlign w:val="superscript"/>
          <w:lang w:eastAsia="it-IT"/>
        </w:rPr>
        <w:t>-rT</w:t>
      </w:r>
      <w:r w:rsidRPr="00485B85">
        <w:rPr>
          <w:rFonts w:ascii="Sylfaen" w:eastAsia="MS Mincho" w:hAnsi="Sylfaen" w:cs="Times New Roman"/>
          <w:i/>
          <w:lang w:eastAsia="it-IT"/>
        </w:rPr>
        <w:t>N</w:t>
      </w:r>
      <w:proofErr w:type="spellEnd"/>
      <w:r w:rsidRPr="00485B85">
        <w:rPr>
          <w:rFonts w:ascii="Sylfaen" w:eastAsia="MS Mincho" w:hAnsi="Sylfaen" w:cs="Times New Roman"/>
          <w:i/>
          <w:lang w:eastAsia="it-IT"/>
        </w:rPr>
        <w:t>(d</w:t>
      </w:r>
      <w:r w:rsidRPr="00485B85">
        <w:rPr>
          <w:rFonts w:ascii="Sylfaen" w:eastAsia="MS Mincho" w:hAnsi="Sylfaen" w:cs="Times New Roman"/>
          <w:i/>
          <w:vertAlign w:val="subscript"/>
          <w:lang w:eastAsia="it-IT"/>
        </w:rPr>
        <w:t>2</w:t>
      </w:r>
      <w:r w:rsidRPr="00485B85">
        <w:rPr>
          <w:rFonts w:ascii="Sylfaen" w:eastAsia="MS Mincho" w:hAnsi="Sylfaen" w:cs="Times New Roman"/>
          <w:i/>
          <w:lang w:eastAsia="it-IT"/>
        </w:rPr>
        <w:t>)</w:t>
      </w:r>
    </w:p>
    <w:p w14:paraId="08990B56" w14:textId="77777777" w:rsidR="000C6DCF" w:rsidRPr="000C6DCF" w:rsidRDefault="000C6DCF" w:rsidP="00485B85">
      <w:pPr>
        <w:spacing w:after="0" w:line="360" w:lineRule="auto"/>
        <w:ind w:left="284"/>
        <w:jc w:val="center"/>
        <w:rPr>
          <w:rFonts w:ascii="Sylfaen" w:eastAsia="MS Mincho" w:hAnsi="Sylfaen" w:cs="Times New Roman"/>
          <w:lang w:eastAsia="it-IT"/>
        </w:rPr>
      </w:pPr>
    </w:p>
    <w:p w14:paraId="72549677" w14:textId="6859FE0A" w:rsidR="000C6DCF" w:rsidRPr="00485B85" w:rsidRDefault="000C6DCF" w:rsidP="00485B85">
      <w:pPr>
        <w:pStyle w:val="ListParagraph"/>
        <w:numPr>
          <w:ilvl w:val="0"/>
          <w:numId w:val="12"/>
        </w:numPr>
        <w:spacing w:after="0" w:line="360" w:lineRule="auto"/>
        <w:ind w:left="284"/>
        <w:jc w:val="center"/>
        <w:rPr>
          <w:rFonts w:ascii="Sylfaen" w:eastAsia="MS Mincho" w:hAnsi="Sylfaen" w:cs="Times New Roman"/>
          <w:vertAlign w:val="subscript"/>
          <w:lang w:eastAsia="it-IT"/>
        </w:rPr>
      </w:pPr>
      <w:r w:rsidRPr="00485B85">
        <w:rPr>
          <w:rFonts w:ascii="Sylfaen" w:eastAsia="MS Mincho" w:hAnsi="Sylfaen" w:cs="Times New Roman"/>
          <w:i/>
          <w:lang w:eastAsia="it-IT"/>
        </w:rPr>
        <w:t>p=</w:t>
      </w:r>
      <w:proofErr w:type="spellStart"/>
      <w:r w:rsidRPr="00485B85">
        <w:rPr>
          <w:rFonts w:ascii="Sylfaen" w:eastAsia="MS Mincho" w:hAnsi="Sylfaen" w:cs="Times New Roman"/>
          <w:i/>
          <w:lang w:eastAsia="it-IT"/>
        </w:rPr>
        <w:t>Ke</w:t>
      </w:r>
      <w:r w:rsidRPr="00485B85">
        <w:rPr>
          <w:rFonts w:ascii="Sylfaen" w:eastAsia="MS Mincho" w:hAnsi="Sylfaen" w:cs="Times New Roman"/>
          <w:i/>
          <w:vertAlign w:val="superscript"/>
          <w:lang w:eastAsia="it-IT"/>
        </w:rPr>
        <w:t>-rT</w:t>
      </w:r>
      <w:r w:rsidRPr="00485B85">
        <w:rPr>
          <w:rFonts w:ascii="Sylfaen" w:eastAsia="MS Mincho" w:hAnsi="Sylfaen" w:cs="Times New Roman"/>
          <w:i/>
          <w:lang w:eastAsia="it-IT"/>
        </w:rPr>
        <w:t>N</w:t>
      </w:r>
      <w:proofErr w:type="spellEnd"/>
      <w:r w:rsidRPr="00485B85">
        <w:rPr>
          <w:rFonts w:ascii="Sylfaen" w:eastAsia="MS Mincho" w:hAnsi="Sylfaen" w:cs="Times New Roman"/>
          <w:i/>
          <w:lang w:eastAsia="it-IT"/>
        </w:rPr>
        <w:t>(-d</w:t>
      </w:r>
      <w:r w:rsidRPr="00485B85">
        <w:rPr>
          <w:rFonts w:ascii="Sylfaen" w:eastAsia="MS Mincho" w:hAnsi="Sylfaen" w:cs="Times New Roman"/>
          <w:i/>
          <w:vertAlign w:val="subscript"/>
          <w:lang w:eastAsia="it-IT"/>
        </w:rPr>
        <w:t>2</w:t>
      </w:r>
      <w:r w:rsidRPr="00485B85">
        <w:rPr>
          <w:rFonts w:ascii="Sylfaen" w:eastAsia="MS Mincho" w:hAnsi="Sylfaen" w:cs="Times New Roman"/>
          <w:i/>
          <w:lang w:eastAsia="it-IT"/>
        </w:rPr>
        <w:t>)- S</w:t>
      </w:r>
      <w:r w:rsidRPr="00485B85">
        <w:rPr>
          <w:rFonts w:ascii="Sylfaen" w:eastAsia="MS Mincho" w:hAnsi="Sylfaen" w:cs="Times New Roman"/>
          <w:i/>
          <w:vertAlign w:val="subscript"/>
          <w:lang w:eastAsia="it-IT"/>
        </w:rPr>
        <w:t>0</w:t>
      </w:r>
      <w:r w:rsidRPr="00485B85">
        <w:rPr>
          <w:rFonts w:ascii="Sylfaen" w:eastAsia="MS Mincho" w:hAnsi="Sylfaen" w:cs="Times New Roman"/>
          <w:i/>
          <w:lang w:eastAsia="it-IT"/>
        </w:rPr>
        <w:t>N(-d</w:t>
      </w:r>
      <w:r w:rsidRPr="00485B85">
        <w:rPr>
          <w:rFonts w:ascii="Sylfaen" w:eastAsia="MS Mincho" w:hAnsi="Sylfaen" w:cs="Times New Roman"/>
          <w:i/>
          <w:vertAlign w:val="subscript"/>
          <w:lang w:eastAsia="it-IT"/>
        </w:rPr>
        <w:t>1</w:t>
      </w:r>
      <w:r w:rsidRPr="00485B85">
        <w:rPr>
          <w:rFonts w:ascii="Sylfaen" w:eastAsia="MS Mincho" w:hAnsi="Sylfaen" w:cs="Times New Roman"/>
          <w:i/>
          <w:lang w:eastAsia="it-IT"/>
        </w:rPr>
        <w:t>)</w:t>
      </w:r>
    </w:p>
    <w:p w14:paraId="0B173ADE" w14:textId="47E1E41D" w:rsidR="00485B85" w:rsidRDefault="000C6DCF" w:rsidP="00485B85">
      <w:pPr>
        <w:spacing w:after="0" w:line="360" w:lineRule="auto"/>
        <w:rPr>
          <w:rFonts w:ascii="Sylfaen" w:eastAsia="MS Mincho" w:hAnsi="Sylfaen" w:cs="Times New Roman"/>
          <w:lang w:eastAsia="it-IT"/>
        </w:rPr>
      </w:pPr>
      <w:proofErr w:type="gramStart"/>
      <w:r w:rsidRPr="000C6DCF">
        <w:rPr>
          <w:rFonts w:ascii="Sylfaen" w:eastAsia="MS Mincho" w:hAnsi="Sylfaen" w:cs="Times New Roman"/>
          <w:lang w:eastAsia="it-IT"/>
        </w:rPr>
        <w:t>where</w:t>
      </w:r>
      <w:proofErr w:type="gramEnd"/>
    </w:p>
    <w:p w14:paraId="27CF1540" w14:textId="3FF8F9A3" w:rsidR="000C6DCF" w:rsidRPr="00485B85" w:rsidRDefault="000C6DCF" w:rsidP="00485B85">
      <w:pPr>
        <w:pStyle w:val="ListParagraph"/>
        <w:numPr>
          <w:ilvl w:val="0"/>
          <w:numId w:val="12"/>
        </w:numPr>
        <w:spacing w:after="0" w:line="360" w:lineRule="auto"/>
        <w:ind w:left="0"/>
        <w:jc w:val="center"/>
        <w:rPr>
          <w:rFonts w:ascii="Sylfaen" w:eastAsia="MS Mincho" w:hAnsi="Sylfaen" w:cs="Times New Roman"/>
          <w:lang w:eastAsia="it-IT"/>
        </w:rPr>
      </w:pPr>
      <w:r w:rsidRPr="00485B85">
        <w:rPr>
          <w:rFonts w:ascii="Sylfaen" w:eastAsia="MS Mincho" w:hAnsi="Sylfaen" w:cs="Times New Roman"/>
          <w:i/>
          <w:lang w:eastAsia="it-IT"/>
        </w:rPr>
        <w:t>d</w:t>
      </w:r>
      <w:r w:rsidRPr="00485B85">
        <w:rPr>
          <w:rFonts w:ascii="Sylfaen" w:eastAsia="MS Mincho" w:hAnsi="Sylfaen" w:cs="Times New Roman"/>
          <w:i/>
          <w:vertAlign w:val="subscript"/>
          <w:lang w:eastAsia="it-IT"/>
        </w:rPr>
        <w:t>1</w:t>
      </w:r>
      <w:r w:rsidRPr="00485B85">
        <w:rPr>
          <w:rFonts w:ascii="Sylfaen" w:eastAsia="MS Mincho" w:hAnsi="Sylfaen" w:cs="Times New Roman"/>
          <w:i/>
          <w:lang w:eastAsia="it-IT"/>
        </w:rPr>
        <w:t>=</w:t>
      </w:r>
      <w:r w:rsidRPr="00485B85">
        <w:rPr>
          <w:rFonts w:ascii="Sylfaen" w:eastAsia="MS Mincho" w:hAnsi="Sylfaen" w:cs="Times New Roman"/>
          <w:i/>
          <w:u w:val="single"/>
          <w:lang w:eastAsia="it-IT"/>
        </w:rPr>
        <w:t>ln(S</w:t>
      </w:r>
      <w:r w:rsidRPr="00485B85">
        <w:rPr>
          <w:rFonts w:ascii="Sylfaen" w:eastAsia="MS Mincho" w:hAnsi="Sylfaen" w:cs="Times New Roman"/>
          <w:i/>
          <w:u w:val="single"/>
          <w:vertAlign w:val="subscript"/>
          <w:lang w:eastAsia="it-IT"/>
        </w:rPr>
        <w:t>0</w:t>
      </w:r>
      <w:r w:rsidRPr="00485B85">
        <w:rPr>
          <w:rFonts w:ascii="Sylfaen" w:eastAsia="MS Mincho" w:hAnsi="Sylfaen" w:cs="Times New Roman"/>
          <w:i/>
          <w:u w:val="single"/>
          <w:lang w:eastAsia="it-IT"/>
        </w:rPr>
        <w:t>/K)+(r+σ</w:t>
      </w:r>
      <w:r w:rsidRPr="00485B85">
        <w:rPr>
          <w:rFonts w:ascii="Sylfaen" w:eastAsia="MS Mincho" w:hAnsi="Sylfaen" w:cs="Times New Roman"/>
          <w:i/>
          <w:u w:val="single"/>
          <w:vertAlign w:val="superscript"/>
          <w:lang w:eastAsia="it-IT"/>
        </w:rPr>
        <w:t>2</w:t>
      </w:r>
      <w:r w:rsidRPr="00485B85">
        <w:rPr>
          <w:rFonts w:ascii="Sylfaen" w:eastAsia="MS Mincho" w:hAnsi="Sylfaen" w:cs="Times New Roman"/>
          <w:i/>
          <w:u w:val="single"/>
          <w:lang w:eastAsia="it-IT"/>
        </w:rPr>
        <w:t>/2)T</w:t>
      </w:r>
    </w:p>
    <w:p w14:paraId="14E7FB9C" w14:textId="43CBBD92" w:rsidR="000C6DCF" w:rsidRPr="000C6DCF" w:rsidRDefault="000C6DCF" w:rsidP="00485B85">
      <w:pPr>
        <w:spacing w:after="0" w:line="360" w:lineRule="auto"/>
        <w:jc w:val="center"/>
        <w:rPr>
          <w:rFonts w:ascii="Sylfaen" w:eastAsia="MS Mincho" w:hAnsi="Sylfaen" w:cs="Times New Roman"/>
          <w:i/>
          <w:lang w:eastAsia="it-IT"/>
        </w:rPr>
      </w:pPr>
      <w:proofErr w:type="spellStart"/>
      <w:r w:rsidRPr="000C6DCF">
        <w:rPr>
          <w:rFonts w:ascii="Sylfaen" w:eastAsia="MS Mincho" w:hAnsi="Sylfaen" w:cs="Times New Roman"/>
          <w:i/>
          <w:lang w:eastAsia="it-IT"/>
        </w:rPr>
        <w:t>σ√T</w:t>
      </w:r>
      <w:proofErr w:type="spellEnd"/>
    </w:p>
    <w:p w14:paraId="22AC4D6A" w14:textId="77777777" w:rsidR="000C6DCF" w:rsidRPr="000C6DCF" w:rsidRDefault="000C6DCF" w:rsidP="00485B85">
      <w:pPr>
        <w:spacing w:after="0" w:line="360" w:lineRule="auto"/>
        <w:jc w:val="center"/>
        <w:rPr>
          <w:rFonts w:ascii="Sylfaen" w:eastAsia="MS Mincho" w:hAnsi="Sylfaen" w:cs="Times New Roman"/>
          <w:lang w:eastAsia="it-IT"/>
        </w:rPr>
      </w:pPr>
    </w:p>
    <w:p w14:paraId="4722A8C2" w14:textId="4D8DB888" w:rsidR="000C6DCF" w:rsidRPr="00485B85" w:rsidRDefault="000C6DCF" w:rsidP="00485B85">
      <w:pPr>
        <w:pStyle w:val="ListParagraph"/>
        <w:numPr>
          <w:ilvl w:val="0"/>
          <w:numId w:val="12"/>
        </w:numPr>
        <w:spacing w:after="0" w:line="360" w:lineRule="auto"/>
        <w:ind w:left="567"/>
        <w:jc w:val="center"/>
        <w:rPr>
          <w:rFonts w:ascii="Sylfaen" w:eastAsia="MS Mincho" w:hAnsi="Sylfaen" w:cs="Times New Roman"/>
          <w:i/>
          <w:lang w:eastAsia="it-IT"/>
        </w:rPr>
      </w:pPr>
      <w:r w:rsidRPr="00485B85">
        <w:rPr>
          <w:rFonts w:ascii="Sylfaen" w:eastAsia="MS Mincho" w:hAnsi="Sylfaen" w:cs="Times New Roman"/>
          <w:i/>
          <w:lang w:eastAsia="it-IT"/>
        </w:rPr>
        <w:t>d</w:t>
      </w:r>
      <w:r w:rsidRPr="00485B85">
        <w:rPr>
          <w:rFonts w:ascii="Sylfaen" w:eastAsia="MS Mincho" w:hAnsi="Sylfaen" w:cs="Times New Roman"/>
          <w:i/>
          <w:vertAlign w:val="subscript"/>
          <w:lang w:eastAsia="it-IT"/>
        </w:rPr>
        <w:t>2</w:t>
      </w:r>
      <w:r w:rsidRPr="00485B85">
        <w:rPr>
          <w:rFonts w:ascii="Sylfaen" w:eastAsia="MS Mincho" w:hAnsi="Sylfaen" w:cs="Times New Roman"/>
          <w:i/>
          <w:lang w:eastAsia="it-IT"/>
        </w:rPr>
        <w:t>=</w:t>
      </w:r>
      <w:r w:rsidRPr="00485B85">
        <w:rPr>
          <w:rFonts w:ascii="Sylfaen" w:eastAsia="MS Mincho" w:hAnsi="Sylfaen" w:cs="Times New Roman"/>
          <w:i/>
          <w:u w:val="single"/>
          <w:lang w:eastAsia="it-IT"/>
        </w:rPr>
        <w:t>ln(S</w:t>
      </w:r>
      <w:r w:rsidRPr="00485B85">
        <w:rPr>
          <w:rFonts w:ascii="Sylfaen" w:eastAsia="MS Mincho" w:hAnsi="Sylfaen" w:cs="Times New Roman"/>
          <w:i/>
          <w:u w:val="single"/>
          <w:vertAlign w:val="subscript"/>
          <w:lang w:eastAsia="it-IT"/>
        </w:rPr>
        <w:t>0</w:t>
      </w:r>
      <w:r w:rsidRPr="00485B85">
        <w:rPr>
          <w:rFonts w:ascii="Sylfaen" w:eastAsia="MS Mincho" w:hAnsi="Sylfaen" w:cs="Times New Roman"/>
          <w:i/>
          <w:u w:val="single"/>
          <w:lang w:eastAsia="it-IT"/>
        </w:rPr>
        <w:t>/K)+(r+σ</w:t>
      </w:r>
      <w:r w:rsidRPr="00485B85">
        <w:rPr>
          <w:rFonts w:ascii="Sylfaen" w:eastAsia="MS Mincho" w:hAnsi="Sylfaen" w:cs="Times New Roman"/>
          <w:i/>
          <w:u w:val="single"/>
          <w:vertAlign w:val="superscript"/>
          <w:lang w:eastAsia="it-IT"/>
        </w:rPr>
        <w:t>2</w:t>
      </w:r>
      <w:r w:rsidRPr="00485B85">
        <w:rPr>
          <w:rFonts w:ascii="Sylfaen" w:eastAsia="MS Mincho" w:hAnsi="Sylfaen" w:cs="Times New Roman"/>
          <w:i/>
          <w:u w:val="single"/>
          <w:lang w:eastAsia="it-IT"/>
        </w:rPr>
        <w:t>/2)T</w:t>
      </w:r>
      <w:r w:rsidRPr="00485B85">
        <w:rPr>
          <w:rFonts w:ascii="Sylfaen" w:eastAsia="MS Mincho" w:hAnsi="Sylfaen" w:cs="Times New Roman"/>
          <w:lang w:eastAsia="it-IT"/>
        </w:rPr>
        <w:t xml:space="preserve"> </w:t>
      </w:r>
      <w:r w:rsidRPr="00485B85">
        <w:rPr>
          <w:rFonts w:ascii="Sylfaen" w:eastAsia="MS Mincho" w:hAnsi="Sylfaen" w:cs="Times New Roman"/>
          <w:i/>
          <w:lang w:eastAsia="it-IT"/>
        </w:rPr>
        <w:t>= d</w:t>
      </w:r>
      <w:r w:rsidRPr="00485B85">
        <w:rPr>
          <w:rFonts w:ascii="Sylfaen" w:eastAsia="MS Mincho" w:hAnsi="Sylfaen" w:cs="Times New Roman"/>
          <w:i/>
          <w:vertAlign w:val="subscript"/>
          <w:lang w:eastAsia="it-IT"/>
        </w:rPr>
        <w:t>1</w:t>
      </w:r>
      <w:r w:rsidRPr="00485B85">
        <w:rPr>
          <w:rFonts w:ascii="Sylfaen" w:eastAsia="MS Mincho" w:hAnsi="Sylfaen" w:cs="Times New Roman"/>
          <w:i/>
          <w:lang w:eastAsia="it-IT"/>
        </w:rPr>
        <w:t>-σ√T</w:t>
      </w:r>
    </w:p>
    <w:p w14:paraId="17B0FEBC" w14:textId="68E8C010" w:rsidR="000C6DCF" w:rsidRPr="000C6DCF" w:rsidRDefault="000C6DCF" w:rsidP="00485B85">
      <w:pPr>
        <w:spacing w:after="0" w:line="360" w:lineRule="auto"/>
        <w:jc w:val="center"/>
        <w:rPr>
          <w:rFonts w:ascii="Sylfaen" w:eastAsia="MS Mincho" w:hAnsi="Sylfaen" w:cs="Times New Roman"/>
          <w:i/>
          <w:lang w:eastAsia="it-IT"/>
        </w:rPr>
      </w:pPr>
      <w:proofErr w:type="spellStart"/>
      <w:r w:rsidRPr="000C6DCF">
        <w:rPr>
          <w:rFonts w:ascii="Sylfaen" w:eastAsia="MS Mincho" w:hAnsi="Sylfaen" w:cs="Times New Roman"/>
          <w:i/>
          <w:lang w:eastAsia="it-IT"/>
        </w:rPr>
        <w:t>σ√T</w:t>
      </w:r>
      <w:proofErr w:type="spellEnd"/>
    </w:p>
    <w:p w14:paraId="7C29271E" w14:textId="77777777" w:rsidR="000C6DCF" w:rsidRPr="000C6DCF" w:rsidRDefault="000C6DCF" w:rsidP="000C6DCF">
      <w:pPr>
        <w:spacing w:after="0" w:line="360" w:lineRule="auto"/>
        <w:jc w:val="both"/>
        <w:rPr>
          <w:rFonts w:ascii="Sylfaen" w:eastAsia="MS Mincho" w:hAnsi="Sylfaen" w:cs="Times New Roman"/>
          <w:lang w:eastAsia="it-IT"/>
        </w:rPr>
      </w:pPr>
    </w:p>
    <w:p w14:paraId="51CEAC46"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In particular, </w:t>
      </w:r>
      <w:r w:rsidRPr="000C6DCF">
        <w:rPr>
          <w:rFonts w:ascii="Sylfaen" w:eastAsia="MS Mincho" w:hAnsi="Sylfaen" w:cs="Times New Roman"/>
          <w:i/>
          <w:lang w:eastAsia="it-IT"/>
        </w:rPr>
        <w:t>c</w:t>
      </w:r>
      <w:r w:rsidRPr="000C6DCF">
        <w:rPr>
          <w:rFonts w:ascii="Sylfaen" w:eastAsia="MS Mincho" w:hAnsi="Sylfaen" w:cs="Times New Roman"/>
          <w:lang w:eastAsia="it-IT"/>
        </w:rPr>
        <w:t xml:space="preserve"> and </w:t>
      </w:r>
      <w:r w:rsidRPr="000C6DCF">
        <w:rPr>
          <w:rFonts w:ascii="Sylfaen" w:eastAsia="MS Mincho" w:hAnsi="Sylfaen" w:cs="Times New Roman"/>
          <w:i/>
          <w:lang w:eastAsia="it-IT"/>
        </w:rPr>
        <w:t>p</w:t>
      </w:r>
      <w:r w:rsidRPr="000C6DCF">
        <w:rPr>
          <w:rFonts w:ascii="Sylfaen" w:eastAsia="MS Mincho" w:hAnsi="Sylfaen" w:cs="Times New Roman"/>
          <w:lang w:eastAsia="it-IT"/>
        </w:rPr>
        <w:t xml:space="preserve"> are the European call and put option respectively; </w:t>
      </w:r>
      <w:r w:rsidRPr="000C6DCF">
        <w:rPr>
          <w:rFonts w:ascii="Sylfaen" w:eastAsia="MS Mincho" w:hAnsi="Sylfaen" w:cs="Times New Roman"/>
          <w:i/>
          <w:lang w:eastAsia="it-IT"/>
        </w:rPr>
        <w:t>S</w:t>
      </w:r>
      <w:r w:rsidRPr="000C6DCF">
        <w:rPr>
          <w:rFonts w:ascii="Sylfaen" w:eastAsia="MS Mincho" w:hAnsi="Sylfaen" w:cs="Times New Roman"/>
          <w:i/>
          <w:vertAlign w:val="subscript"/>
          <w:lang w:eastAsia="it-IT"/>
        </w:rPr>
        <w:t>0</w:t>
      </w:r>
      <w:r w:rsidRPr="000C6DCF">
        <w:rPr>
          <w:rFonts w:ascii="Sylfaen" w:eastAsia="MS Mincho" w:hAnsi="Sylfaen" w:cs="Times New Roman"/>
          <w:lang w:eastAsia="it-IT"/>
        </w:rPr>
        <w:t xml:space="preserve"> represents the initial stock price at time </w:t>
      </w:r>
      <w:r w:rsidRPr="000C6DCF">
        <w:rPr>
          <w:rFonts w:ascii="Sylfaen" w:eastAsia="MS Mincho" w:hAnsi="Sylfaen" w:cs="Times New Roman"/>
          <w:i/>
          <w:lang w:eastAsia="it-IT"/>
        </w:rPr>
        <w:t>t</w:t>
      </w:r>
      <w:r w:rsidRPr="000C6DCF">
        <w:rPr>
          <w:rFonts w:ascii="Sylfaen" w:eastAsia="MS Mincho" w:hAnsi="Sylfaen" w:cs="Times New Roman"/>
          <w:lang w:eastAsia="it-IT"/>
        </w:rPr>
        <w:t>=</w:t>
      </w:r>
      <w:proofErr w:type="gramStart"/>
      <w:r w:rsidRPr="000C6DCF">
        <w:rPr>
          <w:rFonts w:ascii="Sylfaen" w:eastAsia="MS Mincho" w:hAnsi="Sylfaen" w:cs="Times New Roman"/>
          <w:lang w:eastAsia="it-IT"/>
        </w:rPr>
        <w:t>0</w:t>
      </w:r>
      <w:proofErr w:type="gramEnd"/>
      <w:r w:rsidRPr="000C6DCF">
        <w:rPr>
          <w:rFonts w:ascii="Sylfaen" w:eastAsia="MS Mincho" w:hAnsi="Sylfaen" w:cs="Times New Roman"/>
          <w:lang w:eastAsia="it-IT"/>
        </w:rPr>
        <w:t xml:space="preserve"> while </w:t>
      </w:r>
      <w:r w:rsidRPr="000C6DCF">
        <w:rPr>
          <w:rFonts w:ascii="Sylfaen" w:eastAsia="MS Mincho" w:hAnsi="Sylfaen" w:cs="Times New Roman"/>
          <w:i/>
          <w:lang w:eastAsia="it-IT"/>
        </w:rPr>
        <w:t>K</w:t>
      </w:r>
      <w:r w:rsidRPr="000C6DCF">
        <w:rPr>
          <w:rFonts w:ascii="Sylfaen" w:eastAsia="MS Mincho" w:hAnsi="Sylfaen" w:cs="Times New Roman"/>
          <w:lang w:eastAsia="it-IT"/>
        </w:rPr>
        <w:t xml:space="preserve"> equals the strike price. </w:t>
      </w:r>
      <w:r w:rsidRPr="000C6DCF">
        <w:rPr>
          <w:rFonts w:ascii="Sylfaen" w:eastAsia="MS Mincho" w:hAnsi="Sylfaen" w:cs="Times New Roman"/>
          <w:i/>
          <w:lang w:eastAsia="it-IT"/>
        </w:rPr>
        <w:t>R</w:t>
      </w:r>
      <w:r w:rsidRPr="000C6DCF">
        <w:rPr>
          <w:rFonts w:ascii="Sylfaen" w:eastAsia="MS Mincho" w:hAnsi="Sylfaen" w:cs="Times New Roman"/>
          <w:lang w:eastAsia="it-IT"/>
        </w:rPr>
        <w:t xml:space="preserve"> is the risk free rate, which </w:t>
      </w:r>
      <w:proofErr w:type="gramStart"/>
      <w:r w:rsidRPr="000C6DCF">
        <w:rPr>
          <w:rFonts w:ascii="Sylfaen" w:eastAsia="MS Mincho" w:hAnsi="Sylfaen" w:cs="Times New Roman"/>
          <w:lang w:eastAsia="it-IT"/>
        </w:rPr>
        <w:t>is continuously compounded</w:t>
      </w:r>
      <w:proofErr w:type="gramEnd"/>
      <w:r w:rsidRPr="000C6DCF">
        <w:rPr>
          <w:rFonts w:ascii="Sylfaen" w:eastAsia="MS Mincho" w:hAnsi="Sylfaen" w:cs="Times New Roman"/>
          <w:lang w:eastAsia="it-IT"/>
        </w:rPr>
        <w:t xml:space="preserve">; </w:t>
      </w:r>
      <w:r w:rsidRPr="000C6DCF">
        <w:rPr>
          <w:rFonts w:ascii="Sylfaen" w:eastAsia="MS Mincho" w:hAnsi="Sylfaen" w:cs="Times New Roman"/>
          <w:i/>
          <w:lang w:eastAsia="it-IT"/>
        </w:rPr>
        <w:t>T</w:t>
      </w:r>
      <w:r w:rsidRPr="000C6DCF">
        <w:rPr>
          <w:rFonts w:ascii="Sylfaen" w:eastAsia="MS Mincho" w:hAnsi="Sylfaen" w:cs="Times New Roman"/>
          <w:lang w:eastAsia="it-IT"/>
        </w:rPr>
        <w:t xml:space="preserve"> is the exercise or maturity date, and </w:t>
      </w:r>
      <w:r w:rsidRPr="000C6DCF">
        <w:rPr>
          <w:rFonts w:ascii="Sylfaen" w:eastAsia="MS Mincho" w:hAnsi="Sylfaen" w:cs="Times New Roman"/>
          <w:i/>
          <w:lang w:eastAsia="it-IT"/>
        </w:rPr>
        <w:t xml:space="preserve">σ </w:t>
      </w:r>
      <w:r w:rsidRPr="000C6DCF">
        <w:rPr>
          <w:rFonts w:ascii="Sylfaen" w:eastAsia="MS Mincho" w:hAnsi="Sylfaen" w:cs="Times New Roman"/>
          <w:lang w:eastAsia="it-IT"/>
        </w:rPr>
        <w:t xml:space="preserve">is the volatility of the stock price. </w:t>
      </w:r>
      <w:r w:rsidRPr="000C6DCF">
        <w:rPr>
          <w:rFonts w:ascii="Sylfaen" w:eastAsia="MS Mincho" w:hAnsi="Sylfaen" w:cs="Times New Roman"/>
          <w:i/>
          <w:lang w:eastAsia="it-IT"/>
        </w:rPr>
        <w:t>N(x)</w:t>
      </w:r>
      <w:r w:rsidRPr="000C6DCF">
        <w:rPr>
          <w:rFonts w:ascii="Sylfaen" w:eastAsia="MS Mincho" w:hAnsi="Sylfaen" w:cs="Times New Roman"/>
          <w:lang w:eastAsia="it-IT"/>
        </w:rPr>
        <w:t xml:space="preserve"> represents the cumulative probability distribution function for a </w:t>
      </w:r>
      <w:proofErr w:type="gramStart"/>
      <w:r w:rsidRPr="000C6DCF">
        <w:rPr>
          <w:rFonts w:ascii="Sylfaen" w:eastAsia="MS Mincho" w:hAnsi="Sylfaen" w:cs="Times New Roman"/>
          <w:lang w:eastAsia="it-IT"/>
        </w:rPr>
        <w:t>N(</w:t>
      </w:r>
      <w:proofErr w:type="gramEnd"/>
      <w:r w:rsidRPr="000C6DCF">
        <w:rPr>
          <w:rFonts w:ascii="Sylfaen" w:eastAsia="MS Mincho" w:hAnsi="Sylfaen" w:cs="Times New Roman"/>
          <w:lang w:eastAsia="it-IT"/>
        </w:rPr>
        <w:t>0,1) distribution; thus the probability that a variable that has a standard normal distribution</w:t>
      </w:r>
      <w:r w:rsidRPr="000C6DCF">
        <w:rPr>
          <w:rFonts w:ascii="Sylfaen" w:eastAsia="MS Mincho" w:hAnsi="Sylfaen" w:cs="Times New Roman"/>
          <w:vertAlign w:val="superscript"/>
          <w:lang w:eastAsia="it-IT"/>
        </w:rPr>
        <w:footnoteReference w:id="2"/>
      </w:r>
      <w:r w:rsidRPr="000C6DCF">
        <w:rPr>
          <w:rFonts w:ascii="Sylfaen" w:eastAsia="MS Mincho" w:hAnsi="Sylfaen" w:cs="Times New Roman"/>
          <w:lang w:eastAsia="it-IT"/>
        </w:rPr>
        <w:t xml:space="preserve"> will be less than </w:t>
      </w:r>
      <w:r w:rsidRPr="000C6DCF">
        <w:rPr>
          <w:rFonts w:ascii="Sylfaen" w:eastAsia="MS Mincho" w:hAnsi="Sylfaen" w:cs="Times New Roman"/>
          <w:i/>
          <w:lang w:eastAsia="it-IT"/>
        </w:rPr>
        <w:t>x</w:t>
      </w:r>
      <w:r w:rsidRPr="000C6DCF">
        <w:rPr>
          <w:rFonts w:ascii="Sylfaen" w:eastAsia="MS Mincho" w:hAnsi="Sylfaen" w:cs="Times New Roman"/>
          <w:lang w:eastAsia="it-IT"/>
        </w:rPr>
        <w:t xml:space="preserve">. </w:t>
      </w:r>
    </w:p>
    <w:p w14:paraId="00B3D55F" w14:textId="77777777" w:rsidR="000C6DCF" w:rsidRPr="000C6DCF" w:rsidRDefault="000C6DCF" w:rsidP="000C6DCF">
      <w:pPr>
        <w:spacing w:after="0" w:line="360" w:lineRule="auto"/>
        <w:jc w:val="both"/>
        <w:rPr>
          <w:rFonts w:ascii="Sylfaen" w:eastAsia="MS Mincho" w:hAnsi="Sylfaen" w:cs="Times New Roman"/>
          <w:lang w:eastAsia="it-IT"/>
        </w:rPr>
      </w:pPr>
    </w:p>
    <w:p w14:paraId="0E0D4C1F"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lastRenderedPageBreak/>
        <w:t xml:space="preserve">The empirical estimation given by Black and Scholes (1971) aimed at determining the equilibrium value of an option shows ambiguous results; the difficulty in estimating the variance caused the model to predict over-priced options on high variance stocks, and under-priced options on low variance stocks. The study also sheds light on the presence of non-constant variance, and the difficulty in completely ruling out the transaction costs that seem to be quite high. As can be seen from (1) and (2), the only variable that is impossible to observe before the option price is computed is the (explicit) volatility </w:t>
      </w:r>
      <w:r w:rsidRPr="000C6DCF">
        <w:rPr>
          <w:rFonts w:ascii="Sylfaen" w:eastAsia="MS Mincho" w:hAnsi="Sylfaen" w:cs="Times New Roman"/>
          <w:i/>
          <w:lang w:eastAsia="it-IT"/>
        </w:rPr>
        <w:t>σ</w:t>
      </w:r>
      <w:r w:rsidRPr="000C6DCF">
        <w:rPr>
          <w:rFonts w:ascii="Sylfaen" w:eastAsia="MS Mincho" w:hAnsi="Sylfaen" w:cs="Times New Roman"/>
          <w:lang w:eastAsia="it-IT"/>
        </w:rPr>
        <w:t>. Moreover, it is clear that the price of a call or put option does not depend on the expected rate of return, suggesting that even if investors do not agree on the return of some asset, the model will still hold. It is also independent of investors’ beliefs and preferences, but all investors must agree on the value of the volatility for the model to be true.</w:t>
      </w:r>
    </w:p>
    <w:p w14:paraId="2F2DF3FE" w14:textId="77777777" w:rsidR="000C6DCF" w:rsidRPr="000C6DCF" w:rsidRDefault="000C6DCF" w:rsidP="000C6DCF">
      <w:pPr>
        <w:spacing w:after="0" w:line="360" w:lineRule="auto"/>
        <w:jc w:val="both"/>
        <w:rPr>
          <w:rFonts w:ascii="Sylfaen" w:eastAsia="MS Mincho" w:hAnsi="Sylfaen" w:cs="Times New Roman"/>
          <w:lang w:eastAsia="it-IT"/>
        </w:rPr>
      </w:pPr>
    </w:p>
    <w:p w14:paraId="4B955783" w14:textId="7A3457E3" w:rsidR="000C6DCF" w:rsidRPr="000C6DCF" w:rsidRDefault="000C6DCF" w:rsidP="000C6DCF">
      <w:pPr>
        <w:pStyle w:val="Heading1"/>
        <w:rPr>
          <w:rFonts w:eastAsia="MS Mincho"/>
          <w:lang w:eastAsia="it-IT"/>
        </w:rPr>
      </w:pPr>
      <w:r w:rsidRPr="000C6DCF">
        <w:rPr>
          <w:rFonts w:eastAsia="MS Mincho"/>
          <w:lang w:eastAsia="it-IT"/>
        </w:rPr>
        <w:t>Merits and Critiques of the Model</w:t>
      </w:r>
    </w:p>
    <w:p w14:paraId="3B4B077B"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Although the model was constructed to be true only for the European-style options, Merton (1973) describes how if there are no dividend payments during the time up to the maturity date of an option - and hence there is no profit in exercising the option before its exercise date - then the BSM model applies also to American call options, that do not pay a dividend prior to the expiration date. In his paper, Merton underlines the versatility of the model </w:t>
      </w:r>
      <w:proofErr w:type="gramStart"/>
      <w:r w:rsidRPr="000C6DCF">
        <w:rPr>
          <w:rFonts w:ascii="Sylfaen" w:eastAsia="MS Mincho" w:hAnsi="Sylfaen" w:cs="Times New Roman"/>
          <w:lang w:eastAsia="it-IT"/>
        </w:rPr>
        <w:t>and also</w:t>
      </w:r>
      <w:proofErr w:type="gramEnd"/>
      <w:r w:rsidRPr="000C6DCF">
        <w:rPr>
          <w:rFonts w:ascii="Sylfaen" w:eastAsia="MS Mincho" w:hAnsi="Sylfaen" w:cs="Times New Roman"/>
          <w:lang w:eastAsia="it-IT"/>
        </w:rPr>
        <w:t xml:space="preserve"> expands on the arbitrage principle and dynamic hedging. </w:t>
      </w:r>
    </w:p>
    <w:p w14:paraId="486AD565" w14:textId="77777777" w:rsidR="000C6DCF" w:rsidRPr="000C6DCF" w:rsidRDefault="000C6DCF" w:rsidP="000C6DCF">
      <w:pPr>
        <w:spacing w:after="0" w:line="360" w:lineRule="auto"/>
        <w:jc w:val="both"/>
        <w:rPr>
          <w:rFonts w:ascii="Sylfaen" w:eastAsia="MS Mincho" w:hAnsi="Sylfaen" w:cs="Times New Roman"/>
          <w:lang w:eastAsia="it-IT"/>
        </w:rPr>
      </w:pPr>
    </w:p>
    <w:p w14:paraId="0BCE6B42" w14:textId="77777777" w:rsidR="00485B85" w:rsidRDefault="000C6DCF" w:rsidP="00485B85">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In particular, he explains how it is possible to minimise </w:t>
      </w:r>
      <w:proofErr w:type="gramStart"/>
      <w:r w:rsidRPr="000C6DCF">
        <w:rPr>
          <w:rFonts w:ascii="Sylfaen" w:eastAsia="MS Mincho" w:hAnsi="Sylfaen" w:cs="Times New Roman"/>
          <w:lang w:eastAsia="it-IT"/>
        </w:rPr>
        <w:t>or totally</w:t>
      </w:r>
      <w:proofErr w:type="gramEnd"/>
      <w:r w:rsidRPr="000C6DCF">
        <w:rPr>
          <w:rFonts w:ascii="Sylfaen" w:eastAsia="MS Mincho" w:hAnsi="Sylfaen" w:cs="Times New Roman"/>
          <w:lang w:eastAsia="it-IT"/>
        </w:rPr>
        <w:t xml:space="preserve"> eliminate the risk associated when an option is issued by constructing a replicating portfolio. Specifically, the financial intermediary creates a hedging portfolio made of risky and risk-free assets; if the payoffs of an option are exactly replicated by the portfolio, this is called a “replicating portfolio” (Merton, 1998, p. 329). When this happens, the replicating portfolio only consists of the underlying asset, which the call option </w:t>
      </w:r>
      <w:proofErr w:type="gramStart"/>
      <w:r w:rsidRPr="000C6DCF">
        <w:rPr>
          <w:rFonts w:ascii="Sylfaen" w:eastAsia="MS Mincho" w:hAnsi="Sylfaen" w:cs="Times New Roman"/>
          <w:lang w:eastAsia="it-IT"/>
        </w:rPr>
        <w:t>was sold</w:t>
      </w:r>
      <w:proofErr w:type="gramEnd"/>
      <w:r w:rsidRPr="000C6DCF">
        <w:rPr>
          <w:rFonts w:ascii="Sylfaen" w:eastAsia="MS Mincho" w:hAnsi="Sylfaen" w:cs="Times New Roman"/>
          <w:lang w:eastAsia="it-IT"/>
        </w:rPr>
        <w:t xml:space="preserve"> on.</w:t>
      </w:r>
    </w:p>
    <w:p w14:paraId="43B8E65A" w14:textId="762F3342" w:rsidR="000C6DCF" w:rsidRPr="000C6DCF" w:rsidRDefault="000C6DCF" w:rsidP="00485B85">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 </w:t>
      </w:r>
    </w:p>
    <w:p w14:paraId="2769E24A"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Nevertheless, the dynamic hedging strategies are only possible theoretically; but when the hedging portfolio is well diversified, the risk involved purely concerns market risk - that cannot be hedged. This means the elimination of non-systematic risk, and only the market risk affects the return of the hedging portfolio. The adaptability of the model makes it possible for it to still be employed </w:t>
      </w:r>
      <w:r w:rsidRPr="000C6DCF">
        <w:rPr>
          <w:rFonts w:ascii="Sylfaen" w:eastAsia="MS Mincho" w:hAnsi="Sylfaen" w:cs="Times New Roman"/>
          <w:lang w:eastAsia="it-IT"/>
        </w:rPr>
        <w:lastRenderedPageBreak/>
        <w:t>today to compute prices of put and call options; its simplicity is a crucial element that determined its success, alongside the fact that it provides a benchmark to assess competing models. It can also be used to price various elements of a firm capital's structure; in other words, the total value of the firm can be employed as an individual security thus replacing the concept of option under which the whole model is based (Merton, 1973).</w:t>
      </w:r>
    </w:p>
    <w:p w14:paraId="241AF153" w14:textId="77777777" w:rsidR="000C6DCF" w:rsidRPr="000C6DCF" w:rsidRDefault="000C6DCF" w:rsidP="000C6DCF">
      <w:pPr>
        <w:spacing w:after="0" w:line="360" w:lineRule="auto"/>
        <w:jc w:val="both"/>
        <w:rPr>
          <w:rFonts w:ascii="Sylfaen" w:eastAsia="MS Mincho" w:hAnsi="Sylfaen" w:cs="Times New Roman"/>
          <w:lang w:eastAsia="it-IT"/>
        </w:rPr>
      </w:pPr>
    </w:p>
    <w:p w14:paraId="38A8B8B9"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However, the BSM approach has been shown to have several limitations too. </w:t>
      </w:r>
    </w:p>
    <w:p w14:paraId="3BC35432"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Recalling the Merton (1973) development of the dynamic hedging portfolio, making use of this strategy cannot always be possible due to discontinuous trading and transaction costs that violate assumption (1); additionally dynamic hedging could imply risk and is associated with costs, hence the risk-free implication does not hold.</w:t>
      </w:r>
    </w:p>
    <w:p w14:paraId="4F81C47A" w14:textId="77777777" w:rsidR="000C6DCF" w:rsidRPr="000C6DCF" w:rsidRDefault="000C6DCF" w:rsidP="000C6DCF">
      <w:pPr>
        <w:spacing w:after="0" w:line="360" w:lineRule="auto"/>
        <w:jc w:val="both"/>
        <w:rPr>
          <w:rFonts w:ascii="Sylfaen" w:eastAsia="MS Mincho" w:hAnsi="Sylfaen" w:cs="Times New Roman"/>
          <w:lang w:eastAsia="it-IT"/>
        </w:rPr>
      </w:pPr>
    </w:p>
    <w:p w14:paraId="405B4CA5"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Another of the assumptions can be subject to criticism; the perfect divisibility of assets  (assumption 2, which allows for the assets to be split and sold or lent separately) is violated as often, financial intermediaries construct a bundle of option contracts to be traded. Moreover, assumption (6) can be argued: markets cannot allow continuous trading as there will always be execution lags – although these lags have been considerably reduced by the advent of new technologies that allow trading to happen within nanoseconds. Additionally, the formulae to get the price of a call and put option also lack an important element: </w:t>
      </w:r>
      <w:proofErr w:type="spellStart"/>
      <w:r w:rsidRPr="000C6DCF">
        <w:rPr>
          <w:rFonts w:ascii="Sylfaen" w:eastAsia="MS Mincho" w:hAnsi="Sylfaen" w:cs="Times New Roman"/>
          <w:lang w:eastAsia="it-IT"/>
        </w:rPr>
        <w:t>Garleanu</w:t>
      </w:r>
      <w:proofErr w:type="spellEnd"/>
      <w:r w:rsidRPr="000C6DCF">
        <w:rPr>
          <w:rFonts w:ascii="Sylfaen" w:eastAsia="MS Mincho" w:hAnsi="Sylfaen" w:cs="Times New Roman"/>
          <w:lang w:eastAsia="it-IT"/>
        </w:rPr>
        <w:t xml:space="preserve"> et al. (2009) show how the price of the option is determined not only by the factors shown in the BSM model, but also by its demand. </w:t>
      </w:r>
    </w:p>
    <w:p w14:paraId="099824FF" w14:textId="77777777" w:rsidR="000C6DCF" w:rsidRPr="000C6DCF" w:rsidRDefault="000C6DCF" w:rsidP="000C6DCF">
      <w:pPr>
        <w:spacing w:after="0" w:line="360" w:lineRule="auto"/>
        <w:jc w:val="both"/>
        <w:rPr>
          <w:rFonts w:ascii="Sylfaen" w:eastAsia="MS Mincho" w:hAnsi="Sylfaen" w:cs="Times New Roman"/>
          <w:lang w:eastAsia="it-IT"/>
        </w:rPr>
      </w:pPr>
    </w:p>
    <w:p w14:paraId="2CCFEFF4" w14:textId="77777777" w:rsidR="000C6DCF" w:rsidRPr="000C6DCF" w:rsidRDefault="000C6DCF" w:rsidP="000C6DCF">
      <w:pPr>
        <w:spacing w:after="0" w:line="360" w:lineRule="auto"/>
        <w:jc w:val="both"/>
        <w:rPr>
          <w:rFonts w:ascii="Sylfaen" w:eastAsia="MS Mincho" w:hAnsi="Sylfaen" w:cs="Times New Roman"/>
          <w:lang w:val="it-IT" w:eastAsia="it-IT"/>
        </w:rPr>
      </w:pPr>
      <w:r w:rsidRPr="000C6DCF">
        <w:rPr>
          <w:rFonts w:ascii="Sylfaen" w:eastAsia="MS Mincho" w:hAnsi="Sylfaen" w:cs="Times New Roman"/>
          <w:lang w:eastAsia="it-IT"/>
        </w:rPr>
        <w:t>Fortune (1996) empirically confutes parts of the model assumptions, specifically the one regarding the normal logarithmic distribution of the underlying stock price, by observing that the relative frequency distribution is not normally distributed, is very leptokurtic</w:t>
      </w:r>
      <w:r w:rsidRPr="000C6DCF">
        <w:rPr>
          <w:rFonts w:ascii="Sylfaen" w:eastAsia="MS Mincho" w:hAnsi="Sylfaen" w:cs="Times New Roman"/>
          <w:vertAlign w:val="superscript"/>
          <w:lang w:eastAsia="it-IT"/>
        </w:rPr>
        <w:t xml:space="preserve">  </w:t>
      </w:r>
      <w:r w:rsidRPr="000C6DCF">
        <w:rPr>
          <w:rFonts w:ascii="Sylfaen" w:eastAsia="MS Mincho" w:hAnsi="Sylfaen" w:cs="Times New Roman"/>
          <w:lang w:eastAsia="it-IT"/>
        </w:rPr>
        <w:t>(</w:t>
      </w:r>
      <w:r w:rsidRPr="000C6DCF">
        <w:rPr>
          <w:rFonts w:ascii="Sylfaen" w:eastAsia="MS Mincho" w:hAnsi="Sylfaen" w:cs="Times New Roman"/>
          <w:lang w:val="it-IT" w:eastAsia="it-IT"/>
        </w:rPr>
        <w:t xml:space="preserve">distribution whose points form a higher peak than in the normal distribution), </w:t>
      </w:r>
      <w:r w:rsidRPr="000C6DCF">
        <w:rPr>
          <w:rFonts w:ascii="Sylfaen" w:eastAsia="MS Mincho" w:hAnsi="Sylfaen" w:cs="Times New Roman"/>
          <w:lang w:eastAsia="it-IT"/>
        </w:rPr>
        <w:t xml:space="preserve">and shows skewness. </w:t>
      </w:r>
    </w:p>
    <w:p w14:paraId="403528A6" w14:textId="77777777" w:rsidR="000C6DCF" w:rsidRPr="000C6DCF" w:rsidRDefault="000C6DCF" w:rsidP="000C6DCF">
      <w:pPr>
        <w:spacing w:after="0" w:line="360" w:lineRule="auto"/>
        <w:jc w:val="both"/>
        <w:rPr>
          <w:rFonts w:ascii="Sylfaen" w:eastAsia="MS Mincho" w:hAnsi="Sylfaen" w:cs="Times New Roman"/>
          <w:lang w:eastAsia="it-IT"/>
        </w:rPr>
      </w:pPr>
    </w:p>
    <w:p w14:paraId="52654D4F" w14:textId="159382D5" w:rsidR="00485B85" w:rsidRPr="000C6DCF" w:rsidRDefault="000C6DCF" w:rsidP="00485B85">
      <w:pPr>
        <w:spacing w:after="0" w:line="360" w:lineRule="auto"/>
        <w:jc w:val="both"/>
        <w:rPr>
          <w:rFonts w:ascii="Sylfaen" w:eastAsia="Times New Roman" w:hAnsi="Sylfaen" w:cs="Times New Roman"/>
          <w:i/>
          <w:lang w:val="it-IT" w:eastAsia="it-IT"/>
        </w:rPr>
      </w:pPr>
      <w:r w:rsidRPr="000C6DCF">
        <w:rPr>
          <w:rFonts w:ascii="Sylfaen" w:eastAsia="MS Mincho" w:hAnsi="Sylfaen" w:cs="Times New Roman"/>
          <w:lang w:eastAsia="it-IT"/>
        </w:rPr>
        <w:t xml:space="preserve">Nonetheless, amongst the shortcomings of the model, particular importance </w:t>
      </w:r>
      <w:proofErr w:type="gramStart"/>
      <w:r w:rsidRPr="000C6DCF">
        <w:rPr>
          <w:rFonts w:ascii="Sylfaen" w:eastAsia="MS Mincho" w:hAnsi="Sylfaen" w:cs="Times New Roman"/>
          <w:lang w:eastAsia="it-IT"/>
        </w:rPr>
        <w:t>must be given</w:t>
      </w:r>
      <w:proofErr w:type="gramEnd"/>
      <w:r w:rsidRPr="000C6DCF">
        <w:rPr>
          <w:rFonts w:ascii="Sylfaen" w:eastAsia="MS Mincho" w:hAnsi="Sylfaen" w:cs="Times New Roman"/>
          <w:lang w:eastAsia="it-IT"/>
        </w:rPr>
        <w:t xml:space="preserve"> to the role of volatility. Although Black and Scholes (1973) were well aware of the difficulties that </w:t>
      </w:r>
      <w:proofErr w:type="gramStart"/>
      <w:r w:rsidRPr="000C6DCF">
        <w:rPr>
          <w:rFonts w:ascii="Sylfaen" w:eastAsia="MS Mincho" w:hAnsi="Sylfaen" w:cs="Times New Roman"/>
          <w:lang w:eastAsia="it-IT"/>
        </w:rPr>
        <w:t>could be encountered</w:t>
      </w:r>
      <w:proofErr w:type="gramEnd"/>
      <w:r w:rsidRPr="000C6DCF">
        <w:rPr>
          <w:rFonts w:ascii="Sylfaen" w:eastAsia="MS Mincho" w:hAnsi="Sylfaen" w:cs="Times New Roman"/>
          <w:lang w:eastAsia="it-IT"/>
        </w:rPr>
        <w:t xml:space="preserve"> when trying to estimate volatility, a wrong calculation could lead to completely wrong predictions of the option price. In order to give a well-rounded analysis it is necessary </w:t>
      </w:r>
      <w:proofErr w:type="gramStart"/>
      <w:r w:rsidRPr="000C6DCF">
        <w:rPr>
          <w:rFonts w:ascii="Sylfaen" w:eastAsia="MS Mincho" w:hAnsi="Sylfaen" w:cs="Times New Roman"/>
          <w:lang w:eastAsia="it-IT"/>
        </w:rPr>
        <w:t xml:space="preserve">to </w:t>
      </w:r>
      <w:r w:rsidRPr="000C6DCF">
        <w:rPr>
          <w:rFonts w:ascii="Sylfaen" w:eastAsia="MS Mincho" w:hAnsi="Sylfaen" w:cs="Times New Roman"/>
          <w:lang w:eastAsia="it-IT"/>
        </w:rPr>
        <w:lastRenderedPageBreak/>
        <w:t>first make</w:t>
      </w:r>
      <w:proofErr w:type="gramEnd"/>
      <w:r w:rsidRPr="000C6DCF">
        <w:rPr>
          <w:rFonts w:ascii="Sylfaen" w:eastAsia="MS Mincho" w:hAnsi="Sylfaen" w:cs="Times New Roman"/>
          <w:lang w:eastAsia="it-IT"/>
        </w:rPr>
        <w:t xml:space="preserve"> a distinction between explicit (realised) and implicit (or implied) volatility. As Bailey (2005) states, the former </w:t>
      </w:r>
      <w:proofErr w:type="gramStart"/>
      <w:r w:rsidRPr="000C6DCF">
        <w:rPr>
          <w:rFonts w:ascii="Sylfaen" w:eastAsia="MS Mincho" w:hAnsi="Sylfaen" w:cs="Times New Roman"/>
          <w:lang w:eastAsia="it-IT"/>
        </w:rPr>
        <w:t>is calculated</w:t>
      </w:r>
      <w:proofErr w:type="gramEnd"/>
      <w:r w:rsidRPr="000C6DCF">
        <w:rPr>
          <w:rFonts w:ascii="Sylfaen" w:eastAsia="MS Mincho" w:hAnsi="Sylfaen" w:cs="Times New Roman"/>
          <w:lang w:eastAsia="it-IT"/>
        </w:rPr>
        <w:t xml:space="preserve"> as the standard deviation of previous data on asset price, with the following formula:</w:t>
      </w:r>
    </w:p>
    <w:p w14:paraId="660506FC" w14:textId="77777777" w:rsidR="00485B85" w:rsidRDefault="000C6DCF" w:rsidP="00485B85">
      <w:pPr>
        <w:spacing w:after="0" w:line="360" w:lineRule="auto"/>
        <w:jc w:val="center"/>
        <w:rPr>
          <w:rFonts w:ascii="Sylfaen" w:eastAsia="Times New Roman" w:hAnsi="Sylfaen" w:cs="Times New Roman"/>
          <w:i/>
          <w:u w:val="single"/>
          <w:lang w:val="it-IT" w:eastAsia="it-IT"/>
        </w:rPr>
      </w:pPr>
      <w:r w:rsidRPr="000C6DCF">
        <w:rPr>
          <w:rFonts w:ascii="Sylfaen" w:eastAsia="Times New Roman" w:hAnsi="Sylfaen" w:cs="Times New Roman"/>
          <w:i/>
          <w:lang w:val="it-IT" w:eastAsia="it-IT"/>
        </w:rPr>
        <w:sym w:font="Symbol" w:char="F073"/>
      </w:r>
      <w:r w:rsidRPr="000C6DCF">
        <w:rPr>
          <w:rFonts w:ascii="Sylfaen" w:eastAsia="Times New Roman" w:hAnsi="Sylfaen" w:cs="Times New Roman"/>
          <w:i/>
          <w:vertAlign w:val="superscript"/>
          <w:lang w:val="it-IT" w:eastAsia="it-IT"/>
        </w:rPr>
        <w:t xml:space="preserve">2 </w:t>
      </w:r>
      <w:r w:rsidRPr="000C6DCF">
        <w:rPr>
          <w:rFonts w:ascii="Sylfaen" w:eastAsia="Times New Roman" w:hAnsi="Sylfaen" w:cs="Times New Roman"/>
          <w:i/>
          <w:lang w:val="it-IT" w:eastAsia="it-IT"/>
        </w:rPr>
        <w:t xml:space="preserve">= </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bscript"/>
          <w:lang w:val="it-IT" w:eastAsia="it-IT"/>
        </w:rPr>
        <w:t>1</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perscript"/>
          <w:lang w:val="it-IT" w:eastAsia="it-IT"/>
        </w:rPr>
        <w:t>2</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bscript"/>
          <w:lang w:val="it-IT" w:eastAsia="it-IT"/>
        </w:rPr>
        <w:t>2</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perscript"/>
          <w:lang w:val="it-IT" w:eastAsia="it-IT"/>
        </w:rPr>
        <w:t>2</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bscript"/>
          <w:lang w:val="it-IT" w:eastAsia="it-IT"/>
        </w:rPr>
        <w:t>3</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perscript"/>
          <w:lang w:val="it-IT" w:eastAsia="it-IT"/>
        </w:rPr>
        <w:t>2</w:t>
      </w:r>
      <w:r w:rsidRPr="000C6DCF">
        <w:rPr>
          <w:rFonts w:ascii="Sylfaen" w:eastAsia="Times New Roman" w:hAnsi="Sylfaen" w:cs="Times New Roman"/>
          <w:i/>
          <w:u w:val="single"/>
          <w:lang w:val="it-IT" w:eastAsia="it-IT"/>
        </w:rPr>
        <w:t>+…+(g</w:t>
      </w:r>
      <w:r w:rsidRPr="000C6DCF">
        <w:rPr>
          <w:rFonts w:ascii="Sylfaen" w:eastAsia="Times New Roman" w:hAnsi="Sylfaen" w:cs="Times New Roman"/>
          <w:i/>
          <w:u w:val="single"/>
          <w:vertAlign w:val="subscript"/>
          <w:lang w:val="it-IT" w:eastAsia="it-IT"/>
        </w:rPr>
        <w:t>N</w:t>
      </w:r>
      <w:r w:rsidRPr="000C6DCF">
        <w:rPr>
          <w:rFonts w:ascii="Sylfaen" w:eastAsia="Times New Roman" w:hAnsi="Sylfaen" w:cs="Times New Roman"/>
          <w:i/>
          <w:u w:val="single"/>
          <w:lang w:val="it-IT" w:eastAsia="it-IT"/>
        </w:rPr>
        <w:t>-g)</w:t>
      </w:r>
    </w:p>
    <w:p w14:paraId="4D598BE2" w14:textId="5D7ED3C8" w:rsidR="000C6DCF" w:rsidRDefault="000C6DCF" w:rsidP="00485B85">
      <w:pPr>
        <w:spacing w:after="0" w:line="360" w:lineRule="auto"/>
        <w:jc w:val="center"/>
        <w:rPr>
          <w:rFonts w:ascii="Sylfaen" w:eastAsia="MS Mincho" w:hAnsi="Sylfaen" w:cs="Times New Roman"/>
          <w:i/>
          <w:lang w:eastAsia="it-IT"/>
        </w:rPr>
      </w:pPr>
      <w:r w:rsidRPr="000C6DCF">
        <w:rPr>
          <w:rFonts w:ascii="Sylfaen" w:eastAsia="Times New Roman" w:hAnsi="Sylfaen" w:cs="Times New Roman"/>
          <w:i/>
          <w:lang w:val="it-IT" w:eastAsia="it-IT"/>
        </w:rPr>
        <w:t>N-1</w:t>
      </w:r>
    </w:p>
    <w:p w14:paraId="6172BD67" w14:textId="77777777" w:rsidR="00485B85" w:rsidRPr="00485B85" w:rsidRDefault="00485B85" w:rsidP="000C6DCF">
      <w:pPr>
        <w:spacing w:after="0" w:line="360" w:lineRule="auto"/>
        <w:jc w:val="both"/>
        <w:rPr>
          <w:rFonts w:ascii="Sylfaen" w:eastAsia="MS Mincho" w:hAnsi="Sylfaen" w:cs="Times New Roman"/>
          <w:i/>
          <w:lang w:eastAsia="it-IT"/>
        </w:rPr>
      </w:pPr>
    </w:p>
    <w:p w14:paraId="7F584E51"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Where </w:t>
      </w:r>
      <w:r w:rsidRPr="000C6DCF">
        <w:rPr>
          <w:rFonts w:ascii="Sylfaen" w:eastAsia="MS Mincho" w:hAnsi="Sylfaen" w:cs="Times New Roman"/>
          <w:i/>
          <w:lang w:eastAsia="it-IT"/>
        </w:rPr>
        <w:t>g</w:t>
      </w:r>
      <w:r w:rsidRPr="000C6DCF">
        <w:rPr>
          <w:rFonts w:ascii="Sylfaen" w:eastAsia="MS Mincho" w:hAnsi="Sylfaen" w:cs="Times New Roman"/>
          <w:lang w:eastAsia="it-IT"/>
        </w:rPr>
        <w:t xml:space="preserve"> is the sample average, </w:t>
      </w:r>
      <w:r w:rsidRPr="000C6DCF">
        <w:rPr>
          <w:rFonts w:ascii="Sylfaen" w:eastAsia="MS Mincho" w:hAnsi="Sylfaen" w:cs="Times New Roman"/>
          <w:i/>
          <w:lang w:eastAsia="it-IT"/>
        </w:rPr>
        <w:t>g</w:t>
      </w:r>
      <w:r w:rsidRPr="000C6DCF">
        <w:rPr>
          <w:rFonts w:ascii="Sylfaen" w:eastAsia="MS Mincho" w:hAnsi="Sylfaen" w:cs="Times New Roman"/>
          <w:i/>
          <w:vertAlign w:val="subscript"/>
          <w:lang w:eastAsia="it-IT"/>
        </w:rPr>
        <w:t>1, 2, 3</w:t>
      </w:r>
      <w:r w:rsidRPr="000C6DCF">
        <w:rPr>
          <w:rFonts w:ascii="Sylfaen" w:eastAsia="MS Mincho" w:hAnsi="Sylfaen" w:cs="Times New Roman"/>
          <w:vertAlign w:val="subscript"/>
          <w:lang w:eastAsia="it-IT"/>
        </w:rPr>
        <w:t xml:space="preserve"> </w:t>
      </w:r>
      <w:r w:rsidRPr="000C6DCF">
        <w:rPr>
          <w:rFonts w:ascii="Sylfaen" w:eastAsia="MS Mincho" w:hAnsi="Sylfaen" w:cs="Times New Roman"/>
          <w:lang w:eastAsia="it-IT"/>
        </w:rPr>
        <w:t xml:space="preserve">etc. are the rates of return for each date. It is assumed that the volatility remains constant within time and does not depend on investor sentiment, although there is no consensus about how it should be modelled if it were non-constant. </w:t>
      </w:r>
    </w:p>
    <w:p w14:paraId="79C164DF" w14:textId="77777777" w:rsidR="000C6DCF" w:rsidRPr="000C6DCF" w:rsidRDefault="000C6DCF" w:rsidP="000C6DCF">
      <w:pPr>
        <w:spacing w:after="0" w:line="360" w:lineRule="auto"/>
        <w:jc w:val="both"/>
        <w:rPr>
          <w:rFonts w:ascii="Sylfaen" w:eastAsia="MS Mincho" w:hAnsi="Sylfaen" w:cs="Times New Roman"/>
          <w:lang w:eastAsia="it-IT"/>
        </w:rPr>
      </w:pPr>
    </w:p>
    <w:p w14:paraId="0B47AB23" w14:textId="3747A0CC" w:rsidR="00485B85" w:rsidRPr="000C6DCF" w:rsidRDefault="000C6DCF" w:rsidP="00485B85">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Interestingly, implicit volatility is the market’s assessment of the underlying asset’s volatility – the market’s estimate of the constant volatility parameter (Mayhew, 1995) - and the value that satisfies the BSM formulae. In order to calculate it, one would simply substitute the price of the option into the formula and use the volatility as the unknown to be found. One useful trait of implicit volatility is that it can be defined as forward looking, meaning that it is founded on the future expectations of the investors. Moreover, implicit volatility can be computed for different option contracts within the same underlying asset: when they are not equal, there is evidence of non-constant volatility and the BSM formulae do not hold</w:t>
      </w:r>
      <w:r w:rsidRPr="000C6DCF">
        <w:rPr>
          <w:rFonts w:ascii="Sylfaen" w:eastAsia="MS Mincho" w:hAnsi="Sylfaen" w:cs="Times New Roman"/>
          <w:lang w:val="it-IT" w:eastAsia="it-IT"/>
        </w:rPr>
        <w:t xml:space="preserve"> (Bailey, 2005)</w:t>
      </w:r>
      <w:r w:rsidRPr="000C6DCF">
        <w:rPr>
          <w:rFonts w:ascii="Sylfaen" w:eastAsia="MS Mincho" w:hAnsi="Sylfaen" w:cs="Times New Roman"/>
          <w:lang w:eastAsia="it-IT"/>
        </w:rPr>
        <w:t>. In fact, implied volatility can graphically assume different shapes; as Mayhew (1995) underlines, across the strike price value they take the form of “smiles” or “skews”. Considering the defects of volatility, model-free estimates of the implicit volatility have been implemented; one of the most significant is the Chicago Board Options Exchange VIX index. Looking at the historical background, in 1993 the CBOE</w:t>
      </w:r>
      <w:r w:rsidRPr="000C6DCF">
        <w:rPr>
          <w:rFonts w:ascii="Sylfaen" w:eastAsia="MS Mincho" w:hAnsi="Sylfaen" w:cs="Times New Roman"/>
          <w:vertAlign w:val="superscript"/>
          <w:lang w:eastAsia="it-IT"/>
        </w:rPr>
        <w:footnoteReference w:id="3"/>
      </w:r>
      <w:r w:rsidRPr="000C6DCF">
        <w:rPr>
          <w:rFonts w:ascii="Sylfaen" w:eastAsia="MS Mincho" w:hAnsi="Sylfaen" w:cs="Times New Roman"/>
          <w:lang w:eastAsia="it-IT"/>
        </w:rPr>
        <w:t xml:space="preserve"> introduced the VIX index that was originally constructed to measure the market’s expectations on the S&amp;P100’s (</w:t>
      </w:r>
      <w:r w:rsidRPr="000C6DCF">
        <w:rPr>
          <w:rFonts w:ascii="Sylfaen" w:eastAsia="MS Mincho" w:hAnsi="Sylfaen" w:cs="Times New Roman"/>
          <w:lang w:val="it-IT" w:eastAsia="it-IT"/>
        </w:rPr>
        <w:t xml:space="preserve">Standard and Poor’s) </w:t>
      </w:r>
      <w:r w:rsidRPr="000C6DCF">
        <w:rPr>
          <w:rFonts w:ascii="Sylfaen" w:eastAsia="MS Mincho" w:hAnsi="Sylfaen" w:cs="Times New Roman"/>
          <w:lang w:eastAsia="it-IT"/>
        </w:rPr>
        <w:t>30-day implicit volatility and consequently, became the benchmark for the U.S. volatility. It is founded on the assumption of arbitrage absence and lack of discrete jumps. A derivation of the formula goes beyond the scope of this paper, but it takes the following form:</w:t>
      </w:r>
    </w:p>
    <w:p w14:paraId="09FE3EF0" w14:textId="77777777" w:rsidR="005166B3" w:rsidRDefault="000C6DCF" w:rsidP="005166B3">
      <w:pPr>
        <w:keepNext/>
        <w:spacing w:after="0" w:line="360" w:lineRule="auto"/>
        <w:jc w:val="center"/>
      </w:pPr>
      <w:r w:rsidRPr="000C6DCF">
        <w:rPr>
          <w:rFonts w:ascii="Times New Roman" w:eastAsia="MS Mincho" w:hAnsi="Times New Roman" w:cs="Times New Roman"/>
          <w:noProof/>
          <w:lang w:eastAsia="en-GB"/>
        </w:rPr>
        <w:drawing>
          <wp:inline distT="0" distB="0" distL="0" distR="0" wp14:anchorId="5830EBA7" wp14:editId="43C973B1">
            <wp:extent cx="2886075" cy="533400"/>
            <wp:effectExtent l="0" t="0" r="9525" b="0"/>
            <wp:docPr id="2" name="Immagine 2" descr="Formula showing a derivation of Chicago Board Options Exchange VIX index. This derivation goes beyond the scope of this paper. " title="Derivation of Chicago Board Options Exchange VIX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533400"/>
                    </a:xfrm>
                    <a:prstGeom prst="rect">
                      <a:avLst/>
                    </a:prstGeom>
                    <a:noFill/>
                    <a:ln>
                      <a:noFill/>
                    </a:ln>
                  </pic:spPr>
                </pic:pic>
              </a:graphicData>
            </a:graphic>
          </wp:inline>
        </w:drawing>
      </w:r>
    </w:p>
    <w:p w14:paraId="74AA4F3A" w14:textId="5AD213D4" w:rsidR="000C6DCF" w:rsidRPr="005166B3" w:rsidRDefault="005166B3" w:rsidP="005166B3">
      <w:pPr>
        <w:pStyle w:val="Caption"/>
        <w:jc w:val="center"/>
        <w:rPr>
          <w:rFonts w:ascii="Sylfaen" w:eastAsia="MS Mincho" w:hAnsi="Sylfaen" w:cs="Times New Roman"/>
          <w:color w:val="auto"/>
          <w:sz w:val="20"/>
          <w:lang w:eastAsia="it-IT"/>
        </w:rPr>
      </w:pPr>
      <w:r w:rsidRPr="005166B3">
        <w:rPr>
          <w:rFonts w:ascii="Sylfaen" w:hAnsi="Sylfaen"/>
          <w:color w:val="auto"/>
          <w:sz w:val="20"/>
        </w:rPr>
        <w:t xml:space="preserve">Figure </w:t>
      </w:r>
      <w:r w:rsidRPr="005166B3">
        <w:rPr>
          <w:rFonts w:ascii="Sylfaen" w:hAnsi="Sylfaen"/>
          <w:color w:val="auto"/>
          <w:sz w:val="20"/>
        </w:rPr>
        <w:fldChar w:fldCharType="begin"/>
      </w:r>
      <w:r w:rsidRPr="005166B3">
        <w:rPr>
          <w:rFonts w:ascii="Sylfaen" w:hAnsi="Sylfaen"/>
          <w:color w:val="auto"/>
          <w:sz w:val="20"/>
        </w:rPr>
        <w:instrText xml:space="preserve"> SEQ Figure \* ARABIC </w:instrText>
      </w:r>
      <w:r w:rsidRPr="005166B3">
        <w:rPr>
          <w:rFonts w:ascii="Sylfaen" w:hAnsi="Sylfaen"/>
          <w:color w:val="auto"/>
          <w:sz w:val="20"/>
        </w:rPr>
        <w:fldChar w:fldCharType="separate"/>
      </w:r>
      <w:r w:rsidR="005627C8">
        <w:rPr>
          <w:rFonts w:ascii="Sylfaen" w:hAnsi="Sylfaen"/>
          <w:noProof/>
          <w:color w:val="auto"/>
          <w:sz w:val="20"/>
        </w:rPr>
        <w:t>1</w:t>
      </w:r>
      <w:r w:rsidRPr="005166B3">
        <w:rPr>
          <w:rFonts w:ascii="Sylfaen" w:hAnsi="Sylfaen"/>
          <w:color w:val="auto"/>
          <w:sz w:val="20"/>
        </w:rPr>
        <w:fldChar w:fldCharType="end"/>
      </w:r>
      <w:r w:rsidRPr="005166B3">
        <w:rPr>
          <w:rFonts w:ascii="Sylfaen" w:hAnsi="Sylfaen"/>
          <w:color w:val="auto"/>
          <w:sz w:val="20"/>
        </w:rPr>
        <w:t xml:space="preserve"> Derivation of Chicago Board Options Exchange VIX index</w:t>
      </w:r>
    </w:p>
    <w:p w14:paraId="44AE6339" w14:textId="77777777" w:rsidR="000C6DCF" w:rsidRPr="000C6DCF" w:rsidRDefault="000C6DCF" w:rsidP="000C6DCF">
      <w:pPr>
        <w:spacing w:after="0" w:line="360" w:lineRule="auto"/>
        <w:jc w:val="both"/>
        <w:rPr>
          <w:rFonts w:ascii="Sylfaen" w:eastAsia="MS Mincho" w:hAnsi="Sylfaen" w:cs="Times New Roman"/>
          <w:lang w:eastAsia="it-IT"/>
        </w:rPr>
      </w:pPr>
    </w:p>
    <w:p w14:paraId="712164FC"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Where:</w:t>
      </w:r>
    </w:p>
    <w:p w14:paraId="292C0B3D" w14:textId="77777777" w:rsidR="000C6DCF" w:rsidRPr="000C6DCF" w:rsidRDefault="000C6DCF" w:rsidP="000C6DCF">
      <w:pPr>
        <w:spacing w:after="0" w:line="360" w:lineRule="auto"/>
        <w:jc w:val="both"/>
        <w:rPr>
          <w:rFonts w:ascii="Sylfaen" w:eastAsia="Times New Roman" w:hAnsi="Sylfaen" w:cs="Times New Roman"/>
          <w:lang w:eastAsia="it-IT"/>
        </w:rPr>
      </w:pPr>
      <w:r w:rsidRPr="000C6DCF">
        <w:rPr>
          <w:rFonts w:ascii="Sylfaen" w:eastAsia="Times New Roman" w:hAnsi="Sylfaen" w:cs="Times New Roman"/>
          <w:i/>
          <w:lang w:eastAsia="it-IT"/>
        </w:rPr>
        <w:sym w:font="Symbol" w:char="F073"/>
      </w:r>
      <w:r w:rsidRPr="000C6DCF">
        <w:rPr>
          <w:rFonts w:ascii="Sylfaen" w:eastAsia="Times New Roman" w:hAnsi="Sylfaen" w:cs="Times New Roman"/>
          <w:i/>
          <w:vertAlign w:val="superscript"/>
          <w:lang w:eastAsia="it-IT"/>
        </w:rPr>
        <w:t>2</w:t>
      </w:r>
      <w:r w:rsidRPr="000C6DCF">
        <w:rPr>
          <w:rFonts w:ascii="Sylfaen" w:eastAsia="Times New Roman" w:hAnsi="Sylfaen" w:cs="Times New Roman"/>
          <w:lang w:eastAsia="it-IT"/>
        </w:rPr>
        <w:t xml:space="preserve"> = (VIX/100); </w:t>
      </w:r>
      <w:r w:rsidRPr="000C6DCF">
        <w:rPr>
          <w:rFonts w:ascii="Sylfaen" w:eastAsia="Times New Roman" w:hAnsi="Sylfaen" w:cs="Times New Roman"/>
          <w:i/>
          <w:lang w:eastAsia="it-IT"/>
        </w:rPr>
        <w:t>T</w:t>
      </w:r>
      <w:r w:rsidRPr="000C6DCF">
        <w:rPr>
          <w:rFonts w:ascii="Sylfaen" w:eastAsia="Times New Roman" w:hAnsi="Sylfaen" w:cs="Times New Roman"/>
          <w:lang w:eastAsia="it-IT"/>
        </w:rPr>
        <w:t xml:space="preserve"> is the time to expiration; </w:t>
      </w:r>
      <w:r w:rsidRPr="000C6DCF">
        <w:rPr>
          <w:rFonts w:ascii="Sylfaen" w:eastAsia="Times New Roman" w:hAnsi="Sylfaen" w:cs="Times New Roman"/>
          <w:i/>
          <w:lang w:eastAsia="it-IT"/>
        </w:rPr>
        <w:t>F</w:t>
      </w:r>
      <w:r w:rsidRPr="000C6DCF">
        <w:rPr>
          <w:rFonts w:ascii="Sylfaen" w:eastAsia="Times New Roman" w:hAnsi="Sylfaen" w:cs="Times New Roman"/>
          <w:lang w:eastAsia="it-IT"/>
        </w:rPr>
        <w:t xml:space="preserve"> is the forward index level desired; </w:t>
      </w:r>
      <w:r w:rsidRPr="000C6DCF">
        <w:rPr>
          <w:rFonts w:ascii="Sylfaen" w:eastAsia="Times New Roman" w:hAnsi="Sylfaen" w:cs="Times New Roman"/>
          <w:i/>
          <w:lang w:eastAsia="it-IT"/>
        </w:rPr>
        <w:t>K</w:t>
      </w:r>
      <w:r w:rsidRPr="000C6DCF">
        <w:rPr>
          <w:rFonts w:ascii="Sylfaen" w:eastAsia="Times New Roman" w:hAnsi="Sylfaen" w:cs="Times New Roman"/>
          <w:i/>
          <w:vertAlign w:val="subscript"/>
          <w:lang w:eastAsia="it-IT"/>
        </w:rPr>
        <w:t>o</w:t>
      </w:r>
      <w:r w:rsidRPr="000C6DCF">
        <w:rPr>
          <w:rFonts w:ascii="Sylfaen" w:eastAsia="Times New Roman" w:hAnsi="Sylfaen" w:cs="Times New Roman"/>
          <w:vertAlign w:val="subscript"/>
          <w:lang w:eastAsia="it-IT"/>
        </w:rPr>
        <w:t xml:space="preserve"> </w:t>
      </w:r>
      <w:r w:rsidRPr="000C6DCF">
        <w:rPr>
          <w:rFonts w:ascii="Sylfaen" w:eastAsia="Times New Roman" w:hAnsi="Sylfaen" w:cs="Times New Roman"/>
          <w:lang w:eastAsia="it-IT"/>
        </w:rPr>
        <w:t xml:space="preserve">equals the first strike below </w:t>
      </w:r>
      <w:r w:rsidRPr="000C6DCF">
        <w:rPr>
          <w:rFonts w:ascii="Sylfaen" w:eastAsia="Times New Roman" w:hAnsi="Sylfaen" w:cs="Times New Roman"/>
          <w:i/>
          <w:lang w:eastAsia="it-IT"/>
        </w:rPr>
        <w:t>F</w:t>
      </w:r>
      <w:r w:rsidRPr="000C6DCF">
        <w:rPr>
          <w:rFonts w:ascii="Sylfaen" w:eastAsia="Times New Roman" w:hAnsi="Sylfaen" w:cs="Times New Roman"/>
          <w:lang w:eastAsia="it-IT"/>
        </w:rPr>
        <w:t xml:space="preserve">; </w:t>
      </w:r>
      <w:r w:rsidRPr="000C6DCF">
        <w:rPr>
          <w:rFonts w:ascii="Sylfaen" w:eastAsia="Times New Roman" w:hAnsi="Sylfaen" w:cs="Times New Roman"/>
          <w:i/>
          <w:lang w:eastAsia="it-IT"/>
        </w:rPr>
        <w:t>K</w:t>
      </w:r>
      <w:r w:rsidRPr="000C6DCF">
        <w:rPr>
          <w:rFonts w:ascii="Sylfaen" w:eastAsia="Times New Roman" w:hAnsi="Sylfaen" w:cs="Times New Roman"/>
          <w:i/>
          <w:vertAlign w:val="subscript"/>
          <w:lang w:eastAsia="it-IT"/>
        </w:rPr>
        <w:t>1</w:t>
      </w:r>
      <w:r w:rsidRPr="000C6DCF">
        <w:rPr>
          <w:rFonts w:ascii="Sylfaen" w:eastAsia="Times New Roman" w:hAnsi="Sylfaen" w:cs="Times New Roman"/>
          <w:vertAlign w:val="subscript"/>
          <w:lang w:eastAsia="it-IT"/>
        </w:rPr>
        <w:t xml:space="preserve"> </w:t>
      </w:r>
      <w:r w:rsidRPr="000C6DCF">
        <w:rPr>
          <w:rFonts w:ascii="Sylfaen" w:eastAsia="Times New Roman" w:hAnsi="Sylfaen" w:cs="Times New Roman"/>
          <w:lang w:eastAsia="it-IT"/>
        </w:rPr>
        <w:t xml:space="preserve">is the strike price of the </w:t>
      </w:r>
      <w:proofErr w:type="spellStart"/>
      <w:r w:rsidRPr="000C6DCF">
        <w:rPr>
          <w:rFonts w:ascii="Sylfaen" w:eastAsia="Times New Roman" w:hAnsi="Sylfaen" w:cs="Times New Roman"/>
          <w:i/>
          <w:lang w:eastAsia="it-IT"/>
        </w:rPr>
        <w:t>ith</w:t>
      </w:r>
      <w:proofErr w:type="spellEnd"/>
      <w:r w:rsidRPr="000C6DCF">
        <w:rPr>
          <w:rFonts w:ascii="Sylfaen" w:eastAsia="Times New Roman" w:hAnsi="Sylfaen" w:cs="Times New Roman"/>
          <w:lang w:eastAsia="it-IT"/>
        </w:rPr>
        <w:t xml:space="preserve"> out of the money option; </w:t>
      </w:r>
      <w:proofErr w:type="spellStart"/>
      <w:r w:rsidRPr="000C6DCF">
        <w:rPr>
          <w:rFonts w:ascii="Sylfaen" w:eastAsia="Times New Roman" w:hAnsi="Sylfaen" w:cs="Times New Roman"/>
          <w:i/>
          <w:lang w:eastAsia="it-IT"/>
        </w:rPr>
        <w:t>ΔK</w:t>
      </w:r>
      <w:r w:rsidRPr="000C6DCF">
        <w:rPr>
          <w:rFonts w:ascii="Sylfaen" w:eastAsia="Times New Roman" w:hAnsi="Sylfaen" w:cs="Times New Roman"/>
          <w:i/>
          <w:vertAlign w:val="subscript"/>
          <w:lang w:eastAsia="it-IT"/>
        </w:rPr>
        <w:t>i</w:t>
      </w:r>
      <w:proofErr w:type="spellEnd"/>
      <w:r w:rsidRPr="000C6DCF">
        <w:rPr>
          <w:rFonts w:ascii="Sylfaen" w:eastAsia="Times New Roman" w:hAnsi="Sylfaen" w:cs="Times New Roman"/>
          <w:lang w:eastAsia="it-IT"/>
        </w:rPr>
        <w:t xml:space="preserve"> represents the interval between strike prices; </w:t>
      </w:r>
      <w:r w:rsidRPr="000C6DCF">
        <w:rPr>
          <w:rFonts w:ascii="Sylfaen" w:eastAsia="Times New Roman" w:hAnsi="Sylfaen" w:cs="Times New Roman"/>
          <w:i/>
          <w:lang w:eastAsia="it-IT"/>
        </w:rPr>
        <w:t>R</w:t>
      </w:r>
      <w:r w:rsidRPr="000C6DCF">
        <w:rPr>
          <w:rFonts w:ascii="Sylfaen" w:eastAsia="Times New Roman" w:hAnsi="Sylfaen" w:cs="Times New Roman"/>
          <w:lang w:eastAsia="it-IT"/>
        </w:rPr>
        <w:t xml:space="preserve"> equals the risk-free interest rate; </w:t>
      </w:r>
      <w:r w:rsidRPr="000C6DCF">
        <w:rPr>
          <w:rFonts w:ascii="Sylfaen" w:eastAsia="Times New Roman" w:hAnsi="Sylfaen" w:cs="Times New Roman"/>
          <w:i/>
          <w:lang w:eastAsia="it-IT"/>
        </w:rPr>
        <w:t>Q(K</w:t>
      </w:r>
      <w:r w:rsidRPr="000C6DCF">
        <w:rPr>
          <w:rFonts w:ascii="Sylfaen" w:eastAsia="Times New Roman" w:hAnsi="Sylfaen" w:cs="Times New Roman"/>
          <w:i/>
          <w:vertAlign w:val="subscript"/>
          <w:lang w:eastAsia="it-IT"/>
        </w:rPr>
        <w:t>i</w:t>
      </w:r>
      <w:r w:rsidRPr="000C6DCF">
        <w:rPr>
          <w:rFonts w:ascii="Sylfaen" w:eastAsia="Times New Roman" w:hAnsi="Sylfaen" w:cs="Times New Roman"/>
          <w:i/>
          <w:lang w:eastAsia="it-IT"/>
        </w:rPr>
        <w:t>)</w:t>
      </w:r>
      <w:r w:rsidRPr="000C6DCF">
        <w:rPr>
          <w:rFonts w:ascii="Sylfaen" w:eastAsia="Times New Roman" w:hAnsi="Sylfaen" w:cs="Times New Roman"/>
          <w:lang w:eastAsia="it-IT"/>
        </w:rPr>
        <w:t xml:space="preserve"> is the “midpoint” of the bid-ask spread for each option with strike </w:t>
      </w:r>
      <w:r w:rsidRPr="000C6DCF">
        <w:rPr>
          <w:rFonts w:ascii="Sylfaen" w:eastAsia="Times New Roman" w:hAnsi="Sylfaen" w:cs="Times New Roman"/>
          <w:i/>
          <w:lang w:eastAsia="it-IT"/>
        </w:rPr>
        <w:t>K</w:t>
      </w:r>
      <w:r w:rsidRPr="000C6DCF">
        <w:rPr>
          <w:rFonts w:ascii="Sylfaen" w:eastAsia="Times New Roman" w:hAnsi="Sylfaen" w:cs="Times New Roman"/>
          <w:i/>
          <w:vertAlign w:val="subscript"/>
          <w:lang w:eastAsia="it-IT"/>
        </w:rPr>
        <w:t>i</w:t>
      </w:r>
      <w:r w:rsidRPr="000C6DCF">
        <w:rPr>
          <w:rFonts w:ascii="Sylfaen" w:eastAsia="Times New Roman" w:hAnsi="Sylfaen" w:cs="Times New Roman"/>
          <w:lang w:eastAsia="it-IT"/>
        </w:rPr>
        <w:t>. The VIX index can be considered as a market forecast of variability, because it reflects the beliefs and option preferences of the investors.</w:t>
      </w:r>
    </w:p>
    <w:p w14:paraId="19B7E806" w14:textId="77777777" w:rsidR="000C6DCF" w:rsidRPr="000C6DCF" w:rsidRDefault="000C6DCF" w:rsidP="000C6DCF">
      <w:pPr>
        <w:spacing w:after="0" w:line="360" w:lineRule="auto"/>
        <w:jc w:val="both"/>
        <w:rPr>
          <w:rFonts w:ascii="Sylfaen" w:eastAsia="Times New Roman" w:hAnsi="Sylfaen" w:cs="Times New Roman"/>
          <w:lang w:eastAsia="it-IT"/>
        </w:rPr>
      </w:pPr>
    </w:p>
    <w:p w14:paraId="3F4CDEE2" w14:textId="77777777" w:rsidR="000C6DCF" w:rsidRPr="000C6DCF" w:rsidRDefault="000C6DCF" w:rsidP="000C6DCF">
      <w:pPr>
        <w:spacing w:after="0" w:line="360" w:lineRule="auto"/>
        <w:jc w:val="both"/>
        <w:rPr>
          <w:rFonts w:ascii="Sylfaen" w:eastAsia="Times New Roman" w:hAnsi="Sylfaen" w:cs="Times New Roman"/>
          <w:lang w:eastAsia="it-IT"/>
        </w:rPr>
      </w:pPr>
      <w:r w:rsidRPr="000C6DCF">
        <w:rPr>
          <w:rFonts w:ascii="Sylfaen" w:eastAsia="Times New Roman" w:hAnsi="Sylfaen" w:cs="Times New Roman"/>
          <w:lang w:eastAsia="it-IT"/>
        </w:rPr>
        <w:t xml:space="preserve">It can also be employed for other scopes: it constructs the underlying asset for options traded in the CBOE; it prices variance swaps – a type of forward contract; it estimates variance risk premia. </w:t>
      </w:r>
    </w:p>
    <w:p w14:paraId="030F607E" w14:textId="77777777" w:rsidR="000C6DCF" w:rsidRPr="000C6DCF" w:rsidRDefault="000C6DCF" w:rsidP="000C6DCF">
      <w:pPr>
        <w:spacing w:after="0" w:line="360" w:lineRule="auto"/>
        <w:jc w:val="both"/>
        <w:rPr>
          <w:rFonts w:ascii="Sylfaen" w:eastAsia="Times New Roman" w:hAnsi="Sylfaen" w:cs="Times New Roman"/>
          <w:lang w:eastAsia="it-IT"/>
        </w:rPr>
      </w:pPr>
    </w:p>
    <w:p w14:paraId="7FF573D2"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With these concepts about volatility in mind, </w:t>
      </w:r>
      <w:proofErr w:type="spellStart"/>
      <w:r w:rsidRPr="000C6DCF">
        <w:rPr>
          <w:rFonts w:ascii="Sylfaen" w:eastAsia="MS Mincho" w:hAnsi="Sylfaen" w:cs="Times New Roman"/>
          <w:lang w:eastAsia="it-IT"/>
        </w:rPr>
        <w:t>Bollerslev</w:t>
      </w:r>
      <w:proofErr w:type="spellEnd"/>
      <w:r w:rsidRPr="000C6DCF">
        <w:rPr>
          <w:rFonts w:ascii="Sylfaen" w:eastAsia="MS Mincho" w:hAnsi="Sylfaen" w:cs="Times New Roman"/>
          <w:lang w:eastAsia="it-IT"/>
        </w:rPr>
        <w:t xml:space="preserve"> and Zhou (2007) construct a different model to account for time changing volatility to explain price variation; they focus on the difference between implied and realised variances finding more accurate predictions than the ones of the BSM model, suggesting that the approach can be further implemented.</w:t>
      </w:r>
    </w:p>
    <w:p w14:paraId="06694C63" w14:textId="77777777" w:rsidR="000C6DCF" w:rsidRPr="000C6DCF" w:rsidRDefault="000C6DCF" w:rsidP="000C6DCF">
      <w:pPr>
        <w:spacing w:after="0" w:line="360" w:lineRule="auto"/>
        <w:jc w:val="both"/>
        <w:rPr>
          <w:rFonts w:ascii="Sylfaen" w:eastAsia="MS Mincho" w:hAnsi="Sylfaen" w:cs="Times New Roman"/>
          <w:lang w:eastAsia="it-IT"/>
        </w:rPr>
      </w:pPr>
    </w:p>
    <w:p w14:paraId="021B0A4C" w14:textId="451C951A" w:rsidR="000C6DCF" w:rsidRPr="000C6DCF" w:rsidRDefault="000C6DCF" w:rsidP="000C6DCF">
      <w:pPr>
        <w:pStyle w:val="Heading1"/>
        <w:rPr>
          <w:rFonts w:eastAsia="MS Mincho"/>
          <w:lang w:eastAsia="it-IT"/>
        </w:rPr>
      </w:pPr>
      <w:r w:rsidRPr="000C6DCF">
        <w:rPr>
          <w:rFonts w:eastAsia="MS Mincho"/>
          <w:lang w:eastAsia="it-IT"/>
        </w:rPr>
        <w:t>Alternative Applications</w:t>
      </w:r>
    </w:p>
    <w:p w14:paraId="130ACC58" w14:textId="77777777" w:rsidR="00485B85"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Although the Black-Scholes-Merton model was initially developed to fit the analysis of option prices, it can also be applied to other contingent claims and extended to the analysis of other types of derivatives. In particular, the analysis </w:t>
      </w:r>
      <w:proofErr w:type="gramStart"/>
      <w:r w:rsidRPr="000C6DCF">
        <w:rPr>
          <w:rFonts w:ascii="Sylfaen" w:eastAsia="MS Mincho" w:hAnsi="Sylfaen" w:cs="Times New Roman"/>
          <w:lang w:eastAsia="it-IT"/>
        </w:rPr>
        <w:t>can be applied</w:t>
      </w:r>
      <w:proofErr w:type="gramEnd"/>
      <w:r w:rsidRPr="000C6DCF">
        <w:rPr>
          <w:rFonts w:ascii="Sylfaen" w:eastAsia="MS Mincho" w:hAnsi="Sylfaen" w:cs="Times New Roman"/>
          <w:lang w:eastAsia="it-IT"/>
        </w:rPr>
        <w:t xml:space="preserve"> to any security whose payoff is dependent on the returns of another asset (</w:t>
      </w:r>
      <w:r w:rsidRPr="000C6DCF">
        <w:rPr>
          <w:rFonts w:ascii="Sylfaen" w:eastAsia="MS Mincho" w:hAnsi="Sylfaen" w:cs="Times New Roman"/>
          <w:lang w:val="it-IT" w:eastAsia="it-IT"/>
        </w:rPr>
        <w:t>Bailey, 2005)</w:t>
      </w:r>
      <w:r w:rsidRPr="000C6DCF">
        <w:rPr>
          <w:rFonts w:ascii="Sylfaen" w:eastAsia="MS Mincho" w:hAnsi="Sylfaen" w:cs="Times New Roman"/>
          <w:lang w:eastAsia="it-IT"/>
        </w:rPr>
        <w:t>.</w:t>
      </w:r>
    </w:p>
    <w:p w14:paraId="1C21B849" w14:textId="33F682F5" w:rsidR="000C6DCF" w:rsidRPr="000C6DCF" w:rsidRDefault="00485B85"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 </w:t>
      </w:r>
    </w:p>
    <w:p w14:paraId="54A795D8"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Merton (1977, 1998) proceeds on extending the analysis and applies the BSM model in special cases, for example to loan guarantees and deposit insurance. Specifically, he claims that a contract that insures against the losses caused by the default of an underlying asset is equivalent to a put option whose exercise price is equal to the default-free contract value. Thus, a purchase of a debt instrument that involves possible defaults </w:t>
      </w:r>
      <w:proofErr w:type="gramStart"/>
      <w:r w:rsidRPr="000C6DCF">
        <w:rPr>
          <w:rFonts w:ascii="Sylfaen" w:eastAsia="MS Mincho" w:hAnsi="Sylfaen" w:cs="Times New Roman"/>
          <w:lang w:eastAsia="it-IT"/>
        </w:rPr>
        <w:t>can be seen</w:t>
      </w:r>
      <w:proofErr w:type="gramEnd"/>
      <w:r w:rsidRPr="000C6DCF">
        <w:rPr>
          <w:rFonts w:ascii="Sylfaen" w:eastAsia="MS Mincho" w:hAnsi="Sylfaen" w:cs="Times New Roman"/>
          <w:lang w:eastAsia="it-IT"/>
        </w:rPr>
        <w:t xml:space="preserve"> as an issue of a loan guarantee to insure the buyer against losses. Similarly, deposit insurance guarantees the depositor a refund (full or partial) in case of a bank run. Merton applies the analysis to the U.S. financial system and government guarantees; the contrast with the put option is made clear if we consider the deposit as an act of </w:t>
      </w:r>
      <w:r w:rsidRPr="000C6DCF">
        <w:rPr>
          <w:rFonts w:ascii="Sylfaen" w:eastAsia="MS Mincho" w:hAnsi="Sylfaen" w:cs="Times New Roman"/>
          <w:lang w:eastAsia="it-IT"/>
        </w:rPr>
        <w:lastRenderedPageBreak/>
        <w:t xml:space="preserve">protection from the buyer against default, and the loan guarantee as a condition in which the bank holds the deposit and will only exercise if the borrower does not make the pre-arranged payments. </w:t>
      </w:r>
    </w:p>
    <w:p w14:paraId="3C2C6AB1" w14:textId="77777777" w:rsidR="000C6DCF" w:rsidRPr="000C6DCF" w:rsidRDefault="000C6DCF" w:rsidP="000C6DCF">
      <w:pPr>
        <w:spacing w:after="0" w:line="360" w:lineRule="auto"/>
        <w:jc w:val="both"/>
        <w:rPr>
          <w:rFonts w:ascii="Sylfaen" w:eastAsia="MS Mincho" w:hAnsi="Sylfaen" w:cs="Times New Roman"/>
          <w:lang w:eastAsia="it-IT"/>
        </w:rPr>
      </w:pPr>
    </w:p>
    <w:p w14:paraId="7236340B" w14:textId="77777777" w:rsidR="00485B85"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Additionally, Merton (1977) extends the analysis to non-financial instruments: the so-called “real-options”. These options regard real estate investments or development decisions, or, in general, every instrument that involves future uncertainty.</w:t>
      </w:r>
    </w:p>
    <w:p w14:paraId="6F56F588" w14:textId="4BB8237C" w:rsidR="000C6DCF" w:rsidRPr="000C6DCF" w:rsidRDefault="00485B85"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 </w:t>
      </w:r>
    </w:p>
    <w:p w14:paraId="7616612F"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The BSM model </w:t>
      </w:r>
      <w:proofErr w:type="gramStart"/>
      <w:r w:rsidRPr="000C6DCF">
        <w:rPr>
          <w:rFonts w:ascii="Sylfaen" w:eastAsia="MS Mincho" w:hAnsi="Sylfaen" w:cs="Times New Roman"/>
          <w:lang w:eastAsia="it-IT"/>
        </w:rPr>
        <w:t>can also be applied</w:t>
      </w:r>
      <w:proofErr w:type="gramEnd"/>
      <w:r w:rsidRPr="000C6DCF">
        <w:rPr>
          <w:rFonts w:ascii="Sylfaen" w:eastAsia="MS Mincho" w:hAnsi="Sylfaen" w:cs="Times New Roman"/>
          <w:lang w:eastAsia="it-IT"/>
        </w:rPr>
        <w:t xml:space="preserve"> to revolving credit agreements, for which a company is obliged to give funds to another company in case this is in need of credit. The price of this decision is studied by Hawkins (1982) and depends on various elements such as the cost a bank might impose for borrowing (that could be less or more than the one imposed by the company lending the funds), and the rate at which funds are lent. Finally, Lauterbach and Schultz (1990) make use of the BSM (adjusted for dilution) to analyse price warrants rather than options, although their findings might suggest that the model performs rather poorly in this case.</w:t>
      </w:r>
    </w:p>
    <w:p w14:paraId="539B2ECD" w14:textId="77777777" w:rsidR="000C6DCF" w:rsidRPr="000C6DCF" w:rsidRDefault="000C6DCF" w:rsidP="000C6DCF">
      <w:pPr>
        <w:spacing w:after="0" w:line="360" w:lineRule="auto"/>
        <w:jc w:val="both"/>
        <w:rPr>
          <w:rFonts w:ascii="Sylfaen" w:eastAsia="MS Mincho" w:hAnsi="Sylfaen" w:cs="Times New Roman"/>
          <w:lang w:eastAsia="it-IT"/>
        </w:rPr>
      </w:pPr>
    </w:p>
    <w:p w14:paraId="7993F4A9" w14:textId="7490E72D" w:rsidR="000C6DCF" w:rsidRPr="000C6DCF" w:rsidRDefault="000C6DCF" w:rsidP="000C6DCF">
      <w:pPr>
        <w:pStyle w:val="Heading1"/>
        <w:rPr>
          <w:rFonts w:eastAsia="MS Mincho"/>
          <w:lang w:eastAsia="it-IT"/>
        </w:rPr>
      </w:pPr>
      <w:r w:rsidRPr="000C6DCF">
        <w:rPr>
          <w:rFonts w:eastAsia="MS Mincho"/>
          <w:lang w:eastAsia="it-IT"/>
        </w:rPr>
        <w:t>Conclusion</w:t>
      </w:r>
    </w:p>
    <w:p w14:paraId="3C1E01F0" w14:textId="77777777" w:rsidR="000C6DCF" w:rsidRPr="000C6DCF" w:rsidRDefault="000C6DCF" w:rsidP="000C6DC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The power of the Black-Scholes-Merton approach comes from the fact that it is a simple and straightforward way to calculate option prices, by using both explicit and implicit information in the formulae described earlier in the paper. Its versatility makes it possible for it to be applied to other contingent claims that are not strictly put and call options, as Merton (1977), Hawkins (1982) and Lauterbach and Schultz (1990) describe. For these reasons, the model is still widely used in the financial world today. </w:t>
      </w:r>
    </w:p>
    <w:p w14:paraId="663D287B" w14:textId="77777777" w:rsidR="000C6DCF" w:rsidRPr="000C6DCF" w:rsidRDefault="000C6DCF" w:rsidP="000C6DCF">
      <w:pPr>
        <w:spacing w:after="0" w:line="360" w:lineRule="auto"/>
        <w:jc w:val="both"/>
        <w:rPr>
          <w:rFonts w:ascii="Sylfaen" w:eastAsia="MS Mincho" w:hAnsi="Sylfaen" w:cs="Times New Roman"/>
          <w:lang w:eastAsia="it-IT"/>
        </w:rPr>
      </w:pPr>
    </w:p>
    <w:p w14:paraId="710A6ABB" w14:textId="4622A25E" w:rsidR="000C6DCF" w:rsidRPr="00D610AF" w:rsidRDefault="000C6DCF" w:rsidP="00D610AF">
      <w:pPr>
        <w:spacing w:after="0" w:line="360" w:lineRule="auto"/>
        <w:jc w:val="both"/>
        <w:rPr>
          <w:rFonts w:ascii="Sylfaen" w:eastAsia="MS Mincho" w:hAnsi="Sylfaen" w:cs="Times New Roman"/>
          <w:lang w:eastAsia="it-IT"/>
        </w:rPr>
      </w:pPr>
      <w:r w:rsidRPr="000C6DCF">
        <w:rPr>
          <w:rFonts w:ascii="Sylfaen" w:eastAsia="MS Mincho" w:hAnsi="Sylfaen" w:cs="Times New Roman"/>
          <w:lang w:eastAsia="it-IT"/>
        </w:rPr>
        <w:t xml:space="preserve">Nevertheless, the assumptions of the model often prove to be unrealistic; the fact that the volatility is not observable and the violations of other assumptions, for example the ones concerning continuous trading or perfect divisibility of an asset, prevent the model from being an accurate prediction of an option’s price. Thus, although the model is extremely effective in some aspects, it shall not be viewed as a flawless way of evaluating options’ and other security-like instruments’ prices; caution should be exercised when making empirical use of the approach. </w:t>
      </w:r>
    </w:p>
    <w:p w14:paraId="58D5E2E5" w14:textId="77777777" w:rsidR="000C6DCF" w:rsidRPr="000C6DCF" w:rsidRDefault="000C6DCF" w:rsidP="000C6DCF">
      <w:pPr>
        <w:spacing w:after="0"/>
        <w:jc w:val="both"/>
        <w:rPr>
          <w:rFonts w:ascii="Sylfaen" w:eastAsia="MS Mincho" w:hAnsi="Sylfaen" w:cs="Times New Roman"/>
          <w:sz w:val="24"/>
          <w:szCs w:val="24"/>
          <w:lang w:eastAsia="it-IT"/>
        </w:rPr>
      </w:pPr>
    </w:p>
    <w:p w14:paraId="13FF5E7D" w14:textId="62FB0B88" w:rsidR="000C6DCF" w:rsidRPr="000C6DCF" w:rsidRDefault="000C6DCF" w:rsidP="000C6DCF">
      <w:pPr>
        <w:pStyle w:val="Heading1"/>
        <w:rPr>
          <w:rFonts w:eastAsia="MS Mincho"/>
          <w:lang w:eastAsia="it-IT"/>
        </w:rPr>
      </w:pPr>
      <w:r>
        <w:rPr>
          <w:rFonts w:eastAsia="MS Mincho"/>
          <w:lang w:eastAsia="it-IT"/>
        </w:rPr>
        <w:lastRenderedPageBreak/>
        <w:t>References</w:t>
      </w:r>
    </w:p>
    <w:p w14:paraId="7C678A8F" w14:textId="463F9AFB" w:rsidR="000C6DCF" w:rsidRPr="000C6DCF" w:rsidRDefault="005166B3"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Bailey, R. E. (2005)</w:t>
      </w:r>
      <w:r w:rsidR="000C6DCF" w:rsidRPr="000C6DCF">
        <w:rPr>
          <w:rFonts w:ascii="Sylfaen" w:eastAsia="MS Mincho" w:hAnsi="Sylfaen" w:cs="Times New Roman"/>
          <w:lang w:eastAsia="it-IT"/>
        </w:rPr>
        <w:t xml:space="preserve"> </w:t>
      </w:r>
      <w:proofErr w:type="gramStart"/>
      <w:r w:rsidR="000C6DCF" w:rsidRPr="000C6DCF">
        <w:rPr>
          <w:rFonts w:ascii="Sylfaen" w:eastAsia="MS Mincho" w:hAnsi="Sylfaen" w:cs="Times New Roman"/>
          <w:i/>
          <w:lang w:eastAsia="it-IT"/>
        </w:rPr>
        <w:t>The</w:t>
      </w:r>
      <w:proofErr w:type="gramEnd"/>
      <w:r w:rsidR="000C6DCF" w:rsidRPr="000C6DCF">
        <w:rPr>
          <w:rFonts w:ascii="Sylfaen" w:eastAsia="MS Mincho" w:hAnsi="Sylfaen" w:cs="Times New Roman"/>
          <w:i/>
          <w:lang w:eastAsia="it-IT"/>
        </w:rPr>
        <w:t xml:space="preserve"> Economics of Financial Markets</w:t>
      </w:r>
      <w:r w:rsidR="000C6DCF" w:rsidRPr="000C6DCF">
        <w:rPr>
          <w:rFonts w:ascii="Sylfaen" w:eastAsia="MS Mincho" w:hAnsi="Sylfaen" w:cs="Times New Roman"/>
          <w:lang w:eastAsia="it-IT"/>
        </w:rPr>
        <w:t>. Cambridge: Cambridge University Press.</w:t>
      </w:r>
    </w:p>
    <w:p w14:paraId="24F6B26F" w14:textId="04A321E5" w:rsidR="000C6DCF" w:rsidRPr="000C6DCF" w:rsidRDefault="000C6DCF" w:rsidP="00D85136">
      <w:pPr>
        <w:spacing w:after="160" w:line="360" w:lineRule="auto"/>
        <w:jc w:val="both"/>
        <w:rPr>
          <w:rFonts w:ascii="Sylfaen" w:eastAsia="MS Mincho" w:hAnsi="Sylfaen" w:cs="Times New Roman"/>
          <w:lang w:eastAsia="it-IT"/>
        </w:rPr>
      </w:pPr>
      <w:r w:rsidRPr="000C6DCF">
        <w:rPr>
          <w:rFonts w:ascii="Sylfaen" w:eastAsia="MS Mincho" w:hAnsi="Sylfaen" w:cs="Times New Roman"/>
          <w:lang w:eastAsia="it-IT"/>
        </w:rPr>
        <w:t>B</w:t>
      </w:r>
      <w:r w:rsidR="005166B3">
        <w:rPr>
          <w:rFonts w:ascii="Sylfaen" w:eastAsia="MS Mincho" w:hAnsi="Sylfaen" w:cs="Times New Roman"/>
          <w:lang w:eastAsia="it-IT"/>
        </w:rPr>
        <w:t>lack, F. and Scholes, M. (1971)</w:t>
      </w:r>
      <w:r w:rsidRPr="000C6DCF">
        <w:rPr>
          <w:rFonts w:ascii="Sylfaen" w:eastAsia="MS Mincho" w:hAnsi="Sylfaen" w:cs="Times New Roman"/>
          <w:lang w:eastAsia="it-IT"/>
        </w:rPr>
        <w:t xml:space="preserve"> </w:t>
      </w:r>
      <w:r w:rsidR="005166B3">
        <w:rPr>
          <w:rFonts w:ascii="Sylfaen" w:eastAsia="MS Mincho" w:hAnsi="Sylfaen" w:cs="Times New Roman"/>
          <w:lang w:eastAsia="it-IT"/>
        </w:rPr>
        <w:t>‘</w:t>
      </w:r>
      <w:r w:rsidRPr="000C6DCF">
        <w:rPr>
          <w:rFonts w:ascii="Sylfaen" w:eastAsia="MS Mincho" w:hAnsi="Sylfaen" w:cs="Times New Roman"/>
          <w:lang w:eastAsia="it-IT"/>
        </w:rPr>
        <w:t>The Valuation of Option Contracts and a Test of Market</w:t>
      </w:r>
      <w:r w:rsidR="005166B3">
        <w:rPr>
          <w:rFonts w:ascii="Sylfaen" w:eastAsia="MS Mincho" w:hAnsi="Sylfaen" w:cs="Times New Roman"/>
          <w:lang w:eastAsia="it-IT"/>
        </w:rPr>
        <w:t xml:space="preserve"> Efficiency’,</w:t>
      </w:r>
      <w:r w:rsidRPr="000C6DCF">
        <w:rPr>
          <w:rFonts w:ascii="Sylfaen" w:eastAsia="MS Mincho" w:hAnsi="Sylfaen" w:cs="Times New Roman"/>
          <w:lang w:eastAsia="it-IT"/>
        </w:rPr>
        <w:t xml:space="preserve"> </w:t>
      </w:r>
      <w:proofErr w:type="gramStart"/>
      <w:r w:rsidRPr="000C6DCF">
        <w:rPr>
          <w:rFonts w:ascii="Sylfaen" w:eastAsia="MS Mincho" w:hAnsi="Sylfaen" w:cs="Times New Roman"/>
          <w:i/>
          <w:lang w:eastAsia="it-IT"/>
        </w:rPr>
        <w:t>The</w:t>
      </w:r>
      <w:proofErr w:type="gramEnd"/>
      <w:r w:rsidRPr="000C6DCF">
        <w:rPr>
          <w:rFonts w:ascii="Sylfaen" w:eastAsia="MS Mincho" w:hAnsi="Sylfaen" w:cs="Times New Roman"/>
          <w:i/>
          <w:lang w:eastAsia="it-IT"/>
        </w:rPr>
        <w:t xml:space="preserve"> Journal of Finance</w:t>
      </w:r>
      <w:r w:rsidRPr="000C6DCF">
        <w:rPr>
          <w:rFonts w:ascii="Sylfaen" w:eastAsia="MS Mincho" w:hAnsi="Sylfaen" w:cs="Times New Roman"/>
          <w:lang w:eastAsia="it-IT"/>
        </w:rPr>
        <w:t>, 27(2), pp. 399-417.</w:t>
      </w:r>
    </w:p>
    <w:p w14:paraId="485021D2" w14:textId="1E8CC62C" w:rsidR="000C6DCF" w:rsidRPr="000C6DCF" w:rsidRDefault="000C6DCF" w:rsidP="00D85136">
      <w:pPr>
        <w:spacing w:after="160" w:line="360" w:lineRule="auto"/>
        <w:jc w:val="both"/>
        <w:rPr>
          <w:rFonts w:ascii="Sylfaen" w:eastAsia="MS Mincho" w:hAnsi="Sylfaen" w:cs="Times New Roman"/>
          <w:lang w:eastAsia="it-IT"/>
        </w:rPr>
      </w:pPr>
      <w:r w:rsidRPr="000C6DCF">
        <w:rPr>
          <w:rFonts w:ascii="Sylfaen" w:eastAsia="MS Mincho" w:hAnsi="Sylfaen" w:cs="Times New Roman"/>
          <w:lang w:eastAsia="it-IT"/>
        </w:rPr>
        <w:t>B</w:t>
      </w:r>
      <w:r w:rsidR="005166B3">
        <w:rPr>
          <w:rFonts w:ascii="Sylfaen" w:eastAsia="MS Mincho" w:hAnsi="Sylfaen" w:cs="Times New Roman"/>
          <w:lang w:eastAsia="it-IT"/>
        </w:rPr>
        <w:t>lack, F. and Scholes, M. (1973)</w:t>
      </w:r>
      <w:r w:rsidRPr="000C6DCF">
        <w:rPr>
          <w:rFonts w:ascii="Sylfaen" w:eastAsia="MS Mincho" w:hAnsi="Sylfaen" w:cs="Times New Roman"/>
          <w:lang w:eastAsia="it-IT"/>
        </w:rPr>
        <w:t xml:space="preserve"> </w:t>
      </w:r>
      <w:r w:rsidR="005166B3">
        <w:rPr>
          <w:rFonts w:ascii="Sylfaen" w:eastAsia="MS Mincho" w:hAnsi="Sylfaen" w:cs="Times New Roman"/>
          <w:lang w:eastAsia="it-IT"/>
        </w:rPr>
        <w:t>‘</w:t>
      </w:r>
      <w:r w:rsidRPr="000C6DCF">
        <w:rPr>
          <w:rFonts w:ascii="Sylfaen" w:eastAsia="MS Mincho" w:hAnsi="Sylfaen" w:cs="Times New Roman"/>
          <w:lang w:eastAsia="it-IT"/>
        </w:rPr>
        <w:t>The Pricing of Op</w:t>
      </w:r>
      <w:r w:rsidR="005166B3">
        <w:rPr>
          <w:rFonts w:ascii="Sylfaen" w:eastAsia="MS Mincho" w:hAnsi="Sylfaen" w:cs="Times New Roman"/>
          <w:lang w:eastAsia="it-IT"/>
        </w:rPr>
        <w:t>tions and Corporate Liabilities’,</w:t>
      </w:r>
      <w:r w:rsidRPr="000C6DCF">
        <w:rPr>
          <w:rFonts w:ascii="Sylfaen" w:eastAsia="MS Mincho" w:hAnsi="Sylfaen" w:cs="Times New Roman"/>
          <w:lang w:eastAsia="it-IT"/>
        </w:rPr>
        <w:t xml:space="preserve"> </w:t>
      </w:r>
      <w:proofErr w:type="gramStart"/>
      <w:r w:rsidRPr="000C6DCF">
        <w:rPr>
          <w:rFonts w:ascii="Sylfaen" w:eastAsia="MS Mincho" w:hAnsi="Sylfaen" w:cs="Times New Roman"/>
          <w:i/>
          <w:lang w:eastAsia="it-IT"/>
        </w:rPr>
        <w:t>The</w:t>
      </w:r>
      <w:proofErr w:type="gramEnd"/>
      <w:r w:rsidRPr="000C6DCF">
        <w:rPr>
          <w:rFonts w:ascii="Sylfaen" w:eastAsia="MS Mincho" w:hAnsi="Sylfaen" w:cs="Times New Roman"/>
          <w:i/>
          <w:lang w:eastAsia="it-IT"/>
        </w:rPr>
        <w:t xml:space="preserve"> Journal of Political Economy</w:t>
      </w:r>
      <w:r w:rsidRPr="000C6DCF">
        <w:rPr>
          <w:rFonts w:ascii="Sylfaen" w:eastAsia="MS Mincho" w:hAnsi="Sylfaen" w:cs="Times New Roman"/>
          <w:lang w:eastAsia="it-IT"/>
        </w:rPr>
        <w:t xml:space="preserve">, 81(3), </w:t>
      </w:r>
      <w:r w:rsidRPr="000C6DCF">
        <w:rPr>
          <w:rFonts w:ascii="Sylfaen" w:eastAsia="MS Mincho" w:hAnsi="Sylfaen" w:cs="Times New Roman"/>
          <w:lang w:val="en" w:eastAsia="it-IT"/>
        </w:rPr>
        <w:t>pp. 637-</w:t>
      </w:r>
      <w:r w:rsidR="00D85136">
        <w:rPr>
          <w:rFonts w:ascii="Sylfaen" w:eastAsia="MS Mincho" w:hAnsi="Sylfaen" w:cs="Times New Roman"/>
          <w:lang w:val="en" w:eastAsia="it-IT"/>
        </w:rPr>
        <w:t>6</w:t>
      </w:r>
      <w:r w:rsidRPr="000C6DCF">
        <w:rPr>
          <w:rFonts w:ascii="Sylfaen" w:eastAsia="MS Mincho" w:hAnsi="Sylfaen" w:cs="Times New Roman"/>
          <w:lang w:val="en" w:eastAsia="it-IT"/>
        </w:rPr>
        <w:t>54</w:t>
      </w:r>
      <w:r w:rsidRPr="000C6DCF">
        <w:rPr>
          <w:rFonts w:ascii="Sylfaen" w:eastAsia="MS Mincho" w:hAnsi="Sylfaen" w:cs="Times New Roman"/>
          <w:lang w:eastAsia="it-IT"/>
        </w:rPr>
        <w:t>.</w:t>
      </w:r>
    </w:p>
    <w:p w14:paraId="1CA15689" w14:textId="7825ABA2" w:rsidR="000C6DCF" w:rsidRPr="00D85136" w:rsidRDefault="000C6DCF" w:rsidP="00D85136">
      <w:pPr>
        <w:spacing w:after="160" w:line="360" w:lineRule="auto"/>
        <w:jc w:val="both"/>
        <w:rPr>
          <w:rFonts w:ascii="Sylfaen" w:eastAsia="Times New Roman" w:hAnsi="Sylfaen" w:cs="Times New Roman"/>
          <w:lang w:val="it-IT" w:eastAsia="it-IT"/>
        </w:rPr>
      </w:pPr>
      <w:proofErr w:type="spellStart"/>
      <w:r w:rsidRPr="000C6DCF">
        <w:rPr>
          <w:rFonts w:ascii="Sylfaen" w:eastAsia="MS Mincho" w:hAnsi="Sylfaen" w:cs="Times New Roman"/>
          <w:lang w:eastAsia="it-IT"/>
        </w:rPr>
        <w:t>Boller</w:t>
      </w:r>
      <w:r w:rsidR="005166B3">
        <w:rPr>
          <w:rFonts w:ascii="Sylfaen" w:eastAsia="MS Mincho" w:hAnsi="Sylfaen" w:cs="Times New Roman"/>
          <w:lang w:eastAsia="it-IT"/>
        </w:rPr>
        <w:t>slev</w:t>
      </w:r>
      <w:proofErr w:type="spellEnd"/>
      <w:r w:rsidR="005166B3">
        <w:rPr>
          <w:rFonts w:ascii="Sylfaen" w:eastAsia="MS Mincho" w:hAnsi="Sylfaen" w:cs="Times New Roman"/>
          <w:lang w:eastAsia="it-IT"/>
        </w:rPr>
        <w:t>, T. and Zhou, H. (2007-11)</w:t>
      </w:r>
      <w:r w:rsidRPr="000C6DCF">
        <w:rPr>
          <w:rFonts w:ascii="Sylfaen" w:eastAsia="MS Mincho" w:hAnsi="Sylfaen" w:cs="Times New Roman"/>
          <w:lang w:eastAsia="it-IT"/>
        </w:rPr>
        <w:t xml:space="preserve"> </w:t>
      </w:r>
      <w:r w:rsidRPr="006B201E">
        <w:rPr>
          <w:rFonts w:ascii="Sylfaen" w:eastAsia="Times New Roman" w:hAnsi="Sylfaen" w:cs="Times New Roman"/>
          <w:i/>
          <w:lang w:val="it-IT" w:eastAsia="it-IT"/>
        </w:rPr>
        <w:t>Expected Stock Returns and Variance Risk Premia</w:t>
      </w:r>
      <w:r w:rsidR="005166B3">
        <w:rPr>
          <w:rFonts w:ascii="Sylfaen" w:eastAsia="Times New Roman" w:hAnsi="Sylfaen" w:cs="Times New Roman"/>
          <w:lang w:val="it-IT" w:eastAsia="it-IT"/>
        </w:rPr>
        <w:t xml:space="preserve">. Available at: </w:t>
      </w:r>
      <w:r w:rsidR="005166B3">
        <w:rPr>
          <w:rFonts w:ascii="Sylfaen" w:eastAsia="Times New Roman" w:hAnsi="Sylfaen" w:cs="Times New Roman"/>
          <w:lang w:val="it-IT" w:eastAsia="it-IT"/>
        </w:rPr>
        <w:fldChar w:fldCharType="begin"/>
      </w:r>
      <w:r w:rsidR="005166B3">
        <w:rPr>
          <w:rFonts w:ascii="Sylfaen" w:eastAsia="Times New Roman" w:hAnsi="Sylfaen" w:cs="Times New Roman"/>
          <w:lang w:val="it-IT" w:eastAsia="it-IT"/>
        </w:rPr>
        <w:instrText xml:space="preserve"> HYPERLINK "</w:instrText>
      </w:r>
      <w:r w:rsidR="005166B3" w:rsidRPr="005166B3">
        <w:rPr>
          <w:rFonts w:ascii="Sylfaen" w:eastAsia="Times New Roman" w:hAnsi="Sylfaen" w:cs="Times New Roman"/>
          <w:lang w:val="it-IT" w:eastAsia="it-IT"/>
        </w:rPr>
        <w:instrText>https://www.federalreserve.gov/pubs/feds/2007/200711/200711pap.pdf</w:instrText>
      </w:r>
      <w:r w:rsidR="005166B3">
        <w:rPr>
          <w:rFonts w:ascii="Sylfaen" w:eastAsia="Times New Roman" w:hAnsi="Sylfaen" w:cs="Times New Roman"/>
          <w:lang w:val="it-IT" w:eastAsia="it-IT"/>
        </w:rPr>
        <w:instrText xml:space="preserve">" </w:instrText>
      </w:r>
      <w:r w:rsidR="005166B3">
        <w:rPr>
          <w:rFonts w:ascii="Sylfaen" w:eastAsia="Times New Roman" w:hAnsi="Sylfaen" w:cs="Times New Roman"/>
          <w:lang w:val="it-IT" w:eastAsia="it-IT"/>
        </w:rPr>
        <w:fldChar w:fldCharType="separate"/>
      </w:r>
      <w:r w:rsidR="005166B3" w:rsidRPr="00BC1E59">
        <w:rPr>
          <w:rStyle w:val="Hyperlink"/>
          <w:rFonts w:ascii="Sylfaen" w:eastAsia="Times New Roman" w:hAnsi="Sylfaen" w:cs="Times New Roman"/>
          <w:lang w:val="it-IT" w:eastAsia="it-IT"/>
        </w:rPr>
        <w:t>https://www.federalreserve.gov/pubs/feds/2007/200711/200711pap.pdf</w:t>
      </w:r>
      <w:r w:rsidR="005166B3">
        <w:rPr>
          <w:rFonts w:ascii="Sylfaen" w:eastAsia="Times New Roman" w:hAnsi="Sylfaen" w:cs="Times New Roman"/>
          <w:lang w:val="it-IT" w:eastAsia="it-IT"/>
        </w:rPr>
        <w:fldChar w:fldCharType="end"/>
      </w:r>
      <w:r w:rsidR="005166B3">
        <w:rPr>
          <w:rFonts w:ascii="Sylfaen" w:eastAsia="Times New Roman" w:hAnsi="Sylfaen" w:cs="Times New Roman"/>
          <w:lang w:val="it-IT" w:eastAsia="it-IT"/>
        </w:rPr>
        <w:t xml:space="preserve"> (Accessed</w:t>
      </w:r>
      <w:r w:rsidR="006B201E">
        <w:rPr>
          <w:rFonts w:ascii="Sylfaen" w:eastAsia="Times New Roman" w:hAnsi="Sylfaen" w:cs="Times New Roman"/>
          <w:lang w:val="it-IT" w:eastAsia="it-IT"/>
        </w:rPr>
        <w:t>:</w:t>
      </w:r>
      <w:r w:rsidR="005166B3">
        <w:rPr>
          <w:rFonts w:ascii="Sylfaen" w:eastAsia="Times New Roman" w:hAnsi="Sylfaen" w:cs="Times New Roman"/>
          <w:lang w:val="it-IT" w:eastAsia="it-IT"/>
        </w:rPr>
        <w:t xml:space="preserve"> n.d.). </w:t>
      </w:r>
    </w:p>
    <w:p w14:paraId="2565DF73" w14:textId="333E973A" w:rsidR="000C6DCF" w:rsidRPr="000C6DCF" w:rsidRDefault="000C6DCF" w:rsidP="00D85136">
      <w:pPr>
        <w:spacing w:after="160" w:line="360" w:lineRule="auto"/>
        <w:rPr>
          <w:rFonts w:ascii="Sylfaen" w:eastAsia="MS Mincho" w:hAnsi="Sylfaen" w:cs="Times New Roman"/>
          <w:lang w:eastAsia="it-IT"/>
        </w:rPr>
      </w:pPr>
      <w:r w:rsidRPr="000C6DCF">
        <w:rPr>
          <w:rFonts w:ascii="Sylfaen" w:eastAsia="MS Mincho" w:hAnsi="Sylfaen" w:cs="Times New Roman"/>
          <w:i/>
          <w:lang w:eastAsia="it-IT"/>
        </w:rPr>
        <w:t>Chicago Board Options Exchange.</w:t>
      </w:r>
      <w:r w:rsidR="006B201E">
        <w:rPr>
          <w:rFonts w:ascii="Sylfaen" w:eastAsia="MS Mincho" w:hAnsi="Sylfaen" w:cs="Times New Roman"/>
          <w:lang w:eastAsia="it-IT"/>
        </w:rPr>
        <w:t xml:space="preserve"> (2014) </w:t>
      </w:r>
      <w:proofErr w:type="gramStart"/>
      <w:r w:rsidRPr="006B201E">
        <w:rPr>
          <w:rFonts w:ascii="Sylfaen" w:eastAsia="MS Mincho" w:hAnsi="Sylfaen" w:cs="Times New Roman"/>
          <w:i/>
          <w:lang w:eastAsia="it-IT"/>
        </w:rPr>
        <w:t>The</w:t>
      </w:r>
      <w:proofErr w:type="gramEnd"/>
      <w:r w:rsidRPr="006B201E">
        <w:rPr>
          <w:rFonts w:ascii="Sylfaen" w:eastAsia="MS Mincho" w:hAnsi="Sylfaen" w:cs="Times New Roman"/>
          <w:i/>
          <w:lang w:eastAsia="it-IT"/>
        </w:rPr>
        <w:t xml:space="preserve"> CBOE Volatility Index – VIX, White Paper</w:t>
      </w:r>
      <w:r w:rsidRPr="000C6DCF">
        <w:rPr>
          <w:rFonts w:ascii="Sylfaen" w:eastAsia="MS Mincho" w:hAnsi="Sylfaen" w:cs="Times New Roman"/>
          <w:lang w:eastAsia="it-IT"/>
        </w:rPr>
        <w:t xml:space="preserve">. </w:t>
      </w:r>
      <w:r w:rsidR="00D85136">
        <w:rPr>
          <w:rFonts w:ascii="Sylfaen" w:eastAsia="MS Mincho" w:hAnsi="Sylfaen" w:cs="Times New Roman"/>
          <w:lang w:eastAsia="it-IT"/>
        </w:rPr>
        <w:t xml:space="preserve">Available at: </w:t>
      </w:r>
      <w:r w:rsidRPr="000C6DCF">
        <w:rPr>
          <w:rFonts w:ascii="Sylfaen" w:eastAsia="MS Mincho" w:hAnsi="Sylfaen" w:cs="Times New Roman"/>
          <w:lang w:eastAsia="it-IT"/>
        </w:rPr>
        <w:t>http://www.c</w:t>
      </w:r>
      <w:r w:rsidR="00D85136">
        <w:rPr>
          <w:rFonts w:ascii="Sylfaen" w:eastAsia="MS Mincho" w:hAnsi="Sylfaen" w:cs="Times New Roman"/>
          <w:lang w:eastAsia="it-IT"/>
        </w:rPr>
        <w:t>boe.com/micro/vix/vixintro.aspx (Accessed</w:t>
      </w:r>
      <w:r w:rsidR="006B201E">
        <w:rPr>
          <w:rFonts w:ascii="Sylfaen" w:eastAsia="MS Mincho" w:hAnsi="Sylfaen" w:cs="Times New Roman"/>
          <w:lang w:eastAsia="it-IT"/>
        </w:rPr>
        <w:t>:</w:t>
      </w:r>
      <w:r w:rsidR="00D85136">
        <w:rPr>
          <w:rFonts w:ascii="Sylfaen" w:eastAsia="MS Mincho" w:hAnsi="Sylfaen" w:cs="Times New Roman"/>
          <w:lang w:eastAsia="it-IT"/>
        </w:rPr>
        <w:t xml:space="preserve"> 22 March 2015)</w:t>
      </w:r>
      <w:r w:rsidRPr="000C6DCF">
        <w:rPr>
          <w:rFonts w:ascii="Sylfaen" w:eastAsia="MS Mincho" w:hAnsi="Sylfaen" w:cs="Times New Roman"/>
          <w:lang w:eastAsia="it-IT"/>
        </w:rPr>
        <w:t>.</w:t>
      </w:r>
    </w:p>
    <w:p w14:paraId="5D2E9555" w14:textId="38234A5B" w:rsidR="000C6DCF" w:rsidRPr="000C6DCF" w:rsidRDefault="000C6DCF" w:rsidP="00D85136">
      <w:pPr>
        <w:spacing w:after="160" w:line="360" w:lineRule="auto"/>
        <w:jc w:val="both"/>
        <w:rPr>
          <w:rFonts w:ascii="Sylfaen" w:eastAsia="MS Mincho" w:hAnsi="Sylfaen" w:cs="Times New Roman"/>
          <w:lang w:eastAsia="it-IT"/>
        </w:rPr>
      </w:pPr>
      <w:proofErr w:type="spellStart"/>
      <w:r w:rsidRPr="000C6DCF">
        <w:rPr>
          <w:rFonts w:ascii="Sylfaen" w:eastAsia="MS Mincho" w:hAnsi="Sylfaen" w:cs="Times New Roman"/>
          <w:lang w:eastAsia="it-IT"/>
        </w:rPr>
        <w:t>Fama</w:t>
      </w:r>
      <w:proofErr w:type="spellEnd"/>
      <w:r w:rsidRPr="000C6DCF">
        <w:rPr>
          <w:rFonts w:ascii="Sylfaen" w:eastAsia="MS Mincho" w:hAnsi="Sylfaen" w:cs="Times New Roman"/>
          <w:lang w:eastAsia="it-IT"/>
        </w:rPr>
        <w:t>,</w:t>
      </w:r>
      <w:r w:rsidR="00D85136">
        <w:rPr>
          <w:rFonts w:ascii="Sylfaen" w:eastAsia="MS Mincho" w:hAnsi="Sylfaen" w:cs="Times New Roman"/>
          <w:lang w:eastAsia="it-IT"/>
        </w:rPr>
        <w:t xml:space="preserve"> E. F. and Fisher, K. R. (1992)</w:t>
      </w:r>
      <w:r w:rsidRPr="000C6DCF">
        <w:rPr>
          <w:rFonts w:ascii="Sylfaen" w:eastAsia="MS Mincho" w:hAnsi="Sylfaen" w:cs="Times New Roman"/>
          <w:lang w:eastAsia="it-IT"/>
        </w:rPr>
        <w:t xml:space="preserve"> </w:t>
      </w:r>
      <w:r w:rsidR="00D85136">
        <w:rPr>
          <w:rFonts w:ascii="Sylfaen" w:eastAsia="MS Mincho" w:hAnsi="Sylfaen" w:cs="Times New Roman"/>
          <w:lang w:eastAsia="it-IT"/>
        </w:rPr>
        <w:t>‘</w:t>
      </w:r>
      <w:r w:rsidRPr="000C6DCF">
        <w:rPr>
          <w:rFonts w:ascii="Sylfaen" w:eastAsia="MS Mincho" w:hAnsi="Sylfaen" w:cs="Times New Roman"/>
          <w:lang w:eastAsia="it-IT"/>
        </w:rPr>
        <w:t>The Cross-Se</w:t>
      </w:r>
      <w:r w:rsidR="00D85136">
        <w:rPr>
          <w:rFonts w:ascii="Sylfaen" w:eastAsia="MS Mincho" w:hAnsi="Sylfaen" w:cs="Times New Roman"/>
          <w:lang w:eastAsia="it-IT"/>
        </w:rPr>
        <w:t>ction of Expected Stock Returns’,</w:t>
      </w:r>
      <w:r w:rsidRPr="000C6DCF">
        <w:rPr>
          <w:rFonts w:ascii="Sylfaen" w:eastAsia="MS Mincho" w:hAnsi="Sylfaen" w:cs="Times New Roman"/>
          <w:lang w:eastAsia="it-IT"/>
        </w:rPr>
        <w:t xml:space="preserve"> </w:t>
      </w:r>
      <w:proofErr w:type="gramStart"/>
      <w:r w:rsidRPr="000C6DCF">
        <w:rPr>
          <w:rFonts w:ascii="Sylfaen" w:eastAsia="MS Mincho" w:hAnsi="Sylfaen" w:cs="Times New Roman"/>
          <w:i/>
          <w:lang w:eastAsia="it-IT"/>
        </w:rPr>
        <w:t>The</w:t>
      </w:r>
      <w:proofErr w:type="gramEnd"/>
      <w:r w:rsidRPr="000C6DCF">
        <w:rPr>
          <w:rFonts w:ascii="Sylfaen" w:eastAsia="MS Mincho" w:hAnsi="Sylfaen" w:cs="Times New Roman"/>
          <w:i/>
          <w:lang w:eastAsia="it-IT"/>
        </w:rPr>
        <w:t xml:space="preserve"> Journal of Finance</w:t>
      </w:r>
      <w:r w:rsidRPr="000C6DCF">
        <w:rPr>
          <w:rFonts w:ascii="Sylfaen" w:eastAsia="MS Mincho" w:hAnsi="Sylfaen" w:cs="Times New Roman"/>
          <w:lang w:eastAsia="it-IT"/>
        </w:rPr>
        <w:t>, 47(2), pp. 427-</w:t>
      </w:r>
      <w:r w:rsidR="00D85136">
        <w:rPr>
          <w:rFonts w:ascii="Sylfaen" w:eastAsia="MS Mincho" w:hAnsi="Sylfaen" w:cs="Times New Roman"/>
          <w:lang w:eastAsia="it-IT"/>
        </w:rPr>
        <w:t>4</w:t>
      </w:r>
      <w:r w:rsidRPr="000C6DCF">
        <w:rPr>
          <w:rFonts w:ascii="Sylfaen" w:eastAsia="MS Mincho" w:hAnsi="Sylfaen" w:cs="Times New Roman"/>
          <w:lang w:eastAsia="it-IT"/>
        </w:rPr>
        <w:t>65.</w:t>
      </w:r>
    </w:p>
    <w:p w14:paraId="7903D73C" w14:textId="4FC39F37"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Fortune, P. (1996)</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Anomalies in Option Pricing: The Black</w:t>
      </w:r>
      <w:r>
        <w:rPr>
          <w:rFonts w:ascii="Sylfaen" w:eastAsia="MS Mincho" w:hAnsi="Sylfaen" w:cs="Times New Roman"/>
          <w:lang w:eastAsia="it-IT"/>
        </w:rPr>
        <w:t xml:space="preserve"> Scholes Model Revisited’, </w:t>
      </w:r>
      <w:r w:rsidR="000C6DCF" w:rsidRPr="000C6DCF">
        <w:rPr>
          <w:rFonts w:ascii="Sylfaen" w:eastAsia="MS Mincho" w:hAnsi="Sylfaen" w:cs="Times New Roman"/>
          <w:i/>
          <w:lang w:eastAsia="it-IT"/>
        </w:rPr>
        <w:t>New England Economic Review</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 xml:space="preserve">25 March, </w:t>
      </w:r>
      <w:r w:rsidR="000C6DCF" w:rsidRPr="000C6DCF">
        <w:rPr>
          <w:rFonts w:ascii="Sylfaen" w:eastAsia="MS Mincho" w:hAnsi="Sylfaen" w:cs="Times New Roman"/>
          <w:lang w:eastAsia="it-IT"/>
        </w:rPr>
        <w:t>pp. 17-40.</w:t>
      </w:r>
    </w:p>
    <w:p w14:paraId="79239F3E" w14:textId="161C5761" w:rsidR="000C6DCF" w:rsidRPr="000C6DCF" w:rsidRDefault="000C6DCF" w:rsidP="00D85136">
      <w:pPr>
        <w:spacing w:after="160" w:line="360" w:lineRule="auto"/>
        <w:jc w:val="both"/>
        <w:rPr>
          <w:rFonts w:ascii="Sylfaen" w:eastAsia="MS Mincho" w:hAnsi="Sylfaen" w:cs="Times New Roman"/>
          <w:lang w:eastAsia="it-IT"/>
        </w:rPr>
      </w:pPr>
      <w:proofErr w:type="spellStart"/>
      <w:r w:rsidRPr="000C6DCF">
        <w:rPr>
          <w:rFonts w:ascii="Sylfaen" w:eastAsia="MS Mincho" w:hAnsi="Sylfaen" w:cs="Times New Roman"/>
          <w:lang w:eastAsia="it-IT"/>
        </w:rPr>
        <w:t>Garleanu</w:t>
      </w:r>
      <w:proofErr w:type="spellEnd"/>
      <w:r w:rsidRPr="000C6DCF">
        <w:rPr>
          <w:rFonts w:ascii="Sylfaen" w:eastAsia="MS Mincho" w:hAnsi="Sylfaen" w:cs="Times New Roman"/>
          <w:lang w:eastAsia="it-IT"/>
        </w:rPr>
        <w:t xml:space="preserve">, N., Pedersen, L. </w:t>
      </w:r>
      <w:r w:rsidR="00D85136">
        <w:rPr>
          <w:rFonts w:ascii="Sylfaen" w:eastAsia="MS Mincho" w:hAnsi="Sylfaen" w:cs="Times New Roman"/>
          <w:lang w:eastAsia="it-IT"/>
        </w:rPr>
        <w:t xml:space="preserve">S., and </w:t>
      </w:r>
      <w:proofErr w:type="spellStart"/>
      <w:r w:rsidR="00D85136">
        <w:rPr>
          <w:rFonts w:ascii="Sylfaen" w:eastAsia="MS Mincho" w:hAnsi="Sylfaen" w:cs="Times New Roman"/>
          <w:lang w:eastAsia="it-IT"/>
        </w:rPr>
        <w:t>Poteshman</w:t>
      </w:r>
      <w:proofErr w:type="spellEnd"/>
      <w:r w:rsidR="00D85136">
        <w:rPr>
          <w:rFonts w:ascii="Sylfaen" w:eastAsia="MS Mincho" w:hAnsi="Sylfaen" w:cs="Times New Roman"/>
          <w:lang w:eastAsia="it-IT"/>
        </w:rPr>
        <w:t>, A. M. (2009)</w:t>
      </w:r>
      <w:r w:rsidRPr="000C6DCF">
        <w:rPr>
          <w:rFonts w:ascii="Sylfaen" w:eastAsia="MS Mincho" w:hAnsi="Sylfaen" w:cs="Times New Roman"/>
          <w:lang w:eastAsia="it-IT"/>
        </w:rPr>
        <w:t xml:space="preserve"> </w:t>
      </w:r>
      <w:r w:rsidR="00D85136">
        <w:rPr>
          <w:rFonts w:ascii="Sylfaen" w:eastAsia="MS Mincho" w:hAnsi="Sylfaen" w:cs="Times New Roman"/>
          <w:lang w:eastAsia="it-IT"/>
        </w:rPr>
        <w:t xml:space="preserve">‘Demand Based Option Pricing’, </w:t>
      </w:r>
      <w:r w:rsidRPr="000C6DCF">
        <w:rPr>
          <w:rFonts w:ascii="Sylfaen" w:eastAsia="MS Mincho" w:hAnsi="Sylfaen" w:cs="Times New Roman"/>
          <w:i/>
          <w:lang w:eastAsia="it-IT"/>
        </w:rPr>
        <w:t>Review of Financial Studies</w:t>
      </w:r>
      <w:r w:rsidRPr="000C6DCF">
        <w:rPr>
          <w:rFonts w:ascii="Sylfaen" w:eastAsia="MS Mincho" w:hAnsi="Sylfaen" w:cs="Times New Roman"/>
          <w:lang w:eastAsia="it-IT"/>
        </w:rPr>
        <w:t>, 22(10), pp. 4259-</w:t>
      </w:r>
      <w:r w:rsidR="00D85136">
        <w:rPr>
          <w:rFonts w:ascii="Sylfaen" w:eastAsia="MS Mincho" w:hAnsi="Sylfaen" w:cs="Times New Roman"/>
          <w:lang w:eastAsia="it-IT"/>
        </w:rPr>
        <w:t>42</w:t>
      </w:r>
      <w:r w:rsidRPr="000C6DCF">
        <w:rPr>
          <w:rFonts w:ascii="Sylfaen" w:eastAsia="MS Mincho" w:hAnsi="Sylfaen" w:cs="Times New Roman"/>
          <w:lang w:eastAsia="it-IT"/>
        </w:rPr>
        <w:t>99.</w:t>
      </w:r>
    </w:p>
    <w:p w14:paraId="4B3F4E40" w14:textId="70422F01"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Hawkins, G. D. (1982)</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An Analysis of Revolving C</w:t>
      </w:r>
      <w:r>
        <w:rPr>
          <w:rFonts w:ascii="Sylfaen" w:eastAsia="MS Mincho" w:hAnsi="Sylfaen" w:cs="Times New Roman"/>
          <w:lang w:eastAsia="it-IT"/>
        </w:rPr>
        <w:t>redit Agreements’,</w:t>
      </w:r>
      <w:r w:rsidR="000C6DCF" w:rsidRPr="000C6DCF">
        <w:rPr>
          <w:rFonts w:ascii="Sylfaen" w:eastAsia="MS Mincho" w:hAnsi="Sylfaen" w:cs="Times New Roman"/>
          <w:lang w:eastAsia="it-IT"/>
        </w:rPr>
        <w:t xml:space="preserve"> </w:t>
      </w:r>
      <w:r w:rsidR="000C6DCF" w:rsidRPr="000C6DCF">
        <w:rPr>
          <w:rFonts w:ascii="Sylfaen" w:eastAsia="MS Mincho" w:hAnsi="Sylfaen" w:cs="Times New Roman"/>
          <w:i/>
          <w:lang w:eastAsia="it-IT"/>
        </w:rPr>
        <w:t>Journal of Financial Economics,</w:t>
      </w:r>
      <w:r w:rsidR="000C6DCF" w:rsidRPr="000C6DCF">
        <w:rPr>
          <w:rFonts w:ascii="Sylfaen" w:eastAsia="MS Mincho" w:hAnsi="Sylfaen" w:cs="Times New Roman"/>
          <w:lang w:eastAsia="it-IT"/>
        </w:rPr>
        <w:t xml:space="preserve"> 10(1), pp. 59-81.</w:t>
      </w:r>
    </w:p>
    <w:p w14:paraId="4C1C19F2" w14:textId="4DC6BC77"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Hull, J. C. (2011)</w:t>
      </w:r>
      <w:r w:rsidR="000C6DCF" w:rsidRPr="000C6DCF">
        <w:rPr>
          <w:rFonts w:ascii="Sylfaen" w:eastAsia="MS Mincho" w:hAnsi="Sylfaen" w:cs="Times New Roman"/>
          <w:lang w:eastAsia="it-IT"/>
        </w:rPr>
        <w:t xml:space="preserve"> </w:t>
      </w:r>
      <w:r w:rsidR="000C6DCF" w:rsidRPr="000C6DCF">
        <w:rPr>
          <w:rFonts w:ascii="Sylfaen" w:eastAsia="MS Mincho" w:hAnsi="Sylfaen" w:cs="Times New Roman"/>
          <w:i/>
          <w:lang w:eastAsia="it-IT"/>
        </w:rPr>
        <w:t>Fundamentals of Futures and Options Markets</w:t>
      </w:r>
      <w:r>
        <w:rPr>
          <w:rFonts w:ascii="Sylfaen" w:eastAsia="MS Mincho" w:hAnsi="Sylfaen" w:cs="Times New Roman"/>
          <w:lang w:eastAsia="it-IT"/>
        </w:rPr>
        <w:t xml:space="preserve">. </w:t>
      </w:r>
      <w:proofErr w:type="gramStart"/>
      <w:r>
        <w:rPr>
          <w:rFonts w:ascii="Sylfaen" w:eastAsia="MS Mincho" w:hAnsi="Sylfaen" w:cs="Times New Roman"/>
          <w:lang w:eastAsia="it-IT"/>
        </w:rPr>
        <w:t>8</w:t>
      </w:r>
      <w:r w:rsidRPr="00D85136">
        <w:rPr>
          <w:rFonts w:ascii="Sylfaen" w:eastAsia="MS Mincho" w:hAnsi="Sylfaen" w:cs="Times New Roman"/>
          <w:vertAlign w:val="superscript"/>
          <w:lang w:eastAsia="it-IT"/>
        </w:rPr>
        <w:t>th</w:t>
      </w:r>
      <w:proofErr w:type="gramEnd"/>
      <w:r>
        <w:rPr>
          <w:rFonts w:ascii="Sylfaen" w:eastAsia="MS Mincho" w:hAnsi="Sylfaen" w:cs="Times New Roman"/>
          <w:lang w:eastAsia="it-IT"/>
        </w:rPr>
        <w:t xml:space="preserve"> ed. London: </w:t>
      </w:r>
      <w:r w:rsidR="000C6DCF" w:rsidRPr="000C6DCF">
        <w:rPr>
          <w:rFonts w:ascii="Sylfaen" w:eastAsia="MS Mincho" w:hAnsi="Sylfaen" w:cs="Times New Roman"/>
          <w:lang w:eastAsia="it-IT"/>
        </w:rPr>
        <w:t>Pearson.</w:t>
      </w:r>
    </w:p>
    <w:p w14:paraId="70942819" w14:textId="244FEA74" w:rsidR="000C6DCF" w:rsidRPr="000C6DCF" w:rsidRDefault="000C6DCF" w:rsidP="00D85136">
      <w:pPr>
        <w:spacing w:after="160" w:line="360" w:lineRule="auto"/>
        <w:jc w:val="both"/>
        <w:rPr>
          <w:rFonts w:ascii="Sylfaen" w:eastAsia="MS Mincho" w:hAnsi="Sylfaen" w:cs="Times New Roman"/>
          <w:lang w:eastAsia="it-IT"/>
        </w:rPr>
      </w:pPr>
      <w:r w:rsidRPr="000C6DCF">
        <w:rPr>
          <w:rFonts w:ascii="Sylfaen" w:eastAsia="MS Mincho" w:hAnsi="Sylfaen" w:cs="Times New Roman"/>
          <w:lang w:eastAsia="it-IT"/>
        </w:rPr>
        <w:t>Lauter</w:t>
      </w:r>
      <w:r w:rsidR="00D85136">
        <w:rPr>
          <w:rFonts w:ascii="Sylfaen" w:eastAsia="MS Mincho" w:hAnsi="Sylfaen" w:cs="Times New Roman"/>
          <w:lang w:eastAsia="it-IT"/>
        </w:rPr>
        <w:t>bach, B. and Schultz, P. (1990)</w:t>
      </w:r>
      <w:r w:rsidRPr="000C6DCF">
        <w:rPr>
          <w:rFonts w:ascii="Sylfaen" w:eastAsia="MS Mincho" w:hAnsi="Sylfaen" w:cs="Times New Roman"/>
          <w:lang w:eastAsia="it-IT"/>
        </w:rPr>
        <w:t xml:space="preserve"> </w:t>
      </w:r>
      <w:r w:rsidR="00D85136">
        <w:rPr>
          <w:rFonts w:ascii="Sylfaen" w:eastAsia="MS Mincho" w:hAnsi="Sylfaen" w:cs="Times New Roman"/>
          <w:lang w:eastAsia="it-IT"/>
        </w:rPr>
        <w:t>‘</w:t>
      </w:r>
      <w:r w:rsidRPr="000C6DCF">
        <w:rPr>
          <w:rFonts w:ascii="Sylfaen" w:eastAsia="MS Mincho" w:hAnsi="Sylfaen" w:cs="Times New Roman"/>
          <w:lang w:eastAsia="it-IT"/>
        </w:rPr>
        <w:t>Price Warrants: An Empirical Study of the Black-Sch</w:t>
      </w:r>
      <w:r w:rsidR="00D85136">
        <w:rPr>
          <w:rFonts w:ascii="Sylfaen" w:eastAsia="MS Mincho" w:hAnsi="Sylfaen" w:cs="Times New Roman"/>
          <w:lang w:eastAsia="it-IT"/>
        </w:rPr>
        <w:t>oles Model and Its Alternatives’,</w:t>
      </w:r>
      <w:r w:rsidRPr="000C6DCF">
        <w:rPr>
          <w:rFonts w:ascii="Sylfaen" w:eastAsia="MS Mincho" w:hAnsi="Sylfaen" w:cs="Times New Roman"/>
          <w:lang w:eastAsia="it-IT"/>
        </w:rPr>
        <w:t xml:space="preserve"> </w:t>
      </w:r>
      <w:r w:rsidRPr="000C6DCF">
        <w:rPr>
          <w:rFonts w:ascii="Sylfaen" w:eastAsia="MS Mincho" w:hAnsi="Sylfaen" w:cs="Times New Roman"/>
          <w:i/>
          <w:lang w:eastAsia="it-IT"/>
        </w:rPr>
        <w:t>Journal of Finance</w:t>
      </w:r>
      <w:r w:rsidRPr="000C6DCF">
        <w:rPr>
          <w:rFonts w:ascii="Sylfaen" w:eastAsia="MS Mincho" w:hAnsi="Sylfaen" w:cs="Times New Roman"/>
          <w:lang w:eastAsia="it-IT"/>
        </w:rPr>
        <w:t>, 45(4), pp. 1181-</w:t>
      </w:r>
      <w:r w:rsidR="00D85136">
        <w:rPr>
          <w:rFonts w:ascii="Sylfaen" w:eastAsia="MS Mincho" w:hAnsi="Sylfaen" w:cs="Times New Roman"/>
          <w:lang w:eastAsia="it-IT"/>
        </w:rPr>
        <w:t>1</w:t>
      </w:r>
      <w:r w:rsidRPr="000C6DCF">
        <w:rPr>
          <w:rFonts w:ascii="Sylfaen" w:eastAsia="MS Mincho" w:hAnsi="Sylfaen" w:cs="Times New Roman"/>
          <w:lang w:eastAsia="it-IT"/>
        </w:rPr>
        <w:t>209.</w:t>
      </w:r>
    </w:p>
    <w:p w14:paraId="087FA2FF" w14:textId="2EBB74DE"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Lintner, J. (1965)</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The Valuation of Risk Assets and the Selection of Risky Investments in Stock Portfolios and Capital Budgets</w:t>
      </w:r>
      <w:r>
        <w:rPr>
          <w:rFonts w:ascii="Sylfaen" w:eastAsia="MS Mincho" w:hAnsi="Sylfaen" w:cs="Times New Roman"/>
          <w:lang w:eastAsia="it-IT"/>
        </w:rPr>
        <w:t>’,</w:t>
      </w:r>
      <w:r w:rsidR="000C6DCF" w:rsidRPr="000C6DCF">
        <w:rPr>
          <w:rFonts w:ascii="Sylfaen" w:eastAsia="MS Mincho" w:hAnsi="Sylfaen" w:cs="Times New Roman"/>
          <w:lang w:eastAsia="it-IT"/>
        </w:rPr>
        <w:t xml:space="preserve"> </w:t>
      </w:r>
      <w:proofErr w:type="gramStart"/>
      <w:r>
        <w:rPr>
          <w:rFonts w:ascii="Sylfaen" w:eastAsia="MS Mincho" w:hAnsi="Sylfaen" w:cs="Times New Roman"/>
          <w:i/>
          <w:lang w:eastAsia="it-IT"/>
        </w:rPr>
        <w:t>T</w:t>
      </w:r>
      <w:r w:rsidR="000C6DCF" w:rsidRPr="000C6DCF">
        <w:rPr>
          <w:rFonts w:ascii="Sylfaen" w:eastAsia="MS Mincho" w:hAnsi="Sylfaen" w:cs="Times New Roman"/>
          <w:i/>
          <w:lang w:eastAsia="it-IT"/>
        </w:rPr>
        <w:t>he</w:t>
      </w:r>
      <w:proofErr w:type="gramEnd"/>
      <w:r w:rsidR="000C6DCF" w:rsidRPr="000C6DCF">
        <w:rPr>
          <w:rFonts w:ascii="Sylfaen" w:eastAsia="MS Mincho" w:hAnsi="Sylfaen" w:cs="Times New Roman"/>
          <w:i/>
          <w:lang w:eastAsia="it-IT"/>
        </w:rPr>
        <w:t xml:space="preserve"> Review of Economics and Statistics</w:t>
      </w:r>
      <w:r w:rsidR="000C6DCF" w:rsidRPr="000C6DCF">
        <w:rPr>
          <w:rFonts w:ascii="Sylfaen" w:eastAsia="MS Mincho" w:hAnsi="Sylfaen" w:cs="Times New Roman"/>
          <w:lang w:eastAsia="it-IT"/>
        </w:rPr>
        <w:t>, 47(1), pp. 13-37.</w:t>
      </w:r>
    </w:p>
    <w:p w14:paraId="515E4FB9" w14:textId="0B6737C3"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Mayhew, S. (1998)</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 xml:space="preserve">‘Implied Volatility’, </w:t>
      </w:r>
      <w:r w:rsidR="000C6DCF" w:rsidRPr="000C6DCF">
        <w:rPr>
          <w:rFonts w:ascii="Sylfaen" w:eastAsia="MS Mincho" w:hAnsi="Sylfaen" w:cs="Times New Roman"/>
          <w:i/>
          <w:lang w:eastAsia="it-IT"/>
        </w:rPr>
        <w:t>Financial Analysts Journal,</w:t>
      </w:r>
      <w:r w:rsidR="000C6DCF" w:rsidRPr="000C6DCF">
        <w:rPr>
          <w:rFonts w:ascii="Sylfaen" w:eastAsia="MS Mincho" w:hAnsi="Sylfaen" w:cs="Times New Roman"/>
          <w:lang w:eastAsia="it-IT"/>
        </w:rPr>
        <w:t xml:space="preserve"> 51(4), pp. 8-20.</w:t>
      </w:r>
    </w:p>
    <w:p w14:paraId="72BDCEE0" w14:textId="4C3CC279"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Merton, R. C. (1973) ‘</w:t>
      </w:r>
      <w:r w:rsidR="000C6DCF" w:rsidRPr="000C6DCF">
        <w:rPr>
          <w:rFonts w:ascii="Sylfaen" w:eastAsia="MS Mincho" w:hAnsi="Sylfaen" w:cs="Times New Roman"/>
          <w:lang w:eastAsia="it-IT"/>
        </w:rPr>
        <w:t>The</w:t>
      </w:r>
      <w:r>
        <w:rPr>
          <w:rFonts w:ascii="Sylfaen" w:eastAsia="MS Mincho" w:hAnsi="Sylfaen" w:cs="Times New Roman"/>
          <w:lang w:eastAsia="it-IT"/>
        </w:rPr>
        <w:t xml:space="preserve">ory of Rational Option Pricing’, </w:t>
      </w:r>
      <w:proofErr w:type="gramStart"/>
      <w:r w:rsidR="000C6DCF" w:rsidRPr="000C6DCF">
        <w:rPr>
          <w:rFonts w:ascii="Sylfaen" w:eastAsia="MS Mincho" w:hAnsi="Sylfaen" w:cs="Times New Roman"/>
          <w:i/>
          <w:lang w:eastAsia="it-IT"/>
        </w:rPr>
        <w:t>The</w:t>
      </w:r>
      <w:proofErr w:type="gramEnd"/>
      <w:r w:rsidR="000C6DCF" w:rsidRPr="000C6DCF">
        <w:rPr>
          <w:rFonts w:ascii="Sylfaen" w:eastAsia="MS Mincho" w:hAnsi="Sylfaen" w:cs="Times New Roman"/>
          <w:i/>
          <w:lang w:eastAsia="it-IT"/>
        </w:rPr>
        <w:t xml:space="preserve"> Bell Journal of Economics and Management Science,</w:t>
      </w:r>
      <w:r w:rsidR="000C6DCF" w:rsidRPr="000C6DCF">
        <w:rPr>
          <w:rFonts w:ascii="Sylfaen" w:eastAsia="MS Mincho" w:hAnsi="Sylfaen" w:cs="Times New Roman"/>
          <w:lang w:eastAsia="it-IT"/>
        </w:rPr>
        <w:t xml:space="preserve"> 4(1), pp. 143-</w:t>
      </w:r>
      <w:r>
        <w:rPr>
          <w:rFonts w:ascii="Sylfaen" w:eastAsia="MS Mincho" w:hAnsi="Sylfaen" w:cs="Times New Roman"/>
          <w:lang w:eastAsia="it-IT"/>
        </w:rPr>
        <w:t>1</w:t>
      </w:r>
      <w:r w:rsidR="000C6DCF" w:rsidRPr="000C6DCF">
        <w:rPr>
          <w:rFonts w:ascii="Sylfaen" w:eastAsia="MS Mincho" w:hAnsi="Sylfaen" w:cs="Times New Roman"/>
          <w:lang w:eastAsia="it-IT"/>
        </w:rPr>
        <w:t>83.</w:t>
      </w:r>
    </w:p>
    <w:p w14:paraId="4AF61573" w14:textId="2B6082E1"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lastRenderedPageBreak/>
        <w:t>Merton, R. C. (1977)</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An Analytic Derivation of the Cost of Deposit</w:t>
      </w:r>
      <w:r>
        <w:rPr>
          <w:rFonts w:ascii="Sylfaen" w:eastAsia="MS Mincho" w:hAnsi="Sylfaen" w:cs="Times New Roman"/>
          <w:lang w:eastAsia="it-IT"/>
        </w:rPr>
        <w:t xml:space="preserve"> Insurance and Loan Guarantees’, </w:t>
      </w:r>
      <w:r w:rsidR="000C6DCF" w:rsidRPr="000C6DCF">
        <w:rPr>
          <w:rFonts w:ascii="Sylfaen" w:eastAsia="MS Mincho" w:hAnsi="Sylfaen" w:cs="Times New Roman"/>
          <w:i/>
          <w:lang w:eastAsia="it-IT"/>
        </w:rPr>
        <w:t>Journal of Banking and Finance</w:t>
      </w:r>
      <w:r w:rsidR="000C6DCF" w:rsidRPr="000C6DCF">
        <w:rPr>
          <w:rFonts w:ascii="Sylfaen" w:eastAsia="MS Mincho" w:hAnsi="Sylfaen" w:cs="Times New Roman"/>
          <w:lang w:eastAsia="it-IT"/>
        </w:rPr>
        <w:t>, 1(1), pp. 3-11.</w:t>
      </w:r>
    </w:p>
    <w:p w14:paraId="1EF627F0" w14:textId="2D329868" w:rsidR="000C6DCF"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Merton, R. C. (1998)</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 xml:space="preserve">Applications of Option-Pricing </w:t>
      </w:r>
      <w:r>
        <w:rPr>
          <w:rFonts w:ascii="Sylfaen" w:eastAsia="MS Mincho" w:hAnsi="Sylfaen" w:cs="Times New Roman"/>
          <w:lang w:eastAsia="it-IT"/>
        </w:rPr>
        <w:t>Theory: Twenty-Five Years Later’,</w:t>
      </w:r>
      <w:r w:rsidR="000C6DCF" w:rsidRPr="000C6DCF">
        <w:rPr>
          <w:rFonts w:ascii="Sylfaen" w:eastAsia="MS Mincho" w:hAnsi="Sylfaen" w:cs="Times New Roman"/>
          <w:lang w:eastAsia="it-IT"/>
        </w:rPr>
        <w:t xml:space="preserve"> </w:t>
      </w:r>
      <w:proofErr w:type="gramStart"/>
      <w:r w:rsidR="000C6DCF" w:rsidRPr="000C6DCF">
        <w:rPr>
          <w:rFonts w:ascii="Sylfaen" w:eastAsia="MS Mincho" w:hAnsi="Sylfaen" w:cs="Times New Roman"/>
          <w:i/>
          <w:lang w:eastAsia="it-IT"/>
        </w:rPr>
        <w:t>The</w:t>
      </w:r>
      <w:proofErr w:type="gramEnd"/>
      <w:r w:rsidR="000C6DCF" w:rsidRPr="000C6DCF">
        <w:rPr>
          <w:rFonts w:ascii="Sylfaen" w:eastAsia="MS Mincho" w:hAnsi="Sylfaen" w:cs="Times New Roman"/>
          <w:i/>
          <w:lang w:eastAsia="it-IT"/>
        </w:rPr>
        <w:t xml:space="preserve"> American Economic Review,</w:t>
      </w:r>
      <w:r w:rsidR="000C6DCF" w:rsidRPr="000C6DCF">
        <w:rPr>
          <w:rFonts w:ascii="Sylfaen" w:eastAsia="MS Mincho" w:hAnsi="Sylfaen" w:cs="Times New Roman"/>
          <w:lang w:eastAsia="it-IT"/>
        </w:rPr>
        <w:t xml:space="preserve"> 88(3), pp. 323-</w:t>
      </w:r>
      <w:r>
        <w:rPr>
          <w:rFonts w:ascii="Sylfaen" w:eastAsia="MS Mincho" w:hAnsi="Sylfaen" w:cs="Times New Roman"/>
          <w:lang w:eastAsia="it-IT"/>
        </w:rPr>
        <w:t>3</w:t>
      </w:r>
      <w:r w:rsidR="000C6DCF" w:rsidRPr="000C6DCF">
        <w:rPr>
          <w:rFonts w:ascii="Sylfaen" w:eastAsia="MS Mincho" w:hAnsi="Sylfaen" w:cs="Times New Roman"/>
          <w:lang w:eastAsia="it-IT"/>
        </w:rPr>
        <w:t>49.</w:t>
      </w:r>
    </w:p>
    <w:p w14:paraId="7885D09C" w14:textId="6116013C" w:rsidR="00C73221" w:rsidRPr="000C6DCF" w:rsidRDefault="00D85136" w:rsidP="00D85136">
      <w:pPr>
        <w:spacing w:after="160" w:line="360" w:lineRule="auto"/>
        <w:jc w:val="both"/>
        <w:rPr>
          <w:rFonts w:ascii="Sylfaen" w:eastAsia="MS Mincho" w:hAnsi="Sylfaen" w:cs="Times New Roman"/>
          <w:lang w:eastAsia="it-IT"/>
        </w:rPr>
      </w:pPr>
      <w:r>
        <w:rPr>
          <w:rFonts w:ascii="Sylfaen" w:eastAsia="MS Mincho" w:hAnsi="Sylfaen" w:cs="Times New Roman"/>
          <w:lang w:eastAsia="it-IT"/>
        </w:rPr>
        <w:t>Sharpe, W. F. (1964)</w:t>
      </w:r>
      <w:r w:rsidR="000C6DCF" w:rsidRPr="000C6DCF">
        <w:rPr>
          <w:rFonts w:ascii="Sylfaen" w:eastAsia="MS Mincho" w:hAnsi="Sylfaen" w:cs="Times New Roman"/>
          <w:lang w:eastAsia="it-IT"/>
        </w:rPr>
        <w:t xml:space="preserve"> </w:t>
      </w:r>
      <w:r>
        <w:rPr>
          <w:rFonts w:ascii="Sylfaen" w:eastAsia="MS Mincho" w:hAnsi="Sylfaen" w:cs="Times New Roman"/>
          <w:lang w:eastAsia="it-IT"/>
        </w:rPr>
        <w:t>‘</w:t>
      </w:r>
      <w:r w:rsidR="000C6DCF" w:rsidRPr="000C6DCF">
        <w:rPr>
          <w:rFonts w:ascii="Sylfaen" w:eastAsia="MS Mincho" w:hAnsi="Sylfaen" w:cs="Times New Roman"/>
          <w:lang w:eastAsia="it-IT"/>
        </w:rPr>
        <w:t>Capital Asset Prices: A Theory of Market Equil</w:t>
      </w:r>
      <w:r>
        <w:rPr>
          <w:rFonts w:ascii="Sylfaen" w:eastAsia="MS Mincho" w:hAnsi="Sylfaen" w:cs="Times New Roman"/>
          <w:lang w:eastAsia="it-IT"/>
        </w:rPr>
        <w:t>ibrium under Conditions of Risk’,</w:t>
      </w:r>
      <w:r w:rsidR="000C6DCF" w:rsidRPr="000C6DCF">
        <w:rPr>
          <w:rFonts w:ascii="Sylfaen" w:eastAsia="MS Mincho" w:hAnsi="Sylfaen" w:cs="Times New Roman"/>
          <w:lang w:eastAsia="it-IT"/>
        </w:rPr>
        <w:t xml:space="preserve"> </w:t>
      </w:r>
      <w:proofErr w:type="gramStart"/>
      <w:r w:rsidR="000C6DCF" w:rsidRPr="000C6DCF">
        <w:rPr>
          <w:rFonts w:ascii="Sylfaen" w:eastAsia="MS Mincho" w:hAnsi="Sylfaen" w:cs="Times New Roman"/>
          <w:i/>
          <w:lang w:eastAsia="it-IT"/>
        </w:rPr>
        <w:t>The</w:t>
      </w:r>
      <w:proofErr w:type="gramEnd"/>
      <w:r w:rsidR="000C6DCF" w:rsidRPr="000C6DCF">
        <w:rPr>
          <w:rFonts w:ascii="Sylfaen" w:eastAsia="MS Mincho" w:hAnsi="Sylfaen" w:cs="Times New Roman"/>
          <w:i/>
          <w:lang w:eastAsia="it-IT"/>
        </w:rPr>
        <w:t xml:space="preserve"> Journal of Finance</w:t>
      </w:r>
      <w:r w:rsidR="000C6DCF" w:rsidRPr="000C6DCF">
        <w:rPr>
          <w:rFonts w:ascii="Sylfaen" w:eastAsia="MS Mincho" w:hAnsi="Sylfaen" w:cs="Times New Roman"/>
          <w:lang w:eastAsia="it-IT"/>
        </w:rPr>
        <w:t>, 19(3), pp. 425-</w:t>
      </w:r>
      <w:r>
        <w:rPr>
          <w:rFonts w:ascii="Sylfaen" w:eastAsia="MS Mincho" w:hAnsi="Sylfaen" w:cs="Times New Roman"/>
          <w:lang w:eastAsia="it-IT"/>
        </w:rPr>
        <w:t>4</w:t>
      </w:r>
      <w:r w:rsidR="000C6DCF" w:rsidRPr="000C6DCF">
        <w:rPr>
          <w:rFonts w:ascii="Sylfaen" w:eastAsia="MS Mincho" w:hAnsi="Sylfaen" w:cs="Times New Roman"/>
          <w:lang w:eastAsia="it-IT"/>
        </w:rPr>
        <w:t>42.</w:t>
      </w:r>
    </w:p>
    <w:sectPr w:rsidR="00C73221" w:rsidRPr="000C6DCF"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34B1" w14:textId="77777777" w:rsidR="005F0CF9" w:rsidRDefault="005F0CF9" w:rsidP="002B247D">
      <w:pPr>
        <w:spacing w:after="0" w:line="240" w:lineRule="auto"/>
      </w:pPr>
      <w:r>
        <w:separator/>
      </w:r>
    </w:p>
  </w:endnote>
  <w:endnote w:type="continuationSeparator" w:id="0">
    <w:p w14:paraId="1C9E44E0" w14:textId="77777777" w:rsidR="005F0CF9" w:rsidRDefault="005F0CF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16B8779" w14:textId="77777777" w:rsidR="00D610AF" w:rsidRDefault="00D610AF">
        <w:pPr>
          <w:pStyle w:val="Footer"/>
          <w:jc w:val="center"/>
        </w:pPr>
      </w:p>
      <w:p w14:paraId="3E13293B" w14:textId="64E2ECE1" w:rsidR="00D610AF" w:rsidRDefault="005F0CF9">
        <w:pPr>
          <w:pStyle w:val="Footer"/>
          <w:jc w:val="center"/>
        </w:pPr>
        <w:r>
          <w:pict w14:anchorId="16877011">
            <v:rect id="_x0000_i1026" style="width:0;height:1.5pt" o:hralign="center" o:hrstd="t" o:hr="t" fillcolor="#a0a0a0" stroked="f"/>
          </w:pict>
        </w:r>
      </w:p>
      <w:p w14:paraId="3655714B" w14:textId="5C557D8D" w:rsidR="00BE6334" w:rsidRPr="00D610AF" w:rsidRDefault="00BE6334">
        <w:pPr>
          <w:pStyle w:val="Footer"/>
          <w:jc w:val="center"/>
          <w:rPr>
            <w:rFonts w:ascii="Sylfaen" w:hAnsi="Sylfaen"/>
            <w:noProof/>
          </w:rPr>
        </w:pPr>
        <w:r w:rsidRPr="00D610AF">
          <w:rPr>
            <w:rFonts w:ascii="Sylfaen" w:hAnsi="Sylfaen"/>
          </w:rPr>
          <w:fldChar w:fldCharType="begin"/>
        </w:r>
        <w:r w:rsidRPr="00D610AF">
          <w:rPr>
            <w:rFonts w:ascii="Sylfaen" w:hAnsi="Sylfaen"/>
          </w:rPr>
          <w:instrText xml:space="preserve"> PAGE   \* MERGEFORMAT </w:instrText>
        </w:r>
        <w:r w:rsidRPr="00D610AF">
          <w:rPr>
            <w:rFonts w:ascii="Sylfaen" w:hAnsi="Sylfaen"/>
          </w:rPr>
          <w:fldChar w:fldCharType="separate"/>
        </w:r>
        <w:r w:rsidR="005627C8">
          <w:rPr>
            <w:rFonts w:ascii="Sylfaen" w:hAnsi="Sylfaen"/>
            <w:noProof/>
          </w:rPr>
          <w:t>10</w:t>
        </w:r>
        <w:r w:rsidRPr="00D610AF">
          <w:rPr>
            <w:rFonts w:ascii="Sylfaen" w:hAnsi="Sylfaen"/>
            <w:noProof/>
          </w:rPr>
          <w:fldChar w:fldCharType="end"/>
        </w:r>
      </w:p>
      <w:p w14:paraId="01B5BDD7" w14:textId="101FF09C" w:rsidR="00BE6334" w:rsidRPr="00D610AF" w:rsidRDefault="00BE6334">
        <w:pPr>
          <w:pStyle w:val="Footer"/>
          <w:jc w:val="center"/>
          <w:rPr>
            <w:rFonts w:ascii="Sylfaen" w:hAnsi="Sylfaen"/>
            <w:sz w:val="20"/>
            <w:szCs w:val="20"/>
          </w:rPr>
        </w:pPr>
        <w:r w:rsidRPr="00D610AF">
          <w:rPr>
            <w:rFonts w:ascii="Sylfaen" w:hAnsi="Sylfaen"/>
            <w:noProof/>
            <w:sz w:val="20"/>
            <w:szCs w:val="20"/>
          </w:rPr>
          <w:t xml:space="preserve">This article is CC BY </w:t>
        </w:r>
        <w:r w:rsidR="000C6DCF" w:rsidRPr="00D610AF">
          <w:rPr>
            <w:rFonts w:ascii="Sylfaen" w:hAnsi="Sylfaen"/>
            <w:noProof/>
            <w:sz w:val="20"/>
            <w:szCs w:val="20"/>
          </w:rPr>
          <w:t>Eleanora Cambone</w:t>
        </w:r>
        <w:r w:rsidRPr="00D610AF">
          <w:rPr>
            <w:rFonts w:ascii="Sylfaen" w:hAnsi="Sylfaen"/>
            <w:noProof/>
            <w:sz w:val="20"/>
            <w:szCs w:val="20"/>
          </w:rPr>
          <w:tab/>
        </w:r>
        <w:r w:rsidRPr="00D610AF">
          <w:rPr>
            <w:rFonts w:ascii="Sylfaen" w:hAnsi="Sylfaen"/>
            <w:noProof/>
            <w:sz w:val="20"/>
            <w:szCs w:val="20"/>
          </w:rPr>
          <w:tab/>
          <w:t>Essex Student Journal, 201</w:t>
        </w:r>
        <w:r w:rsidR="006D67F4" w:rsidRPr="00D610AF">
          <w:rPr>
            <w:rFonts w:ascii="Sylfaen" w:hAnsi="Sylfaen"/>
            <w:noProof/>
            <w:sz w:val="20"/>
            <w:szCs w:val="20"/>
          </w:rPr>
          <w:t>6</w:t>
        </w:r>
        <w:r w:rsidRPr="00D610AF">
          <w:rPr>
            <w:rFonts w:ascii="Sylfaen" w:hAnsi="Sylfaen"/>
            <w:noProof/>
            <w:sz w:val="20"/>
            <w:szCs w:val="20"/>
          </w:rPr>
          <w:t xml:space="preserve">, Vol </w:t>
        </w:r>
        <w:r w:rsidR="006D67F4" w:rsidRPr="00D610AF">
          <w:rPr>
            <w:rFonts w:ascii="Sylfaen" w:hAnsi="Sylfaen"/>
            <w:noProof/>
            <w:sz w:val="20"/>
            <w:szCs w:val="20"/>
          </w:rPr>
          <w:t>8</w:t>
        </w:r>
        <w:r w:rsidRPr="00D610AF">
          <w:rPr>
            <w:rFonts w:ascii="Sylfaen" w:hAnsi="Sylfaen"/>
            <w:noProof/>
            <w:sz w:val="20"/>
            <w:szCs w:val="20"/>
          </w:rPr>
          <w:t>.</w:t>
        </w:r>
      </w:p>
    </w:sdtContent>
  </w:sdt>
  <w:p w14:paraId="793C577F" w14:textId="252457EF" w:rsidR="00BE6334" w:rsidRPr="00D610AF" w:rsidRDefault="00BE6334">
    <w:pPr>
      <w:pStyle w:val="Footer"/>
      <w:rPr>
        <w:rFonts w:ascii="Sylfaen" w:hAnsi="Sylfaen"/>
        <w:sz w:val="20"/>
        <w:szCs w:val="20"/>
      </w:rPr>
    </w:pPr>
    <w:r w:rsidRPr="00D610AF">
      <w:rPr>
        <w:rFonts w:ascii="Sylfaen" w:hAnsi="Sylfaen"/>
        <w:sz w:val="20"/>
        <w:szCs w:val="20"/>
      </w:rPr>
      <w:t xml:space="preserve">DOI: </w:t>
    </w:r>
    <w:hyperlink r:id="rId1" w:history="1">
      <w:r w:rsidR="000C6DCF" w:rsidRPr="00D610AF">
        <w:rPr>
          <w:rStyle w:val="Hyperlink"/>
          <w:rFonts w:ascii="Sylfaen" w:hAnsi="Sylfaen"/>
        </w:rPr>
        <w:t>https://doi.org/10.5526/esj29</w:t>
      </w:r>
    </w:hyperlink>
    <w:r w:rsidR="000C6DCF" w:rsidRPr="00D610AF">
      <w:rPr>
        <w:rFonts w:ascii="Sylfaen" w:hAnsi="Sylfa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182484C9" w14:textId="77777777" w:rsidR="00D610AF" w:rsidRDefault="00D610AF" w:rsidP="00BE6334">
        <w:pPr>
          <w:pStyle w:val="Footer"/>
          <w:jc w:val="center"/>
        </w:pPr>
      </w:p>
      <w:p w14:paraId="3DA8C8E6" w14:textId="0F300576" w:rsidR="00D610AF" w:rsidRDefault="005F0CF9" w:rsidP="00BE6334">
        <w:pPr>
          <w:pStyle w:val="Footer"/>
          <w:jc w:val="center"/>
        </w:pPr>
        <w:r>
          <w:pict w14:anchorId="404E348B">
            <v:rect id="_x0000_i1027" style="width:0;height:1.5pt" o:hralign="center" o:hrstd="t" o:hr="t" fillcolor="#a0a0a0" stroked="f"/>
          </w:pict>
        </w:r>
      </w:p>
      <w:p w14:paraId="17E0F48F" w14:textId="261C525F" w:rsidR="00BE6334" w:rsidRPr="00D610AF" w:rsidRDefault="00BE6334" w:rsidP="00BE6334">
        <w:pPr>
          <w:pStyle w:val="Footer"/>
          <w:jc w:val="center"/>
          <w:rPr>
            <w:rFonts w:ascii="Sylfaen" w:hAnsi="Sylfaen"/>
            <w:noProof/>
          </w:rPr>
        </w:pPr>
        <w:r w:rsidRPr="00D610AF">
          <w:rPr>
            <w:rFonts w:ascii="Sylfaen" w:hAnsi="Sylfaen"/>
          </w:rPr>
          <w:fldChar w:fldCharType="begin"/>
        </w:r>
        <w:r w:rsidRPr="00D610AF">
          <w:rPr>
            <w:rFonts w:ascii="Sylfaen" w:hAnsi="Sylfaen"/>
          </w:rPr>
          <w:instrText xml:space="preserve"> PAGE   \* MERGEFORMAT </w:instrText>
        </w:r>
        <w:r w:rsidRPr="00D610AF">
          <w:rPr>
            <w:rFonts w:ascii="Sylfaen" w:hAnsi="Sylfaen"/>
          </w:rPr>
          <w:fldChar w:fldCharType="separate"/>
        </w:r>
        <w:r w:rsidR="005627C8">
          <w:rPr>
            <w:rFonts w:ascii="Sylfaen" w:hAnsi="Sylfaen"/>
            <w:noProof/>
          </w:rPr>
          <w:t>1</w:t>
        </w:r>
        <w:r w:rsidRPr="00D610AF">
          <w:rPr>
            <w:rFonts w:ascii="Sylfaen" w:hAnsi="Sylfaen"/>
            <w:noProof/>
          </w:rPr>
          <w:fldChar w:fldCharType="end"/>
        </w:r>
      </w:p>
      <w:p w14:paraId="2C12D576" w14:textId="73CD37B1" w:rsidR="00BE6334" w:rsidRPr="00D610AF" w:rsidRDefault="00BE6334" w:rsidP="00BE6334">
        <w:pPr>
          <w:pStyle w:val="Footer"/>
          <w:jc w:val="center"/>
          <w:rPr>
            <w:rFonts w:ascii="Sylfaen" w:hAnsi="Sylfaen"/>
            <w:sz w:val="20"/>
            <w:szCs w:val="20"/>
          </w:rPr>
        </w:pPr>
        <w:r w:rsidRPr="00D610AF">
          <w:rPr>
            <w:rFonts w:ascii="Sylfaen" w:hAnsi="Sylfaen"/>
            <w:noProof/>
            <w:sz w:val="20"/>
            <w:szCs w:val="20"/>
          </w:rPr>
          <w:t>This article is CC BY</w:t>
        </w:r>
        <w:r w:rsidR="0020222F" w:rsidRPr="00D610AF">
          <w:rPr>
            <w:rFonts w:ascii="Sylfaen" w:hAnsi="Sylfaen"/>
            <w:noProof/>
            <w:sz w:val="20"/>
            <w:szCs w:val="20"/>
          </w:rPr>
          <w:t xml:space="preserve"> </w:t>
        </w:r>
        <w:r w:rsidR="000C6DCF" w:rsidRPr="00D610AF">
          <w:rPr>
            <w:rFonts w:ascii="Sylfaen" w:hAnsi="Sylfaen"/>
            <w:noProof/>
            <w:sz w:val="20"/>
            <w:szCs w:val="20"/>
          </w:rPr>
          <w:t>Eleanora Cambone</w:t>
        </w:r>
        <w:r w:rsidRPr="00D610AF">
          <w:rPr>
            <w:rFonts w:ascii="Sylfaen" w:hAnsi="Sylfaen"/>
            <w:noProof/>
            <w:sz w:val="20"/>
            <w:szCs w:val="20"/>
          </w:rPr>
          <w:tab/>
        </w:r>
        <w:r w:rsidRPr="00D610AF">
          <w:rPr>
            <w:rFonts w:ascii="Sylfaen" w:hAnsi="Sylfaen"/>
            <w:noProof/>
            <w:sz w:val="20"/>
            <w:szCs w:val="20"/>
          </w:rPr>
          <w:tab/>
          <w:t>Essex Student Journal, 201</w:t>
        </w:r>
        <w:r w:rsidR="006D67F4" w:rsidRPr="00D610AF">
          <w:rPr>
            <w:rFonts w:ascii="Sylfaen" w:hAnsi="Sylfaen"/>
            <w:noProof/>
            <w:sz w:val="20"/>
            <w:szCs w:val="20"/>
          </w:rPr>
          <w:t>6</w:t>
        </w:r>
        <w:r w:rsidRPr="00D610AF">
          <w:rPr>
            <w:rFonts w:ascii="Sylfaen" w:hAnsi="Sylfaen"/>
            <w:noProof/>
            <w:sz w:val="20"/>
            <w:szCs w:val="20"/>
          </w:rPr>
          <w:t xml:space="preserve">, Vol </w:t>
        </w:r>
        <w:r w:rsidR="006D67F4" w:rsidRPr="00D610AF">
          <w:rPr>
            <w:rFonts w:ascii="Sylfaen" w:hAnsi="Sylfaen"/>
            <w:noProof/>
            <w:sz w:val="20"/>
            <w:szCs w:val="20"/>
          </w:rPr>
          <w:t>8</w:t>
        </w:r>
        <w:r w:rsidRPr="00D610AF">
          <w:rPr>
            <w:rFonts w:ascii="Sylfaen" w:hAnsi="Sylfaen"/>
            <w:noProof/>
            <w:sz w:val="20"/>
            <w:szCs w:val="20"/>
          </w:rPr>
          <w:t>.</w:t>
        </w:r>
      </w:p>
    </w:sdtContent>
  </w:sdt>
  <w:p w14:paraId="6519B2B9" w14:textId="386887C7" w:rsidR="001E5540" w:rsidRPr="00D610AF" w:rsidRDefault="00BE6334">
    <w:pPr>
      <w:pStyle w:val="Footer"/>
      <w:rPr>
        <w:rFonts w:ascii="Sylfaen" w:hAnsi="Sylfaen"/>
        <w:sz w:val="20"/>
        <w:szCs w:val="20"/>
      </w:rPr>
    </w:pPr>
    <w:r w:rsidRPr="00D610AF">
      <w:rPr>
        <w:rFonts w:ascii="Sylfaen" w:hAnsi="Sylfaen"/>
        <w:sz w:val="20"/>
        <w:szCs w:val="20"/>
      </w:rPr>
      <w:t xml:space="preserve">DOI: </w:t>
    </w:r>
    <w:hyperlink r:id="rId1" w:history="1">
      <w:r w:rsidR="000C6DCF" w:rsidRPr="00D610AF">
        <w:rPr>
          <w:rStyle w:val="Hyperlink"/>
          <w:rFonts w:ascii="Sylfaen" w:hAnsi="Sylfaen"/>
        </w:rPr>
        <w:t>https://doi.org/10.5526/esj29</w:t>
      </w:r>
    </w:hyperlink>
    <w:r w:rsidR="000C6DCF" w:rsidRPr="00D610AF">
      <w:rPr>
        <w:rFonts w:ascii="Sylfaen" w:hAnsi="Sylfa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C76B" w14:textId="77777777" w:rsidR="005F0CF9" w:rsidRDefault="005F0CF9" w:rsidP="002B247D">
      <w:pPr>
        <w:spacing w:after="0" w:line="240" w:lineRule="auto"/>
      </w:pPr>
      <w:r>
        <w:separator/>
      </w:r>
    </w:p>
  </w:footnote>
  <w:footnote w:type="continuationSeparator" w:id="0">
    <w:p w14:paraId="59200513" w14:textId="77777777" w:rsidR="005F0CF9" w:rsidRDefault="005F0CF9" w:rsidP="002B247D">
      <w:pPr>
        <w:spacing w:after="0" w:line="240" w:lineRule="auto"/>
      </w:pPr>
      <w:r>
        <w:continuationSeparator/>
      </w:r>
    </w:p>
  </w:footnote>
  <w:footnote w:id="1">
    <w:p w14:paraId="4A041923" w14:textId="77777777" w:rsidR="000C6DCF" w:rsidRDefault="000C6DCF" w:rsidP="000C6DCF">
      <w:pPr>
        <w:pStyle w:val="FootnoteText"/>
        <w:jc w:val="both"/>
        <w:rPr>
          <w:rFonts w:ascii="Sylfaen" w:hAnsi="Sylfaen"/>
          <w:sz w:val="20"/>
          <w:szCs w:val="20"/>
          <w:lang w:val="it-IT"/>
        </w:rPr>
      </w:pPr>
      <w:r>
        <w:rPr>
          <w:rStyle w:val="FootnoteReference"/>
          <w:rFonts w:ascii="Sylfaen" w:hAnsi="Sylfaen"/>
          <w:sz w:val="20"/>
          <w:szCs w:val="20"/>
        </w:rPr>
        <w:footnoteRef/>
      </w:r>
      <w:r>
        <w:rPr>
          <w:rFonts w:ascii="Sylfaen" w:hAnsi="Sylfaen"/>
          <w:sz w:val="20"/>
          <w:szCs w:val="20"/>
        </w:rPr>
        <w:t xml:space="preserve"> </w:t>
      </w:r>
      <w:r>
        <w:rPr>
          <w:rFonts w:ascii="Sylfaen" w:hAnsi="Sylfaen"/>
          <w:sz w:val="20"/>
          <w:szCs w:val="20"/>
          <w:lang w:val="it-IT"/>
        </w:rPr>
        <w:t xml:space="preserve">Returns follow a random path </w:t>
      </w:r>
    </w:p>
  </w:footnote>
  <w:footnote w:id="2">
    <w:p w14:paraId="1A4530B4" w14:textId="77777777" w:rsidR="000C6DCF" w:rsidRDefault="000C6DCF" w:rsidP="000C6DCF">
      <w:pPr>
        <w:pStyle w:val="FootnoteText"/>
        <w:jc w:val="both"/>
        <w:rPr>
          <w:rFonts w:ascii="Sylfaen" w:hAnsi="Sylfaen"/>
          <w:sz w:val="20"/>
          <w:szCs w:val="20"/>
          <w:lang w:val="it-IT"/>
        </w:rPr>
      </w:pPr>
      <w:r>
        <w:rPr>
          <w:rStyle w:val="FootnoteReference"/>
          <w:rFonts w:ascii="Sylfaen" w:hAnsi="Sylfaen"/>
          <w:sz w:val="20"/>
          <w:szCs w:val="20"/>
        </w:rPr>
        <w:footnoteRef/>
      </w:r>
      <w:r>
        <w:rPr>
          <w:rFonts w:ascii="Sylfaen" w:hAnsi="Sylfaen"/>
          <w:sz w:val="20"/>
          <w:szCs w:val="20"/>
        </w:rPr>
        <w:t xml:space="preserve"> </w:t>
      </w:r>
      <w:r>
        <w:rPr>
          <w:rFonts w:ascii="Sylfaen" w:hAnsi="Sylfaen"/>
          <w:sz w:val="20"/>
          <w:szCs w:val="20"/>
          <w:lang w:val="it-IT"/>
        </w:rPr>
        <w:t>with a mean of zero and a standard deviation of one</w:t>
      </w:r>
    </w:p>
  </w:footnote>
  <w:footnote w:id="3">
    <w:p w14:paraId="6B6A2CD3" w14:textId="77777777" w:rsidR="000C6DCF" w:rsidRDefault="000C6DCF" w:rsidP="000C6DCF">
      <w:pPr>
        <w:pStyle w:val="FootnoteText"/>
        <w:jc w:val="both"/>
        <w:rPr>
          <w:rFonts w:ascii="Sylfaen" w:hAnsi="Sylfaen"/>
          <w:sz w:val="20"/>
          <w:szCs w:val="20"/>
          <w:lang w:val="it-IT"/>
        </w:rPr>
      </w:pPr>
      <w:r>
        <w:rPr>
          <w:rStyle w:val="FootnoteReference"/>
          <w:rFonts w:ascii="Sylfaen" w:hAnsi="Sylfaen"/>
          <w:sz w:val="20"/>
          <w:szCs w:val="20"/>
        </w:rPr>
        <w:footnoteRef/>
      </w:r>
      <w:r>
        <w:rPr>
          <w:rFonts w:ascii="Sylfaen" w:hAnsi="Sylfaen"/>
          <w:sz w:val="20"/>
          <w:szCs w:val="20"/>
        </w:rPr>
        <w:t xml:space="preserve"> The CBOE Volatility Index – VIX,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2F47E10E" w:rsidR="002B247D" w:rsidRPr="00D610AF" w:rsidRDefault="000C6DCF">
    <w:pPr>
      <w:pStyle w:val="Header"/>
      <w:rPr>
        <w:rFonts w:ascii="Sylfaen" w:hAnsi="Sylfaen"/>
      </w:rPr>
    </w:pPr>
    <w:r w:rsidRPr="00D610AF">
      <w:rPr>
        <w:rFonts w:ascii="Sylfaen" w:hAnsi="Sylfaen"/>
      </w:rPr>
      <w:t>Merits and Shortcomings of the Black-Scholes-Merton (BSM) Approach: An Analysis of the Role of the Volatility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E8C51D0"/>
    <w:multiLevelType w:val="hybridMultilevel"/>
    <w:tmpl w:val="CAF6C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3917B9"/>
    <w:multiLevelType w:val="hybridMultilevel"/>
    <w:tmpl w:val="94109DD8"/>
    <w:lvl w:ilvl="0" w:tplc="DF94C016">
      <w:start w:val="1"/>
      <w:numFmt w:val="decimal"/>
      <w:lvlText w:val="%1."/>
      <w:lvlJc w:val="left"/>
      <w:pPr>
        <w:ind w:left="4170" w:hanging="360"/>
      </w:pPr>
      <w:rPr>
        <w:sz w:val="22"/>
        <w:szCs w:val="22"/>
        <w:vertAlign w:val="baseline"/>
      </w:rPr>
    </w:lvl>
    <w:lvl w:ilvl="1" w:tplc="08090019" w:tentative="1">
      <w:start w:val="1"/>
      <w:numFmt w:val="lowerLetter"/>
      <w:lvlText w:val="%2."/>
      <w:lvlJc w:val="left"/>
      <w:pPr>
        <w:ind w:left="4890" w:hanging="360"/>
      </w:pPr>
    </w:lvl>
    <w:lvl w:ilvl="2" w:tplc="0809001B" w:tentative="1">
      <w:start w:val="1"/>
      <w:numFmt w:val="lowerRoman"/>
      <w:lvlText w:val="%3."/>
      <w:lvlJc w:val="right"/>
      <w:pPr>
        <w:ind w:left="5610" w:hanging="180"/>
      </w:pPr>
    </w:lvl>
    <w:lvl w:ilvl="3" w:tplc="0809000F" w:tentative="1">
      <w:start w:val="1"/>
      <w:numFmt w:val="decimal"/>
      <w:lvlText w:val="%4."/>
      <w:lvlJc w:val="left"/>
      <w:pPr>
        <w:ind w:left="6330" w:hanging="360"/>
      </w:pPr>
    </w:lvl>
    <w:lvl w:ilvl="4" w:tplc="08090019" w:tentative="1">
      <w:start w:val="1"/>
      <w:numFmt w:val="lowerLetter"/>
      <w:lvlText w:val="%5."/>
      <w:lvlJc w:val="left"/>
      <w:pPr>
        <w:ind w:left="7050" w:hanging="360"/>
      </w:pPr>
    </w:lvl>
    <w:lvl w:ilvl="5" w:tplc="0809001B" w:tentative="1">
      <w:start w:val="1"/>
      <w:numFmt w:val="lowerRoman"/>
      <w:lvlText w:val="%6."/>
      <w:lvlJc w:val="right"/>
      <w:pPr>
        <w:ind w:left="7770" w:hanging="180"/>
      </w:pPr>
    </w:lvl>
    <w:lvl w:ilvl="6" w:tplc="0809000F" w:tentative="1">
      <w:start w:val="1"/>
      <w:numFmt w:val="decimal"/>
      <w:lvlText w:val="%7."/>
      <w:lvlJc w:val="left"/>
      <w:pPr>
        <w:ind w:left="8490" w:hanging="360"/>
      </w:pPr>
    </w:lvl>
    <w:lvl w:ilvl="7" w:tplc="08090019" w:tentative="1">
      <w:start w:val="1"/>
      <w:numFmt w:val="lowerLetter"/>
      <w:lvlText w:val="%8."/>
      <w:lvlJc w:val="left"/>
      <w:pPr>
        <w:ind w:left="9210" w:hanging="360"/>
      </w:pPr>
    </w:lvl>
    <w:lvl w:ilvl="8" w:tplc="0809001B" w:tentative="1">
      <w:start w:val="1"/>
      <w:numFmt w:val="lowerRoman"/>
      <w:lvlText w:val="%9."/>
      <w:lvlJc w:val="right"/>
      <w:pPr>
        <w:ind w:left="9930" w:hanging="180"/>
      </w:pPr>
    </w:lvl>
  </w:abstractNum>
  <w:abstractNum w:abstractNumId="12"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10"/>
  </w:num>
  <w:num w:numId="4">
    <w:abstractNumId w:val="12"/>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B5B88"/>
    <w:rsid w:val="000C6DCF"/>
    <w:rsid w:val="001232EB"/>
    <w:rsid w:val="001E5540"/>
    <w:rsid w:val="0020222F"/>
    <w:rsid w:val="00240FC1"/>
    <w:rsid w:val="00245725"/>
    <w:rsid w:val="002B247D"/>
    <w:rsid w:val="00331418"/>
    <w:rsid w:val="003346FE"/>
    <w:rsid w:val="00355BD8"/>
    <w:rsid w:val="00374289"/>
    <w:rsid w:val="00396A37"/>
    <w:rsid w:val="003D7268"/>
    <w:rsid w:val="00435FEC"/>
    <w:rsid w:val="00480ACF"/>
    <w:rsid w:val="00485B85"/>
    <w:rsid w:val="004E77C0"/>
    <w:rsid w:val="004F04C9"/>
    <w:rsid w:val="005166B3"/>
    <w:rsid w:val="005364B0"/>
    <w:rsid w:val="005627C8"/>
    <w:rsid w:val="005D15F2"/>
    <w:rsid w:val="005D3746"/>
    <w:rsid w:val="005F0CF9"/>
    <w:rsid w:val="006B201E"/>
    <w:rsid w:val="006D67F4"/>
    <w:rsid w:val="008D7050"/>
    <w:rsid w:val="009A0883"/>
    <w:rsid w:val="009F4888"/>
    <w:rsid w:val="00A10993"/>
    <w:rsid w:val="00A24878"/>
    <w:rsid w:val="00A538B5"/>
    <w:rsid w:val="00AE7E62"/>
    <w:rsid w:val="00B322FB"/>
    <w:rsid w:val="00B77266"/>
    <w:rsid w:val="00BA4AF7"/>
    <w:rsid w:val="00BC0C64"/>
    <w:rsid w:val="00BE6334"/>
    <w:rsid w:val="00C2271C"/>
    <w:rsid w:val="00C34E81"/>
    <w:rsid w:val="00C4128C"/>
    <w:rsid w:val="00C71792"/>
    <w:rsid w:val="00C73221"/>
    <w:rsid w:val="00CC529E"/>
    <w:rsid w:val="00D57D4C"/>
    <w:rsid w:val="00D610AF"/>
    <w:rsid w:val="00D85136"/>
    <w:rsid w:val="00E355F6"/>
    <w:rsid w:val="00E837BC"/>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paragraph" w:styleId="Caption">
    <w:name w:val="caption"/>
    <w:basedOn w:val="Normal"/>
    <w:next w:val="Normal"/>
    <w:uiPriority w:val="35"/>
    <w:unhideWhenUsed/>
    <w:qFormat/>
    <w:rsid w:val="005166B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F1C614A1-29F3-41AD-B712-B94A970D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Merits and Shortcomings of the Black-Scholes-Merton (BSM) Approach: An Analysis of the Role of Volatility</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Merits and Shortcomings of the Black-Scholes-Merton (BSM) Approach: An Analysis of the Role of Volatility</dc:title>
  <dc:subject/>
  <dc:creator>Sundsbo, Katrine</dc:creator>
  <cp:keywords/>
  <dc:description/>
  <cp:lastModifiedBy>Pyman, Hannah R</cp:lastModifiedBy>
  <cp:revision>9</cp:revision>
  <cp:lastPrinted>2020-03-31T15:20:00Z</cp:lastPrinted>
  <dcterms:created xsi:type="dcterms:W3CDTF">2020-03-19T09:53:00Z</dcterms:created>
  <dcterms:modified xsi:type="dcterms:W3CDTF">2020-03-31T15:20:00Z</dcterms:modified>
</cp:coreProperties>
</file>