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538253BE" w:rsidR="00A538B5" w:rsidRPr="00A538B5" w:rsidRDefault="006D67F4"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793C4F81" w:rsidR="0020222F" w:rsidRPr="009E018C" w:rsidRDefault="004A1B0B" w:rsidP="00B322FB">
      <w:pPr>
        <w:spacing w:after="160" w:line="360" w:lineRule="auto"/>
        <w:rPr>
          <w:rFonts w:ascii="Sylfaen" w:eastAsiaTheme="majorEastAsia" w:hAnsi="Sylfaen" w:cstheme="majorBidi"/>
          <w:spacing w:val="-10"/>
          <w:kern w:val="28"/>
          <w:sz w:val="48"/>
          <w:szCs w:val="48"/>
        </w:rPr>
      </w:pPr>
      <w:bookmarkStart w:id="0" w:name="_GoBack"/>
      <w:r w:rsidRPr="009E018C">
        <w:rPr>
          <w:rFonts w:ascii="Sylfaen" w:eastAsiaTheme="majorEastAsia" w:hAnsi="Sylfaen" w:cstheme="majorBidi"/>
          <w:spacing w:val="-10"/>
          <w:kern w:val="28"/>
          <w:sz w:val="48"/>
          <w:szCs w:val="48"/>
        </w:rPr>
        <w:t>An Assessment of the Problems Affecting Money Markets during the Financial Crisis of 2007-08</w:t>
      </w:r>
      <w:bookmarkEnd w:id="0"/>
    </w:p>
    <w:p w14:paraId="0736152B" w14:textId="2119C3BF" w:rsidR="00240FC1" w:rsidRPr="00331418" w:rsidRDefault="004A1B0B" w:rsidP="00B322FB">
      <w:pPr>
        <w:spacing w:after="160" w:line="360" w:lineRule="auto"/>
        <w:rPr>
          <w:rFonts w:ascii="Sylfaen" w:hAnsi="Sylfaen"/>
        </w:rPr>
      </w:pPr>
      <w:proofErr w:type="spellStart"/>
      <w:r>
        <w:rPr>
          <w:rFonts w:ascii="Sylfaen" w:hAnsi="Sylfaen"/>
        </w:rPr>
        <w:t>Valentinas</w:t>
      </w:r>
      <w:proofErr w:type="spellEnd"/>
      <w:r>
        <w:rPr>
          <w:rFonts w:ascii="Sylfaen" w:hAnsi="Sylfaen"/>
        </w:rPr>
        <w:t xml:space="preserve"> </w:t>
      </w:r>
      <w:proofErr w:type="spellStart"/>
      <w:r>
        <w:rPr>
          <w:rFonts w:ascii="Sylfaen" w:hAnsi="Sylfaen"/>
        </w:rPr>
        <w:t>Civinskas</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BF3A88">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2688C861" w14:textId="5A3C72A0" w:rsidR="004A1B0B" w:rsidRDefault="004A1B0B" w:rsidP="009E018C">
      <w:pPr>
        <w:spacing w:after="0" w:line="360" w:lineRule="auto"/>
        <w:ind w:left="567" w:right="992"/>
        <w:jc w:val="both"/>
        <w:rPr>
          <w:rFonts w:ascii="Sylfaen" w:hAnsi="Sylfaen" w:cs="Times New Roman"/>
          <w:b/>
        </w:rPr>
      </w:pPr>
      <w:r w:rsidRPr="004A1B0B">
        <w:rPr>
          <w:rFonts w:ascii="Sylfaen" w:hAnsi="Sylfaen" w:cs="Times New Roman"/>
        </w:rPr>
        <w:t xml:space="preserve">This paper provides an examination of the main problems affecting money markets during the Financial Crisis of 2007-08. Analysis revealed that the most influential problem affecting short-term debt was in repo agreements (repo). Moreover, one of the major roles during the financial crisis </w:t>
      </w:r>
      <w:proofErr w:type="gramStart"/>
      <w:r w:rsidRPr="004A1B0B">
        <w:rPr>
          <w:rFonts w:ascii="Sylfaen" w:hAnsi="Sylfaen" w:cs="Times New Roman"/>
        </w:rPr>
        <w:t>was played</w:t>
      </w:r>
      <w:proofErr w:type="gramEnd"/>
      <w:r w:rsidRPr="004A1B0B">
        <w:rPr>
          <w:rFonts w:ascii="Sylfaen" w:hAnsi="Sylfaen" w:cs="Times New Roman"/>
        </w:rPr>
        <w:t xml:space="preserve"> by the dealer banks, who acted as intermediary in the securities market. This investigation explains how uncertainty in the repurchase agreements led to an increase in the repo haircuts, which was equivalent to substantial withdrawals from the banking system and increased systematic risk. As a result, repo caused an incentive for the financial </w:t>
      </w:r>
      <w:proofErr w:type="gramStart"/>
      <w:r w:rsidRPr="004A1B0B">
        <w:rPr>
          <w:rFonts w:ascii="Sylfaen" w:hAnsi="Sylfaen" w:cs="Times New Roman"/>
        </w:rPr>
        <w:t>crisis which</w:t>
      </w:r>
      <w:proofErr w:type="gramEnd"/>
      <w:r w:rsidRPr="004A1B0B">
        <w:rPr>
          <w:rFonts w:ascii="Sylfaen" w:hAnsi="Sylfaen" w:cs="Times New Roman"/>
        </w:rPr>
        <w:t xml:space="preserve"> had a tremendous impact upon the economy. This research paper concludes that creating a new financial mechanism is vital. Therefore, in order to prevent any possible failure in the future, government needs to ensure that it </w:t>
      </w:r>
      <w:proofErr w:type="gramStart"/>
      <w:r w:rsidRPr="004A1B0B">
        <w:rPr>
          <w:rFonts w:ascii="Sylfaen" w:hAnsi="Sylfaen" w:cs="Times New Roman"/>
        </w:rPr>
        <w:t>is taken</w:t>
      </w:r>
      <w:proofErr w:type="gramEnd"/>
      <w:r w:rsidRPr="004A1B0B">
        <w:rPr>
          <w:rFonts w:ascii="Sylfaen" w:hAnsi="Sylfaen" w:cs="Times New Roman"/>
        </w:rPr>
        <w:t xml:space="preserve"> seriously by providing liquidity support, recapitalisation of distressed banks, whilst also strengthening interbank lending guarantees.</w:t>
      </w:r>
    </w:p>
    <w:p w14:paraId="5C06448E" w14:textId="77777777" w:rsidR="009E018C" w:rsidRPr="004A1B0B" w:rsidRDefault="009E018C" w:rsidP="009E018C">
      <w:pPr>
        <w:spacing w:after="0" w:line="360" w:lineRule="auto"/>
        <w:ind w:left="567" w:right="992"/>
        <w:jc w:val="both"/>
        <w:rPr>
          <w:rFonts w:ascii="Sylfaen" w:hAnsi="Sylfaen" w:cs="Times New Roman"/>
          <w:b/>
        </w:rPr>
      </w:pPr>
    </w:p>
    <w:p w14:paraId="3EDF040D" w14:textId="1C72CDA4"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4A1B0B" w:rsidRPr="004A1B0B">
        <w:rPr>
          <w:rFonts w:ascii="Sylfaen" w:hAnsi="Sylfaen"/>
        </w:rPr>
        <w:t>2007-08 Financial Crisis, Money Markets, Financial Crisis, Repo Agreements, Economy</w:t>
      </w:r>
    </w:p>
    <w:p w14:paraId="5379591B" w14:textId="6643F13E" w:rsidR="00EA7662" w:rsidRPr="00EA7662" w:rsidRDefault="00EA7662" w:rsidP="00D529D0">
      <w:pPr>
        <w:pStyle w:val="Heading1"/>
        <w:rPr>
          <w:rFonts w:eastAsia="Times New Roman"/>
        </w:rPr>
      </w:pPr>
      <w:r w:rsidRPr="00EA7662">
        <w:rPr>
          <w:rFonts w:eastAsia="Times New Roman"/>
        </w:rPr>
        <w:lastRenderedPageBreak/>
        <w:t>Introduction</w:t>
      </w:r>
    </w:p>
    <w:p w14:paraId="715C419D" w14:textId="77777777" w:rsidR="00EA7662" w:rsidRPr="00EA7662" w:rsidRDefault="00EA7662" w:rsidP="00D529D0">
      <w:pPr>
        <w:spacing w:after="0" w:line="360" w:lineRule="auto"/>
        <w:jc w:val="both"/>
        <w:rPr>
          <w:rFonts w:ascii="Sylfaen" w:eastAsia="Calibri" w:hAnsi="Sylfaen" w:cs="Times New Roman"/>
        </w:rPr>
      </w:pPr>
      <w:r w:rsidRPr="00EA7662">
        <w:rPr>
          <w:rFonts w:ascii="Sylfaen" w:eastAsia="Calibri" w:hAnsi="Sylfaen" w:cs="Times New Roman"/>
          <w:lang w:val="en-US"/>
        </w:rPr>
        <w:t xml:space="preserve">As claimed by famous British Historian Ferguson (2012) in his speech, financial markets </w:t>
      </w:r>
      <w:proofErr w:type="gramStart"/>
      <w:r w:rsidRPr="00EA7662">
        <w:rPr>
          <w:rFonts w:ascii="Sylfaen" w:eastAsia="Calibri" w:hAnsi="Sylfaen" w:cs="Times New Roman"/>
          <w:lang w:val="en-US"/>
        </w:rPr>
        <w:t>have been deregulated</w:t>
      </w:r>
      <w:proofErr w:type="gramEnd"/>
      <w:r w:rsidRPr="00EA7662">
        <w:rPr>
          <w:rFonts w:ascii="Sylfaen" w:eastAsia="Calibri" w:hAnsi="Sylfaen" w:cs="Times New Roman"/>
          <w:lang w:val="en-US"/>
        </w:rPr>
        <w:t xml:space="preserve"> for more than two decades: “</w:t>
      </w:r>
      <w:r w:rsidRPr="00EA7662">
        <w:rPr>
          <w:rFonts w:ascii="Sylfaen" w:eastAsia="Calibri" w:hAnsi="Sylfaen" w:cs="Times New Roman"/>
        </w:rPr>
        <w:t>Deregulation in the two decades after the election of Ronald Reagan led to the “disappearance” of thrift from American society and to excessive risk-taking by banks. Deregulation had no macroeconomic benefits; in fact, productivity declined” (Ferguson, 2012, p. 1).</w:t>
      </w:r>
      <w:r w:rsidRPr="00EA7662">
        <w:rPr>
          <w:rFonts w:ascii="Sylfaen" w:eastAsia="Calibri" w:hAnsi="Sylfaen" w:cs="Times New Roman"/>
          <w:noProof/>
        </w:rPr>
        <w:t xml:space="preserve"> </w:t>
      </w:r>
      <w:proofErr w:type="gramStart"/>
      <w:r w:rsidRPr="00EA7662">
        <w:rPr>
          <w:rFonts w:ascii="Sylfaen" w:eastAsia="Calibri" w:hAnsi="Sylfaen" w:cs="Times New Roman"/>
        </w:rPr>
        <w:t>As a result</w:t>
      </w:r>
      <w:proofErr w:type="gramEnd"/>
      <w:r w:rsidRPr="00EA7662">
        <w:rPr>
          <w:rFonts w:ascii="Sylfaen" w:eastAsia="Calibri" w:hAnsi="Sylfaen" w:cs="Times New Roman"/>
        </w:rPr>
        <w:t xml:space="preserve"> of this deregulation, favourable circumstances emerged for the new financial instruments. Gorton and </w:t>
      </w:r>
      <w:proofErr w:type="spellStart"/>
      <w:r w:rsidRPr="00EA7662">
        <w:rPr>
          <w:rFonts w:ascii="Sylfaen" w:eastAsia="Calibri" w:hAnsi="Sylfaen" w:cs="Times New Roman"/>
        </w:rPr>
        <w:t>Metrick</w:t>
      </w:r>
      <w:proofErr w:type="spellEnd"/>
      <w:r w:rsidRPr="00EA7662">
        <w:rPr>
          <w:rFonts w:ascii="Sylfaen" w:eastAsia="Calibri" w:hAnsi="Sylfaen" w:cs="Times New Roman"/>
        </w:rPr>
        <w:t xml:space="preserve"> (2009) stated that the Panic of 2007-2008 was a run on the sale and repurchase market (the “repo” market). The repo market is a very large, short-term market that provides financing for a wide range of securitization activities and financial institutions. </w:t>
      </w:r>
      <w:r w:rsidRPr="00EA7662">
        <w:rPr>
          <w:rFonts w:ascii="Sylfaen" w:eastAsia="Calibri" w:hAnsi="Sylfaen" w:cs="Times New Roman"/>
          <w:lang w:val="en-US"/>
        </w:rPr>
        <w:t>This paper will discuss the main problems affecting money markets in 2007-08.</w:t>
      </w:r>
    </w:p>
    <w:p w14:paraId="7B4E17F2" w14:textId="77777777" w:rsidR="00EA7662" w:rsidRPr="00EA7662" w:rsidRDefault="00EA7662" w:rsidP="00D529D0">
      <w:pPr>
        <w:spacing w:after="0" w:line="360" w:lineRule="auto"/>
        <w:jc w:val="both"/>
        <w:rPr>
          <w:rFonts w:ascii="Sylfaen" w:eastAsia="Calibri" w:hAnsi="Sylfaen" w:cs="Times New Roman"/>
        </w:rPr>
      </w:pPr>
      <w:r w:rsidRPr="00EA7662">
        <w:rPr>
          <w:rFonts w:ascii="Sylfaen" w:eastAsia="Calibri" w:hAnsi="Sylfaen" w:cs="Times New Roman"/>
          <w:lang w:val="en-US"/>
        </w:rPr>
        <w:t xml:space="preserve">The first part of this essay will offer a brief explanation of </w:t>
      </w:r>
      <w:r w:rsidRPr="00EA7662">
        <w:rPr>
          <w:rFonts w:ascii="Sylfaen" w:eastAsia="Calibri" w:hAnsi="Sylfaen" w:cs="Times New Roman"/>
        </w:rPr>
        <w:t>the nature of the financial instruments and markets whilst</w:t>
      </w:r>
      <w:r w:rsidRPr="00EA7662">
        <w:rPr>
          <w:rFonts w:ascii="Sylfaen" w:eastAsia="Calibri" w:hAnsi="Sylfaen" w:cs="Times New Roman"/>
          <w:lang w:val="en-US"/>
        </w:rPr>
        <w:t xml:space="preserve"> the second will </w:t>
      </w:r>
      <w:r w:rsidRPr="00EA7662">
        <w:rPr>
          <w:rFonts w:ascii="Sylfaen" w:eastAsia="Calibri" w:hAnsi="Sylfaen" w:cs="Times New Roman"/>
        </w:rPr>
        <w:t xml:space="preserve">describe </w:t>
      </w:r>
      <w:r w:rsidRPr="00EA7662">
        <w:rPr>
          <w:rFonts w:ascii="Sylfaen" w:eastAsia="Calibri" w:hAnsi="Sylfaen" w:cs="Times New Roman"/>
          <w:lang w:val="en-US"/>
        </w:rPr>
        <w:t>how a bank run arises</w:t>
      </w:r>
      <w:r w:rsidRPr="00EA7662">
        <w:rPr>
          <w:rFonts w:ascii="Sylfaen" w:eastAsia="Calibri" w:hAnsi="Sylfaen" w:cs="Times New Roman"/>
        </w:rPr>
        <w:t>. Finally, this article will conclude with a summary of how the phenomenon affected the money markets.</w:t>
      </w:r>
    </w:p>
    <w:p w14:paraId="7DF99F1D" w14:textId="77777777" w:rsidR="00EA7662" w:rsidRPr="00EA7662" w:rsidRDefault="00EA7662" w:rsidP="00D529D0">
      <w:pPr>
        <w:spacing w:line="360" w:lineRule="auto"/>
      </w:pPr>
    </w:p>
    <w:p w14:paraId="56B08160" w14:textId="578AD254" w:rsidR="00EA7662" w:rsidRPr="00EA7662" w:rsidRDefault="00EA7662" w:rsidP="00D529D0">
      <w:pPr>
        <w:pStyle w:val="Heading1"/>
        <w:rPr>
          <w:rFonts w:eastAsia="Times New Roman"/>
        </w:rPr>
      </w:pPr>
      <w:r w:rsidRPr="00EA7662">
        <w:rPr>
          <w:rFonts w:eastAsia="Times New Roman"/>
        </w:rPr>
        <w:t>Financial Instruments and Markets</w:t>
      </w:r>
    </w:p>
    <w:p w14:paraId="4C601106" w14:textId="77777777" w:rsidR="00EA7662" w:rsidRPr="00EA7662" w:rsidRDefault="00EA7662" w:rsidP="00D529D0">
      <w:pPr>
        <w:spacing w:after="0" w:line="360" w:lineRule="auto"/>
        <w:jc w:val="both"/>
        <w:rPr>
          <w:rFonts w:ascii="Sylfaen" w:eastAsia="Calibri" w:hAnsi="Sylfaen" w:cs="Times New Roman"/>
          <w:noProof/>
        </w:rPr>
      </w:pPr>
      <w:r w:rsidRPr="00EA7662">
        <w:rPr>
          <w:rFonts w:ascii="Sylfaen" w:eastAsia="Calibri" w:hAnsi="Sylfaen" w:cs="Times New Roman"/>
        </w:rPr>
        <w:t xml:space="preserve">Money markets are a segment of the financial market in which financial instruments with high liquidity and very short maturities </w:t>
      </w:r>
      <w:proofErr w:type="gramStart"/>
      <w:r w:rsidRPr="00EA7662">
        <w:rPr>
          <w:rFonts w:ascii="Sylfaen" w:eastAsia="Calibri" w:hAnsi="Sylfaen" w:cs="Times New Roman"/>
        </w:rPr>
        <w:t>are traded</w:t>
      </w:r>
      <w:proofErr w:type="gramEnd"/>
      <w:r w:rsidRPr="00EA7662">
        <w:rPr>
          <w:rFonts w:ascii="Sylfaen" w:eastAsia="Calibri" w:hAnsi="Sylfaen" w:cs="Times New Roman"/>
        </w:rPr>
        <w:t xml:space="preserve">, usually for less than one year. Money markets bring together borrowers and investors without intermediation by banks. The recent problems affecting money markets in 2007-08 took place in the securitized-banking” system, when banks were willing to lend to each other: “The Global Credit Crisis first erupted in summer 2007; in particular, on August 9, 2007, the short-term funding market and interbank lending all but froze” </w:t>
      </w:r>
      <w:r w:rsidRPr="00EA7662">
        <w:rPr>
          <w:rFonts w:ascii="Sylfaen" w:eastAsia="Calibri" w:hAnsi="Sylfaen" w:cs="Times New Roman"/>
          <w:noProof/>
        </w:rPr>
        <w:t>(Shin, 2009, p. 102).</w:t>
      </w:r>
    </w:p>
    <w:p w14:paraId="1C79E228" w14:textId="77777777" w:rsidR="00EA7662" w:rsidRPr="00EA7662" w:rsidRDefault="00EA7662" w:rsidP="00D529D0">
      <w:pPr>
        <w:spacing w:after="0" w:line="360" w:lineRule="auto"/>
        <w:jc w:val="both"/>
        <w:rPr>
          <w:rFonts w:ascii="Sylfaen" w:eastAsia="Calibri" w:hAnsi="Sylfaen" w:cs="Times New Roman"/>
        </w:rPr>
      </w:pPr>
    </w:p>
    <w:p w14:paraId="0AE5DD3E" w14:textId="77777777" w:rsidR="00EA7662" w:rsidRPr="00EA7662" w:rsidRDefault="00EA7662" w:rsidP="00D529D0">
      <w:pPr>
        <w:spacing w:after="0" w:line="360" w:lineRule="auto"/>
        <w:jc w:val="both"/>
        <w:rPr>
          <w:rFonts w:ascii="Sylfaen" w:eastAsia="Calibri" w:hAnsi="Sylfaen" w:cs="Times New Roman"/>
          <w:sz w:val="24"/>
          <w:szCs w:val="24"/>
        </w:rPr>
      </w:pPr>
      <w:r w:rsidRPr="00EA7662">
        <w:rPr>
          <w:rFonts w:ascii="Sylfaen" w:eastAsia="Calibri" w:hAnsi="Sylfaen" w:cs="Times New Roman"/>
        </w:rPr>
        <w:t xml:space="preserve">It is worth initially referring to LIBOR (the London Interbank Offered Rate), which is used as a base rate for many financial transactions; in particular, the three-month LIBOR rate which is considered very safe. Based on Arnold’s (2011) research, the </w:t>
      </w:r>
      <w:proofErr w:type="gramStart"/>
      <w:r w:rsidRPr="00EA7662">
        <w:rPr>
          <w:rFonts w:ascii="Sylfaen" w:eastAsia="Calibri" w:hAnsi="Sylfaen" w:cs="Times New Roman"/>
        </w:rPr>
        <w:t>official LIBOR rates are calculated by the British Banking Association (BBA) as a panel of 16 UK</w:t>
      </w:r>
      <w:proofErr w:type="gramEnd"/>
      <w:r w:rsidRPr="00EA7662">
        <w:rPr>
          <w:rFonts w:ascii="Sylfaen" w:eastAsia="Calibri" w:hAnsi="Sylfaen" w:cs="Times New Roman"/>
        </w:rPr>
        <w:t xml:space="preserve"> and international banks are asked at what rates they could borrow money as unsecured loans of various maturities. The loans between banks are made not just in sterling, </w:t>
      </w:r>
      <w:proofErr w:type="gramStart"/>
      <w:r w:rsidRPr="00EA7662">
        <w:rPr>
          <w:rFonts w:ascii="Sylfaen" w:eastAsia="Calibri" w:hAnsi="Sylfaen" w:cs="Times New Roman"/>
        </w:rPr>
        <w:t>but</w:t>
      </w:r>
      <w:proofErr w:type="gramEnd"/>
      <w:r w:rsidRPr="00EA7662">
        <w:rPr>
          <w:rFonts w:ascii="Sylfaen" w:eastAsia="Calibri" w:hAnsi="Sylfaen" w:cs="Times New Roman"/>
        </w:rPr>
        <w:t xml:space="preserve"> in a variety of currencies, and take place in London, one of the leading international financial centres of the world. It </w:t>
      </w:r>
      <w:proofErr w:type="gramStart"/>
      <w:r w:rsidRPr="00EA7662">
        <w:rPr>
          <w:rFonts w:ascii="Sylfaen" w:eastAsia="Calibri" w:hAnsi="Sylfaen" w:cs="Times New Roman"/>
        </w:rPr>
        <w:t>is illustrated</w:t>
      </w:r>
      <w:proofErr w:type="gramEnd"/>
      <w:r w:rsidRPr="00EA7662">
        <w:rPr>
          <w:rFonts w:ascii="Sylfaen" w:eastAsia="Calibri" w:hAnsi="Sylfaen" w:cs="Times New Roman"/>
        </w:rPr>
        <w:t xml:space="preserve"> below how the LIBOR rate </w:t>
      </w:r>
      <w:r w:rsidRPr="00EA7662">
        <w:rPr>
          <w:rFonts w:ascii="Sylfaen" w:eastAsia="Calibri" w:hAnsi="Sylfaen" w:cs="Times New Roman"/>
        </w:rPr>
        <w:lastRenderedPageBreak/>
        <w:t xml:space="preserve">was changing; during the Financial Crisis it reached a peak of approximately 6.5% in January 2008, whilst in January 2010, the rate was approximately 0.5%. This example is helpful, as it provides a clear sign that confidence had returned to the banking system and that institutions were willing to lend to each other, thus making the economy more stable after 2007 boom. </w:t>
      </w:r>
    </w:p>
    <w:p w14:paraId="33058589" w14:textId="77777777" w:rsidR="009E018C" w:rsidRDefault="00EA7662" w:rsidP="003F50AE">
      <w:pPr>
        <w:keepNext/>
        <w:spacing w:after="0" w:line="360" w:lineRule="auto"/>
        <w:jc w:val="center"/>
      </w:pPr>
      <w:r w:rsidRPr="00EA7662">
        <w:rPr>
          <w:rFonts w:ascii="Calibri" w:eastAsia="Calibri" w:hAnsi="Calibri" w:cs="Times New Roman"/>
          <w:noProof/>
          <w:lang w:eastAsia="en-GB"/>
        </w:rPr>
        <w:drawing>
          <wp:inline distT="0" distB="0" distL="0" distR="0" wp14:anchorId="3523061D" wp14:editId="1FBBE0AE">
            <wp:extent cx="5724525" cy="3305175"/>
            <wp:effectExtent l="0" t="0" r="9525" b="9525"/>
            <wp:docPr id="20" name="Picture 4" descr="Graph showing LIBOR and Central Bank rates from January 2005 to January 2014. General trend of both starting at around 4.8%, rising to around 6% in January 2008, and then falling to 0.5% in anuary 2009. " title="LIBOR and Central Bank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3305175"/>
                    </a:xfrm>
                    <a:prstGeom prst="rect">
                      <a:avLst/>
                    </a:prstGeom>
                    <a:noFill/>
                    <a:ln>
                      <a:noFill/>
                    </a:ln>
                  </pic:spPr>
                </pic:pic>
              </a:graphicData>
            </a:graphic>
          </wp:inline>
        </w:drawing>
      </w:r>
    </w:p>
    <w:p w14:paraId="2F655CA8" w14:textId="6C89EDD7" w:rsidR="00EA7662" w:rsidRPr="009E018C" w:rsidRDefault="009E018C" w:rsidP="009E018C">
      <w:pPr>
        <w:pStyle w:val="Caption"/>
        <w:jc w:val="center"/>
        <w:rPr>
          <w:rFonts w:ascii="Sylfaen" w:eastAsia="Calibri" w:hAnsi="Sylfaen" w:cs="Times New Roman"/>
          <w:color w:val="auto"/>
          <w:sz w:val="20"/>
          <w:szCs w:val="20"/>
        </w:rPr>
      </w:pPr>
      <w:r w:rsidRPr="009E018C">
        <w:rPr>
          <w:rFonts w:ascii="Sylfaen" w:hAnsi="Sylfaen"/>
          <w:color w:val="auto"/>
          <w:sz w:val="20"/>
          <w:szCs w:val="20"/>
        </w:rPr>
        <w:t xml:space="preserve">Figure </w:t>
      </w:r>
      <w:r w:rsidRPr="009E018C">
        <w:rPr>
          <w:rFonts w:ascii="Sylfaen" w:hAnsi="Sylfaen"/>
          <w:color w:val="auto"/>
          <w:sz w:val="20"/>
          <w:szCs w:val="20"/>
        </w:rPr>
        <w:fldChar w:fldCharType="begin"/>
      </w:r>
      <w:r w:rsidRPr="009E018C">
        <w:rPr>
          <w:rFonts w:ascii="Sylfaen" w:hAnsi="Sylfaen"/>
          <w:color w:val="auto"/>
          <w:sz w:val="20"/>
          <w:szCs w:val="20"/>
        </w:rPr>
        <w:instrText xml:space="preserve"> SEQ Figure \* ARABIC </w:instrText>
      </w:r>
      <w:r w:rsidRPr="009E018C">
        <w:rPr>
          <w:rFonts w:ascii="Sylfaen" w:hAnsi="Sylfaen"/>
          <w:color w:val="auto"/>
          <w:sz w:val="20"/>
          <w:szCs w:val="20"/>
        </w:rPr>
        <w:fldChar w:fldCharType="separate"/>
      </w:r>
      <w:r w:rsidR="000533B2">
        <w:rPr>
          <w:rFonts w:ascii="Sylfaen" w:hAnsi="Sylfaen"/>
          <w:noProof/>
          <w:color w:val="auto"/>
          <w:sz w:val="20"/>
          <w:szCs w:val="20"/>
        </w:rPr>
        <w:t>1</w:t>
      </w:r>
      <w:r w:rsidRPr="009E018C">
        <w:rPr>
          <w:rFonts w:ascii="Sylfaen" w:hAnsi="Sylfaen"/>
          <w:color w:val="auto"/>
          <w:sz w:val="20"/>
          <w:szCs w:val="20"/>
        </w:rPr>
        <w:fldChar w:fldCharType="end"/>
      </w:r>
      <w:r w:rsidRPr="009E018C">
        <w:rPr>
          <w:rFonts w:ascii="Sylfaen" w:hAnsi="Sylfaen"/>
          <w:color w:val="auto"/>
          <w:sz w:val="20"/>
          <w:szCs w:val="20"/>
        </w:rPr>
        <w:t xml:space="preserve"> LIBOR and Central Bank rates (Source: lecture money market)</w:t>
      </w:r>
    </w:p>
    <w:p w14:paraId="47B56B05" w14:textId="77777777" w:rsidR="00D529D0" w:rsidRPr="00D529D0" w:rsidRDefault="00D529D0" w:rsidP="00D529D0">
      <w:pPr>
        <w:spacing w:after="0" w:line="360" w:lineRule="auto"/>
        <w:jc w:val="center"/>
        <w:rPr>
          <w:rFonts w:ascii="Sylfaen" w:eastAsia="Calibri" w:hAnsi="Sylfaen" w:cs="Times New Roman"/>
          <w:sz w:val="20"/>
          <w:szCs w:val="20"/>
        </w:rPr>
      </w:pPr>
    </w:p>
    <w:p w14:paraId="1BB437F8" w14:textId="114541FB" w:rsidR="00EA7662" w:rsidRPr="009E018C" w:rsidRDefault="00EA7662" w:rsidP="009E018C">
      <w:pPr>
        <w:spacing w:after="0" w:line="360" w:lineRule="auto"/>
        <w:jc w:val="both"/>
        <w:rPr>
          <w:rFonts w:ascii="Sylfaen" w:eastAsia="Times New Roman" w:hAnsi="Sylfaen" w:cs="Times New Roman"/>
          <w:lang w:eastAsia="en-GB"/>
        </w:rPr>
      </w:pPr>
      <w:r w:rsidRPr="00EA7662">
        <w:rPr>
          <w:rFonts w:ascii="Sylfaen" w:eastAsia="Calibri" w:hAnsi="Sylfaen" w:cs="Times New Roman"/>
        </w:rPr>
        <w:t xml:space="preserve">Additionally, the most influential problem affecting short-term debt was apparent in repo agreements. </w:t>
      </w:r>
      <w:r w:rsidRPr="00EA7662">
        <w:rPr>
          <w:rFonts w:ascii="Sylfaen" w:eastAsia="Times New Roman" w:hAnsi="Sylfaen" w:cs="Times New Roman"/>
          <w:lang w:eastAsia="en-GB"/>
        </w:rPr>
        <w:t xml:space="preserve">Repo markets are markets in which securities </w:t>
      </w:r>
      <w:proofErr w:type="gramStart"/>
      <w:r w:rsidRPr="00EA7662">
        <w:rPr>
          <w:rFonts w:ascii="Sylfaen" w:eastAsia="Times New Roman" w:hAnsi="Sylfaen" w:cs="Times New Roman"/>
          <w:lang w:eastAsia="en-GB"/>
        </w:rPr>
        <w:t>are exchanged</w:t>
      </w:r>
      <w:proofErr w:type="gramEnd"/>
      <w:r w:rsidRPr="00EA7662">
        <w:rPr>
          <w:rFonts w:ascii="Sylfaen" w:eastAsia="Times New Roman" w:hAnsi="Sylfaen" w:cs="Times New Roman"/>
          <w:lang w:eastAsia="en-GB"/>
        </w:rPr>
        <w:t xml:space="preserve"> for cash with an agreement to repurchase the securities at a future date; in the transaction, securities serve as collateral for what is effectively a cash loan.</w:t>
      </w:r>
      <w:r w:rsidRPr="00EA7662">
        <w:rPr>
          <w:rFonts w:ascii="Sylfaen" w:eastAsia="Calibri" w:hAnsi="Sylfaen" w:cs="Times New Roman"/>
        </w:rPr>
        <w:t xml:space="preserve"> </w:t>
      </w:r>
      <w:r w:rsidRPr="00EA7662">
        <w:rPr>
          <w:rFonts w:ascii="Sylfaen" w:eastAsia="Times New Roman" w:hAnsi="Sylfaen" w:cs="Times New Roman"/>
          <w:lang w:eastAsia="en-GB"/>
        </w:rPr>
        <w:t xml:space="preserve">Repo transactions can be of any maturity, but are generally of a short maturity, ranging between an overnight loan and one year </w:t>
      </w:r>
      <w:sdt>
        <w:sdtPr>
          <w:rPr>
            <w:rFonts w:ascii="Sylfaen" w:eastAsia="Times New Roman" w:hAnsi="Sylfaen" w:cs="Times New Roman"/>
            <w:lang w:eastAsia="en-GB"/>
          </w:rPr>
          <w:id w:val="-1566793346"/>
          <w:citation/>
        </w:sdtPr>
        <w:sdtEndPr/>
        <w:sdtContent>
          <w:r w:rsidRPr="00EA7662">
            <w:rPr>
              <w:rFonts w:ascii="Sylfaen" w:eastAsia="Times New Roman" w:hAnsi="Sylfaen" w:cs="Times New Roman"/>
              <w:lang w:eastAsia="en-GB"/>
            </w:rPr>
            <w:fldChar w:fldCharType="begin"/>
          </w:r>
          <w:r w:rsidRPr="00EA7662">
            <w:rPr>
              <w:rFonts w:ascii="Sylfaen" w:eastAsia="Times New Roman" w:hAnsi="Sylfaen" w:cs="Times New Roman"/>
              <w:lang w:eastAsia="en-GB"/>
            </w:rPr>
            <w:instrText xml:space="preserve"> CITATION Rep99 \l 2057 </w:instrText>
          </w:r>
          <w:r w:rsidRPr="00EA7662">
            <w:rPr>
              <w:rFonts w:ascii="Sylfaen" w:eastAsia="Times New Roman" w:hAnsi="Sylfaen" w:cs="Times New Roman"/>
              <w:lang w:eastAsia="en-GB"/>
            </w:rPr>
            <w:fldChar w:fldCharType="separate"/>
          </w:r>
          <w:r w:rsidRPr="00EA7662">
            <w:rPr>
              <w:rFonts w:ascii="Sylfaen" w:eastAsia="Times New Roman" w:hAnsi="Sylfaen" w:cs="Times New Roman"/>
              <w:noProof/>
              <w:lang w:eastAsia="en-GB"/>
            </w:rPr>
            <w:t>(Group, 1999)</w:t>
          </w:r>
          <w:r w:rsidRPr="00EA7662">
            <w:rPr>
              <w:rFonts w:ascii="Sylfaen" w:eastAsia="Times New Roman" w:hAnsi="Sylfaen" w:cs="Times New Roman"/>
              <w:lang w:eastAsia="en-GB"/>
            </w:rPr>
            <w:fldChar w:fldCharType="end"/>
          </w:r>
        </w:sdtContent>
      </w:sdt>
      <w:r w:rsidRPr="00EA7662">
        <w:rPr>
          <w:rFonts w:ascii="Sylfaen" w:eastAsia="Times New Roman" w:hAnsi="Sylfaen" w:cs="Times New Roman"/>
          <w:lang w:eastAsia="en-GB"/>
        </w:rPr>
        <w:t xml:space="preserve">. Repo markets are a vital source of secured financing for banks and financial institutions, and a key tool for the implementation of monetary policy. When considering the </w:t>
      </w:r>
      <w:r w:rsidRPr="00EA7662">
        <w:rPr>
          <w:rFonts w:ascii="Sylfaen" w:eastAsia="Calibri" w:hAnsi="Sylfaen" w:cs="Times New Roman"/>
        </w:rPr>
        <w:t xml:space="preserve">Bank for International Settlements Quarterly Review and the diagrams below, it </w:t>
      </w:r>
      <w:proofErr w:type="gramStart"/>
      <w:r w:rsidRPr="00EA7662">
        <w:rPr>
          <w:rFonts w:ascii="Sylfaen" w:eastAsia="Calibri" w:hAnsi="Sylfaen" w:cs="Times New Roman"/>
        </w:rPr>
        <w:t>can be observed</w:t>
      </w:r>
      <w:proofErr w:type="gramEnd"/>
      <w:r w:rsidRPr="00EA7662">
        <w:rPr>
          <w:rFonts w:ascii="Sylfaen" w:eastAsia="Calibri" w:hAnsi="Sylfaen" w:cs="Times New Roman"/>
        </w:rPr>
        <w:t xml:space="preserve"> that the </w:t>
      </w:r>
      <w:r w:rsidRPr="00EA7662">
        <w:rPr>
          <w:rFonts w:ascii="Sylfaen" w:eastAsia="Times New Roman" w:hAnsi="Sylfaen" w:cs="Times New Roman"/>
          <w:lang w:eastAsia="en-GB"/>
        </w:rPr>
        <w:t xml:space="preserve">repo markets have doubled in size since 2002, with gross amounts outstanding at year-end 2007 of roughly $10 trillion in each of the US and Euro repo markets, and another $1 trillion in the UK repo market </w:t>
      </w:r>
      <w:r w:rsidRPr="00EA7662">
        <w:rPr>
          <w:rFonts w:ascii="Sylfaen" w:eastAsia="Times New Roman" w:hAnsi="Sylfaen" w:cs="Times New Roman"/>
          <w:noProof/>
          <w:lang w:eastAsia="en-GB"/>
        </w:rPr>
        <w:t>(Hördahl and King, 2008).</w:t>
      </w:r>
      <w:r w:rsidR="009E018C" w:rsidRPr="00EA7662">
        <w:rPr>
          <w:rFonts w:ascii="Calibri" w:eastAsia="Calibri" w:hAnsi="Calibri" w:cs="Times New Roman"/>
          <w:noProof/>
        </w:rPr>
        <w:t xml:space="preserve"> </w:t>
      </w:r>
    </w:p>
    <w:p w14:paraId="13B38370" w14:textId="77777777" w:rsidR="003F50AE" w:rsidRDefault="003F50AE" w:rsidP="003F50AE">
      <w:pPr>
        <w:keepNext/>
        <w:tabs>
          <w:tab w:val="left" w:pos="2175"/>
        </w:tabs>
        <w:autoSpaceDE w:val="0"/>
        <w:autoSpaceDN w:val="0"/>
        <w:adjustRightInd w:val="0"/>
        <w:spacing w:after="0" w:line="360" w:lineRule="auto"/>
      </w:pPr>
      <w:r w:rsidRPr="00EA7662">
        <w:rPr>
          <w:rFonts w:ascii="Calibri" w:eastAsia="Calibri" w:hAnsi="Calibri" w:cs="Times New Roman"/>
          <w:noProof/>
          <w:lang w:eastAsia="en-GB"/>
        </w:rPr>
        <w:lastRenderedPageBreak/>
        <w:drawing>
          <wp:inline distT="0" distB="0" distL="0" distR="0" wp14:anchorId="2BD47021" wp14:editId="071D0FAB">
            <wp:extent cx="5731510" cy="2680335"/>
            <wp:effectExtent l="0" t="0" r="2540" b="5715"/>
            <wp:docPr id="22" name="Picture 7" descr="Three graphs displaying repo markets, amount outstanding, in billions of national currency units. From left to right: United States; Euro area; United Kingdom." title="Repo markets and amou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680335"/>
                    </a:xfrm>
                    <a:prstGeom prst="rect">
                      <a:avLst/>
                    </a:prstGeom>
                    <a:noFill/>
                  </pic:spPr>
                </pic:pic>
              </a:graphicData>
            </a:graphic>
          </wp:inline>
        </w:drawing>
      </w:r>
    </w:p>
    <w:p w14:paraId="6BD3E3F5" w14:textId="5CC4B335" w:rsidR="00EA7662" w:rsidRPr="003F50AE" w:rsidRDefault="003F50AE" w:rsidP="003F50AE">
      <w:pPr>
        <w:pStyle w:val="Caption"/>
        <w:jc w:val="center"/>
        <w:rPr>
          <w:rFonts w:ascii="Sylfaen" w:eastAsia="Calibri" w:hAnsi="Sylfaen" w:cs="Times New Roman"/>
          <w:color w:val="auto"/>
          <w:sz w:val="20"/>
          <w:lang w:eastAsia="en-GB"/>
        </w:rPr>
      </w:pPr>
      <w:r w:rsidRPr="003F50AE">
        <w:rPr>
          <w:rFonts w:ascii="Sylfaen" w:hAnsi="Sylfaen"/>
          <w:color w:val="auto"/>
          <w:sz w:val="20"/>
        </w:rPr>
        <w:t xml:space="preserve">Figure </w:t>
      </w:r>
      <w:r w:rsidRPr="003F50AE">
        <w:rPr>
          <w:rFonts w:ascii="Sylfaen" w:hAnsi="Sylfaen"/>
          <w:color w:val="auto"/>
          <w:sz w:val="20"/>
        </w:rPr>
        <w:fldChar w:fldCharType="begin"/>
      </w:r>
      <w:r w:rsidRPr="003F50AE">
        <w:rPr>
          <w:rFonts w:ascii="Sylfaen" w:hAnsi="Sylfaen"/>
          <w:color w:val="auto"/>
          <w:sz w:val="20"/>
        </w:rPr>
        <w:instrText xml:space="preserve"> SEQ Figure \* ARABIC </w:instrText>
      </w:r>
      <w:r w:rsidRPr="003F50AE">
        <w:rPr>
          <w:rFonts w:ascii="Sylfaen" w:hAnsi="Sylfaen"/>
          <w:color w:val="auto"/>
          <w:sz w:val="20"/>
        </w:rPr>
        <w:fldChar w:fldCharType="separate"/>
      </w:r>
      <w:r w:rsidR="000533B2">
        <w:rPr>
          <w:rFonts w:ascii="Sylfaen" w:hAnsi="Sylfaen"/>
          <w:noProof/>
          <w:color w:val="auto"/>
          <w:sz w:val="20"/>
        </w:rPr>
        <w:t>2</w:t>
      </w:r>
      <w:r w:rsidRPr="003F50AE">
        <w:rPr>
          <w:rFonts w:ascii="Sylfaen" w:hAnsi="Sylfaen"/>
          <w:color w:val="auto"/>
          <w:sz w:val="20"/>
        </w:rPr>
        <w:fldChar w:fldCharType="end"/>
      </w:r>
      <w:r w:rsidRPr="003F50AE">
        <w:rPr>
          <w:rFonts w:ascii="Sylfaen" w:hAnsi="Sylfaen"/>
          <w:color w:val="auto"/>
          <w:sz w:val="20"/>
        </w:rPr>
        <w:t xml:space="preserve"> Repo markets and amounts (Source: </w:t>
      </w:r>
      <w:proofErr w:type="spellStart"/>
      <w:r w:rsidRPr="003F50AE">
        <w:rPr>
          <w:rFonts w:ascii="Sylfaen" w:hAnsi="Sylfaen"/>
          <w:color w:val="auto"/>
          <w:sz w:val="20"/>
        </w:rPr>
        <w:t>Hördahl</w:t>
      </w:r>
      <w:proofErr w:type="spellEnd"/>
      <w:r w:rsidRPr="003F50AE">
        <w:rPr>
          <w:rFonts w:ascii="Sylfaen" w:hAnsi="Sylfaen"/>
          <w:color w:val="auto"/>
          <w:sz w:val="20"/>
        </w:rPr>
        <w:t xml:space="preserve"> and King, 2008)</w:t>
      </w:r>
    </w:p>
    <w:p w14:paraId="3090470B" w14:textId="77777777" w:rsidR="003F50AE" w:rsidRDefault="003F50AE" w:rsidP="00D529D0">
      <w:pPr>
        <w:autoSpaceDE w:val="0"/>
        <w:autoSpaceDN w:val="0"/>
        <w:adjustRightInd w:val="0"/>
        <w:spacing w:after="0" w:line="360" w:lineRule="auto"/>
        <w:jc w:val="both"/>
        <w:rPr>
          <w:rFonts w:ascii="Sylfaen" w:eastAsia="Calibri" w:hAnsi="Sylfaen" w:cs="Times New Roman"/>
        </w:rPr>
      </w:pPr>
    </w:p>
    <w:p w14:paraId="3ADD170E" w14:textId="67974072" w:rsidR="00EA7662" w:rsidRPr="00EA7662" w:rsidRDefault="00EA7662" w:rsidP="00D529D0">
      <w:pPr>
        <w:autoSpaceDE w:val="0"/>
        <w:autoSpaceDN w:val="0"/>
        <w:adjustRightInd w:val="0"/>
        <w:spacing w:after="0" w:line="360" w:lineRule="auto"/>
        <w:jc w:val="both"/>
        <w:rPr>
          <w:rFonts w:ascii="Sylfaen" w:eastAsia="Calibri" w:hAnsi="Sylfaen" w:cs="Times New Roman"/>
        </w:rPr>
      </w:pPr>
      <w:r w:rsidRPr="00EA7662">
        <w:rPr>
          <w:rFonts w:ascii="Sylfaen" w:eastAsia="Calibri" w:hAnsi="Sylfaen" w:cs="Times New Roman"/>
        </w:rPr>
        <w:t xml:space="preserve">In order to mitigate counterparty risk (the risk of the other side reneging), some repurchase agreements are “tri-party” repo. Under tri-party agreement, the securities dealer delivers collateral (something pledged as security for repayment of a loan, to </w:t>
      </w:r>
      <w:proofErr w:type="gramStart"/>
      <w:r w:rsidRPr="00EA7662">
        <w:rPr>
          <w:rFonts w:ascii="Sylfaen" w:eastAsia="Calibri" w:hAnsi="Sylfaen" w:cs="Times New Roman"/>
        </w:rPr>
        <w:t>be forfeited</w:t>
      </w:r>
      <w:proofErr w:type="gramEnd"/>
      <w:r w:rsidRPr="00EA7662">
        <w:rPr>
          <w:rFonts w:ascii="Sylfaen" w:eastAsia="Calibri" w:hAnsi="Sylfaen" w:cs="Times New Roman"/>
        </w:rPr>
        <w:t xml:space="preserve"> in the event of a default) to an independent third-party custodian, such as “</w:t>
      </w:r>
      <w:proofErr w:type="spellStart"/>
      <w:r w:rsidRPr="00EA7662">
        <w:rPr>
          <w:rFonts w:ascii="Sylfaen" w:eastAsia="Calibri" w:hAnsi="Sylfaen" w:cs="Times New Roman"/>
        </w:rPr>
        <w:t>Euroclear</w:t>
      </w:r>
      <w:proofErr w:type="spellEnd"/>
      <w:r w:rsidRPr="00EA7662">
        <w:rPr>
          <w:rFonts w:ascii="Sylfaen" w:eastAsia="Calibri" w:hAnsi="Sylfaen" w:cs="Times New Roman"/>
        </w:rPr>
        <w:t>” or “</w:t>
      </w:r>
      <w:proofErr w:type="spellStart"/>
      <w:r w:rsidRPr="00EA7662">
        <w:rPr>
          <w:rFonts w:ascii="Sylfaen" w:eastAsia="Calibri" w:hAnsi="Sylfaen" w:cs="Times New Roman"/>
        </w:rPr>
        <w:t>Clearstream</w:t>
      </w:r>
      <w:proofErr w:type="spellEnd"/>
      <w:r w:rsidRPr="00EA7662">
        <w:rPr>
          <w:rFonts w:ascii="Sylfaen" w:eastAsia="Calibri" w:hAnsi="Sylfaen" w:cs="Times New Roman"/>
        </w:rPr>
        <w:t xml:space="preserve">”, who will place it into a segregated tri-party account. This arrangement reduces the administrative burden for the cash-investor. Consequently, the yield on the investor’s cash should be slightly higher. This model </w:t>
      </w:r>
      <w:proofErr w:type="gramStart"/>
      <w:r w:rsidRPr="00EA7662">
        <w:rPr>
          <w:rFonts w:ascii="Sylfaen" w:eastAsia="Calibri" w:hAnsi="Sylfaen" w:cs="Times New Roman"/>
        </w:rPr>
        <w:t>is illustrated</w:t>
      </w:r>
      <w:proofErr w:type="gramEnd"/>
      <w:r w:rsidRPr="00EA7662">
        <w:rPr>
          <w:rFonts w:ascii="Sylfaen" w:eastAsia="Calibri" w:hAnsi="Sylfaen" w:cs="Times New Roman"/>
        </w:rPr>
        <w:t xml:space="preserve"> below </w:t>
      </w:r>
      <w:sdt>
        <w:sdtPr>
          <w:rPr>
            <w:rFonts w:ascii="Sylfaen" w:eastAsia="Calibri" w:hAnsi="Sylfaen" w:cs="Times New Roman"/>
          </w:rPr>
          <w:id w:val="2068071506"/>
          <w:citation/>
        </w:sdtPr>
        <w:sdtEndPr/>
        <w:sdtContent>
          <w:r w:rsidRPr="00EA7662">
            <w:rPr>
              <w:rFonts w:ascii="Sylfaen" w:eastAsia="Calibri" w:hAnsi="Sylfaen" w:cs="Times New Roman"/>
            </w:rPr>
            <w:fldChar w:fldCharType="begin"/>
          </w:r>
          <w:r w:rsidRPr="00EA7662">
            <w:rPr>
              <w:rFonts w:ascii="Sylfaen" w:eastAsia="Calibri" w:hAnsi="Sylfaen" w:cs="Times New Roman"/>
            </w:rPr>
            <w:instrText xml:space="preserve"> CITATION Cho12 \l 2057 </w:instrText>
          </w:r>
          <w:r w:rsidRPr="00EA7662">
            <w:rPr>
              <w:rFonts w:ascii="Sylfaen" w:eastAsia="Calibri" w:hAnsi="Sylfaen" w:cs="Times New Roman"/>
            </w:rPr>
            <w:fldChar w:fldCharType="separate"/>
          </w:r>
          <w:r w:rsidRPr="00EA7662">
            <w:rPr>
              <w:rFonts w:ascii="Sylfaen" w:eastAsia="Calibri" w:hAnsi="Sylfaen" w:cs="Times New Roman"/>
              <w:noProof/>
            </w:rPr>
            <w:t>(Choudhry, 2012)</w:t>
          </w:r>
          <w:r w:rsidRPr="00EA7662">
            <w:rPr>
              <w:rFonts w:ascii="Sylfaen" w:eastAsia="Calibri" w:hAnsi="Sylfaen" w:cs="Times New Roman"/>
            </w:rPr>
            <w:fldChar w:fldCharType="end"/>
          </w:r>
        </w:sdtContent>
      </w:sdt>
      <w:r w:rsidRPr="00EA7662">
        <w:rPr>
          <w:rFonts w:ascii="Sylfaen" w:eastAsia="Calibri" w:hAnsi="Sylfaen" w:cs="Times New Roman"/>
        </w:rPr>
        <w:t>:</w:t>
      </w:r>
    </w:p>
    <w:p w14:paraId="4ECA4109" w14:textId="77777777" w:rsidR="00EA7662" w:rsidRPr="00EA7662" w:rsidRDefault="00EA7662" w:rsidP="00D529D0">
      <w:pPr>
        <w:autoSpaceDE w:val="0"/>
        <w:autoSpaceDN w:val="0"/>
        <w:adjustRightInd w:val="0"/>
        <w:spacing w:after="0" w:line="360" w:lineRule="auto"/>
        <w:jc w:val="both"/>
        <w:rPr>
          <w:rFonts w:ascii="Sylfaen" w:eastAsia="Calibri" w:hAnsi="Sylfaen" w:cs="Times New Roman"/>
          <w:sz w:val="24"/>
          <w:szCs w:val="24"/>
        </w:rPr>
      </w:pPr>
    </w:p>
    <w:p w14:paraId="5D9BB5CD" w14:textId="77777777" w:rsidR="009E018C" w:rsidRDefault="00EA7662" w:rsidP="009E018C">
      <w:pPr>
        <w:keepNext/>
        <w:spacing w:after="0" w:line="360" w:lineRule="auto"/>
      </w:pPr>
      <w:r w:rsidRPr="00EA7662">
        <w:rPr>
          <w:rFonts w:ascii="Calibri" w:eastAsia="Calibri" w:hAnsi="Calibri" w:cs="Times New Roman"/>
          <w:noProof/>
          <w:lang w:eastAsia="en-GB"/>
        </w:rPr>
        <w:drawing>
          <wp:inline distT="0" distB="0" distL="0" distR="0" wp14:anchorId="66187356" wp14:editId="19ECB643">
            <wp:extent cx="5676900" cy="1504950"/>
            <wp:effectExtent l="0" t="0" r="0" b="0"/>
            <wp:docPr id="19" name="Picture 6" descr="Model to illustrate a tri-party agreement." title="The model of &quot;tri-party&quot; re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0" cy="1504950"/>
                    </a:xfrm>
                    <a:prstGeom prst="rect">
                      <a:avLst/>
                    </a:prstGeom>
                    <a:noFill/>
                    <a:ln>
                      <a:noFill/>
                    </a:ln>
                  </pic:spPr>
                </pic:pic>
              </a:graphicData>
            </a:graphic>
          </wp:inline>
        </w:drawing>
      </w:r>
    </w:p>
    <w:p w14:paraId="19005940" w14:textId="39B8EDD0" w:rsidR="00EA7662" w:rsidRPr="00EA7662" w:rsidRDefault="009E018C" w:rsidP="00411F5B">
      <w:pPr>
        <w:pStyle w:val="Caption"/>
        <w:jc w:val="center"/>
        <w:rPr>
          <w:rFonts w:ascii="Sylfaen" w:eastAsia="Calibri" w:hAnsi="Sylfaen" w:cs="Times New Roman"/>
          <w:color w:val="FF0000"/>
          <w:sz w:val="24"/>
          <w:szCs w:val="24"/>
        </w:rPr>
      </w:pPr>
      <w:r w:rsidRPr="009E018C">
        <w:rPr>
          <w:rFonts w:ascii="Sylfaen" w:hAnsi="Sylfaen"/>
          <w:color w:val="auto"/>
          <w:sz w:val="20"/>
          <w:szCs w:val="20"/>
        </w:rPr>
        <w:t xml:space="preserve">Figure </w:t>
      </w:r>
      <w:r w:rsidRPr="009E018C">
        <w:rPr>
          <w:rFonts w:ascii="Sylfaen" w:hAnsi="Sylfaen"/>
          <w:color w:val="auto"/>
          <w:sz w:val="20"/>
          <w:szCs w:val="20"/>
        </w:rPr>
        <w:fldChar w:fldCharType="begin"/>
      </w:r>
      <w:r w:rsidRPr="009E018C">
        <w:rPr>
          <w:rFonts w:ascii="Sylfaen" w:hAnsi="Sylfaen"/>
          <w:color w:val="auto"/>
          <w:sz w:val="20"/>
          <w:szCs w:val="20"/>
        </w:rPr>
        <w:instrText xml:space="preserve"> SEQ Figure \* ARABIC </w:instrText>
      </w:r>
      <w:r w:rsidRPr="009E018C">
        <w:rPr>
          <w:rFonts w:ascii="Sylfaen" w:hAnsi="Sylfaen"/>
          <w:color w:val="auto"/>
          <w:sz w:val="20"/>
          <w:szCs w:val="20"/>
        </w:rPr>
        <w:fldChar w:fldCharType="separate"/>
      </w:r>
      <w:r w:rsidR="000533B2">
        <w:rPr>
          <w:rFonts w:ascii="Sylfaen" w:hAnsi="Sylfaen"/>
          <w:noProof/>
          <w:color w:val="auto"/>
          <w:sz w:val="20"/>
          <w:szCs w:val="20"/>
        </w:rPr>
        <w:t>3</w:t>
      </w:r>
      <w:r w:rsidRPr="009E018C">
        <w:rPr>
          <w:rFonts w:ascii="Sylfaen" w:hAnsi="Sylfaen"/>
          <w:color w:val="auto"/>
          <w:sz w:val="20"/>
          <w:szCs w:val="20"/>
        </w:rPr>
        <w:fldChar w:fldCharType="end"/>
      </w:r>
      <w:r w:rsidRPr="009E018C">
        <w:rPr>
          <w:rFonts w:ascii="Sylfaen" w:hAnsi="Sylfaen"/>
          <w:color w:val="auto"/>
          <w:sz w:val="20"/>
          <w:szCs w:val="20"/>
        </w:rPr>
        <w:t xml:space="preserve"> </w:t>
      </w:r>
      <w:proofErr w:type="gramStart"/>
      <w:r w:rsidRPr="009E018C">
        <w:rPr>
          <w:rFonts w:ascii="Sylfaen" w:hAnsi="Sylfaen"/>
          <w:color w:val="auto"/>
          <w:sz w:val="20"/>
          <w:szCs w:val="20"/>
        </w:rPr>
        <w:t>The</w:t>
      </w:r>
      <w:proofErr w:type="gramEnd"/>
      <w:r w:rsidRPr="009E018C">
        <w:rPr>
          <w:rFonts w:ascii="Sylfaen" w:hAnsi="Sylfaen"/>
          <w:color w:val="auto"/>
          <w:sz w:val="20"/>
          <w:szCs w:val="20"/>
        </w:rPr>
        <w:t xml:space="preserve"> model of “tri-party” repo (Source: Choudhry, 2012)</w:t>
      </w:r>
      <w:r w:rsidR="00411F5B" w:rsidRPr="00EA7662">
        <w:rPr>
          <w:rFonts w:ascii="Sylfaen" w:eastAsia="Calibri" w:hAnsi="Sylfaen" w:cs="Times New Roman"/>
          <w:color w:val="FF0000"/>
          <w:sz w:val="24"/>
          <w:szCs w:val="24"/>
        </w:rPr>
        <w:t xml:space="preserve"> </w:t>
      </w:r>
    </w:p>
    <w:p w14:paraId="0ECD6AFE" w14:textId="36008713" w:rsidR="00EA7662" w:rsidRPr="00EA7662" w:rsidRDefault="00EA7662" w:rsidP="00D529D0">
      <w:pPr>
        <w:pStyle w:val="Heading1"/>
        <w:rPr>
          <w:rFonts w:eastAsia="Times New Roman"/>
        </w:rPr>
      </w:pPr>
      <w:r w:rsidRPr="00EA7662">
        <w:rPr>
          <w:rFonts w:eastAsia="Times New Roman"/>
        </w:rPr>
        <w:t>Dealer Banks and their Relation to the Recent Problems Affecting Money Markets in 2007-08</w:t>
      </w:r>
    </w:p>
    <w:p w14:paraId="798E3B08" w14:textId="77777777" w:rsidR="00EA7662" w:rsidRPr="00EA7662" w:rsidRDefault="00EA7662" w:rsidP="00D529D0">
      <w:pPr>
        <w:spacing w:after="0" w:line="360" w:lineRule="auto"/>
        <w:jc w:val="both"/>
        <w:rPr>
          <w:rFonts w:ascii="Sylfaen" w:eastAsia="Calibri" w:hAnsi="Sylfaen" w:cs="Times New Roman"/>
        </w:rPr>
      </w:pPr>
      <w:r w:rsidRPr="00EA7662">
        <w:rPr>
          <w:rFonts w:ascii="Sylfaen" w:eastAsia="Calibri" w:hAnsi="Sylfaen" w:cs="Times New Roman"/>
        </w:rPr>
        <w:t xml:space="preserve">During the recent financial crisis, major dealer banks played an influential role in the collapse of the money market. The dealer bank acts as intermediary in the securities market. In substance, they </w:t>
      </w:r>
      <w:r w:rsidRPr="00EA7662">
        <w:rPr>
          <w:rFonts w:ascii="Sylfaen" w:eastAsia="Calibri" w:hAnsi="Sylfaen" w:cs="Times New Roman"/>
        </w:rPr>
        <w:lastRenderedPageBreak/>
        <w:t xml:space="preserve">are often part of large financial organizations whose failures can cause significant damage to the economy. As a result, dealer banks, to some extent, are called ‘”too big to fail” and their actions need to be taken seriously in order to avoid collapse within the money market. </w:t>
      </w:r>
    </w:p>
    <w:p w14:paraId="607B9AEA" w14:textId="77777777" w:rsidR="00EA7662" w:rsidRPr="00EA7662" w:rsidRDefault="00EA7662" w:rsidP="00D529D0">
      <w:pPr>
        <w:spacing w:after="0" w:line="360" w:lineRule="auto"/>
        <w:jc w:val="both"/>
        <w:rPr>
          <w:rFonts w:ascii="Sylfaen" w:eastAsia="Calibri" w:hAnsi="Sylfaen" w:cs="Times New Roman"/>
        </w:rPr>
      </w:pPr>
    </w:p>
    <w:p w14:paraId="00F2EA57" w14:textId="77777777" w:rsidR="00EA7662" w:rsidRPr="00EA7662" w:rsidRDefault="00EA7662" w:rsidP="00D529D0">
      <w:pPr>
        <w:spacing w:after="0" w:line="360" w:lineRule="auto"/>
        <w:jc w:val="both"/>
        <w:rPr>
          <w:rFonts w:ascii="Sylfaen" w:eastAsia="Calibri" w:hAnsi="Sylfaen" w:cs="Times New Roman"/>
        </w:rPr>
      </w:pPr>
      <w:r w:rsidRPr="00EA7662">
        <w:rPr>
          <w:rFonts w:ascii="Sylfaen" w:eastAsia="Calibri" w:hAnsi="Sylfaen" w:cs="Times New Roman"/>
        </w:rPr>
        <w:t xml:space="preserve">In his research paper, </w:t>
      </w:r>
      <w:proofErr w:type="spellStart"/>
      <w:r w:rsidRPr="00EA7662">
        <w:rPr>
          <w:rFonts w:ascii="Sylfaen" w:eastAsia="Calibri" w:hAnsi="Sylfaen" w:cs="Times New Roman"/>
        </w:rPr>
        <w:t>Duffie</w:t>
      </w:r>
      <w:proofErr w:type="spellEnd"/>
      <w:r w:rsidRPr="00EA7662">
        <w:rPr>
          <w:rFonts w:ascii="Sylfaen" w:eastAsia="Calibri" w:hAnsi="Sylfaen" w:cs="Times New Roman"/>
        </w:rPr>
        <w:t xml:space="preserve"> (2010) argues that, in the primary market, the dealer bank sometimes acts as an underwriter that effectively buys equities (the value of the shares issued by a company) or bonds (an agreement with legal force) from an issuer and then sells them after a time to investors. In secondary markets, dealer banks set a ‘bid’ and ‘offer’ price at which they will trade, making profit from the difference between the two prices. Dealer banks dominate the intermediation over-the-counter securities market, covering bonds issued by corporations, municipalities, certain national governments, and securitized credit products. Securities dealers also intermediate in the market for repurchase agreements.</w:t>
      </w:r>
    </w:p>
    <w:p w14:paraId="0214AB3B" w14:textId="77777777" w:rsidR="00EA7662" w:rsidRPr="00EA7662" w:rsidRDefault="00EA7662" w:rsidP="00D529D0">
      <w:pPr>
        <w:spacing w:after="0" w:line="360" w:lineRule="auto"/>
        <w:jc w:val="both"/>
        <w:rPr>
          <w:rFonts w:ascii="Sylfaen" w:eastAsia="Calibri" w:hAnsi="Sylfaen" w:cs="Times New Roman"/>
        </w:rPr>
      </w:pPr>
    </w:p>
    <w:p w14:paraId="6DF99C92" w14:textId="77777777" w:rsidR="00EA7662" w:rsidRPr="00EA7662" w:rsidRDefault="00EA7662" w:rsidP="00D529D0">
      <w:pPr>
        <w:spacing w:after="0" w:line="360" w:lineRule="auto"/>
        <w:jc w:val="both"/>
        <w:rPr>
          <w:rFonts w:ascii="Sylfaen" w:eastAsia="Calibri" w:hAnsi="Sylfaen" w:cs="Times New Roman"/>
        </w:rPr>
      </w:pPr>
      <w:r w:rsidRPr="00EA7662">
        <w:rPr>
          <w:rFonts w:ascii="Sylfaen" w:eastAsia="Calibri" w:hAnsi="Sylfaen" w:cs="Times New Roman"/>
        </w:rPr>
        <w:t xml:space="preserve">With the purpose to illustrate and give a better indication of the whole situation, the chart below demonstrates that dealer banks tend to generate stocks of collateral in excess of their total balance sheet during periods with stable market conditions. The chart depicts a starting value of around $2.5 trillion in 2005 </w:t>
      </w:r>
      <w:proofErr w:type="gramStart"/>
      <w:r w:rsidRPr="00EA7662">
        <w:rPr>
          <w:rFonts w:ascii="Sylfaen" w:eastAsia="Calibri" w:hAnsi="Sylfaen" w:cs="Times New Roman"/>
        </w:rPr>
        <w:t>Q1, that</w:t>
      </w:r>
      <w:proofErr w:type="gramEnd"/>
      <w:r w:rsidRPr="00EA7662">
        <w:rPr>
          <w:rFonts w:ascii="Sylfaen" w:eastAsia="Calibri" w:hAnsi="Sylfaen" w:cs="Times New Roman"/>
        </w:rPr>
        <w:t xml:space="preserve"> reaches a peak of approximately $4 trillion in 2008 Q1 </w:t>
      </w:r>
      <w:r w:rsidRPr="00EA7662">
        <w:rPr>
          <w:rFonts w:ascii="Sylfaen" w:eastAsia="Calibri" w:hAnsi="Sylfaen" w:cs="Times New Roman"/>
          <w:noProof/>
        </w:rPr>
        <w:t>(Kirk, 2014).</w:t>
      </w:r>
    </w:p>
    <w:p w14:paraId="43FF8125" w14:textId="77777777" w:rsidR="009E018C" w:rsidRDefault="00EA7662" w:rsidP="009E018C">
      <w:pPr>
        <w:keepNext/>
        <w:spacing w:after="0" w:line="360" w:lineRule="auto"/>
        <w:jc w:val="center"/>
      </w:pPr>
      <w:r w:rsidRPr="00EA7662">
        <w:rPr>
          <w:rFonts w:ascii="Calibri" w:eastAsia="Calibri" w:hAnsi="Calibri" w:cs="Times New Roman"/>
          <w:noProof/>
          <w:lang w:eastAsia="en-GB"/>
        </w:rPr>
        <w:drawing>
          <wp:inline distT="0" distB="0" distL="0" distR="0" wp14:anchorId="49D89C8F" wp14:editId="76BA424F">
            <wp:extent cx="4655127" cy="3048000"/>
            <wp:effectExtent l="0" t="0" r="0" b="0"/>
            <wp:docPr id="12" name="Picture 8" descr="The trend of collateral stock range is shown to be similar to the pattern of total assets, but rougly 1000 billion US dollars higher until mid-way through 2008, when the numbers become more similar. " title="Collateral-Stock-Relative-to-Total-As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lateral-Stock-Relative-to-Total-Asse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5127" cy="3048000"/>
                    </a:xfrm>
                    <a:prstGeom prst="rect">
                      <a:avLst/>
                    </a:prstGeom>
                    <a:noFill/>
                    <a:ln>
                      <a:noFill/>
                    </a:ln>
                  </pic:spPr>
                </pic:pic>
              </a:graphicData>
            </a:graphic>
          </wp:inline>
        </w:drawing>
      </w:r>
    </w:p>
    <w:p w14:paraId="1BF883D7" w14:textId="652B17B4" w:rsidR="00EA7662" w:rsidRPr="009E018C" w:rsidRDefault="009E018C" w:rsidP="009E018C">
      <w:pPr>
        <w:pStyle w:val="Caption"/>
        <w:jc w:val="center"/>
        <w:rPr>
          <w:rFonts w:ascii="Sylfaen" w:eastAsia="Calibri" w:hAnsi="Sylfaen" w:cs="Times New Roman"/>
          <w:color w:val="auto"/>
          <w:sz w:val="28"/>
          <w:szCs w:val="28"/>
        </w:rPr>
      </w:pPr>
      <w:r w:rsidRPr="009E018C">
        <w:rPr>
          <w:rFonts w:ascii="Sylfaen" w:hAnsi="Sylfaen"/>
          <w:color w:val="auto"/>
          <w:sz w:val="20"/>
          <w:szCs w:val="20"/>
        </w:rPr>
        <w:t xml:space="preserve">Figure </w:t>
      </w:r>
      <w:r w:rsidRPr="009E018C">
        <w:rPr>
          <w:rFonts w:ascii="Sylfaen" w:hAnsi="Sylfaen"/>
          <w:color w:val="auto"/>
          <w:sz w:val="20"/>
          <w:szCs w:val="20"/>
        </w:rPr>
        <w:fldChar w:fldCharType="begin"/>
      </w:r>
      <w:r w:rsidRPr="009E018C">
        <w:rPr>
          <w:rFonts w:ascii="Sylfaen" w:hAnsi="Sylfaen"/>
          <w:color w:val="auto"/>
          <w:sz w:val="20"/>
          <w:szCs w:val="20"/>
        </w:rPr>
        <w:instrText xml:space="preserve"> SEQ Figure \* ARABIC </w:instrText>
      </w:r>
      <w:r w:rsidRPr="009E018C">
        <w:rPr>
          <w:rFonts w:ascii="Sylfaen" w:hAnsi="Sylfaen"/>
          <w:color w:val="auto"/>
          <w:sz w:val="20"/>
          <w:szCs w:val="20"/>
        </w:rPr>
        <w:fldChar w:fldCharType="separate"/>
      </w:r>
      <w:r w:rsidR="000533B2">
        <w:rPr>
          <w:rFonts w:ascii="Sylfaen" w:hAnsi="Sylfaen"/>
          <w:noProof/>
          <w:color w:val="auto"/>
          <w:sz w:val="20"/>
          <w:szCs w:val="20"/>
        </w:rPr>
        <w:t>4</w:t>
      </w:r>
      <w:r w:rsidRPr="009E018C">
        <w:rPr>
          <w:rFonts w:ascii="Sylfaen" w:hAnsi="Sylfaen"/>
          <w:color w:val="auto"/>
          <w:sz w:val="20"/>
          <w:szCs w:val="20"/>
        </w:rPr>
        <w:fldChar w:fldCharType="end"/>
      </w:r>
      <w:r w:rsidRPr="009E018C">
        <w:rPr>
          <w:rFonts w:ascii="Sylfaen" w:hAnsi="Sylfaen"/>
          <w:color w:val="auto"/>
          <w:sz w:val="20"/>
          <w:szCs w:val="20"/>
        </w:rPr>
        <w:t xml:space="preserve"> Collateral Stock Relative to Total Assets (Source: Kirk, 2014)</w:t>
      </w:r>
    </w:p>
    <w:p w14:paraId="0A63F152" w14:textId="77777777" w:rsidR="00D529D0" w:rsidRPr="00D529D0" w:rsidRDefault="00D529D0" w:rsidP="00D529D0">
      <w:pPr>
        <w:spacing w:after="0" w:line="360" w:lineRule="auto"/>
        <w:jc w:val="center"/>
        <w:rPr>
          <w:rFonts w:ascii="Sylfaen" w:eastAsia="Calibri" w:hAnsi="Sylfaen" w:cs="Times New Roman"/>
          <w:sz w:val="20"/>
          <w:szCs w:val="24"/>
        </w:rPr>
      </w:pPr>
    </w:p>
    <w:p w14:paraId="21416F92" w14:textId="420A8A92" w:rsidR="00EA7662" w:rsidRPr="00EA7662" w:rsidRDefault="00EA7662" w:rsidP="00D529D0">
      <w:pPr>
        <w:pStyle w:val="Heading1"/>
        <w:rPr>
          <w:rFonts w:eastAsia="Times New Roman"/>
        </w:rPr>
      </w:pPr>
      <w:r w:rsidRPr="00EA7662">
        <w:rPr>
          <w:rFonts w:eastAsia="Times New Roman"/>
        </w:rPr>
        <w:lastRenderedPageBreak/>
        <w:t>How a Bank Run Arises?</w:t>
      </w:r>
    </w:p>
    <w:p w14:paraId="6661E7BD" w14:textId="77777777" w:rsidR="00EA7662" w:rsidRPr="00EA7662" w:rsidRDefault="00EA7662" w:rsidP="00D529D0">
      <w:pPr>
        <w:spacing w:after="0" w:line="360" w:lineRule="auto"/>
        <w:jc w:val="both"/>
        <w:rPr>
          <w:rFonts w:ascii="Sylfaen" w:eastAsia="Calibri" w:hAnsi="Sylfaen" w:cs="Times New Roman"/>
        </w:rPr>
      </w:pPr>
      <w:r w:rsidRPr="00EA7662">
        <w:rPr>
          <w:rFonts w:ascii="Sylfaen" w:eastAsia="Calibri" w:hAnsi="Sylfaen" w:cs="Times New Roman"/>
        </w:rPr>
        <w:t xml:space="preserve">To begin, bank runs occur when a large number of bank customers withdraw their deposits simultaneously, perhaps due to concerns about the bank’s solvency. A bank run is typically the result of panic, rather than actual insolvency. Once an amount of money </w:t>
      </w:r>
      <w:proofErr w:type="gramStart"/>
      <w:r w:rsidRPr="00EA7662">
        <w:rPr>
          <w:rFonts w:ascii="Sylfaen" w:eastAsia="Calibri" w:hAnsi="Sylfaen" w:cs="Times New Roman"/>
        </w:rPr>
        <w:t>is deposited</w:t>
      </w:r>
      <w:proofErr w:type="gramEnd"/>
      <w:r w:rsidRPr="00EA7662">
        <w:rPr>
          <w:rFonts w:ascii="Sylfaen" w:eastAsia="Calibri" w:hAnsi="Sylfaen" w:cs="Times New Roman"/>
        </w:rPr>
        <w:t xml:space="preserve"> into the bank, it goes into a large pool of money alongside everyone else’s. All banks have reserve requirements; </w:t>
      </w:r>
      <w:proofErr w:type="gramStart"/>
      <w:r w:rsidRPr="00EA7662">
        <w:rPr>
          <w:rFonts w:ascii="Sylfaen" w:eastAsia="Calibri" w:hAnsi="Sylfaen" w:cs="Times New Roman"/>
        </w:rPr>
        <w:t>therefore</w:t>
      </w:r>
      <w:proofErr w:type="gramEnd"/>
      <w:r w:rsidRPr="00EA7662">
        <w:rPr>
          <w:rFonts w:ascii="Sylfaen" w:eastAsia="Calibri" w:hAnsi="Sylfaen" w:cs="Times New Roman"/>
        </w:rPr>
        <w:t xml:space="preserve"> some fraction of the money must be kept while the rest is used to make loans. Reserve requirements are vital in order to avoid a traditional-banking run, which occurs when deposits </w:t>
      </w:r>
      <w:proofErr w:type="gramStart"/>
      <w:r w:rsidRPr="00EA7662">
        <w:rPr>
          <w:rFonts w:ascii="Sylfaen" w:eastAsia="Calibri" w:hAnsi="Sylfaen" w:cs="Times New Roman"/>
        </w:rPr>
        <w:t>are withdrawn</w:t>
      </w:r>
      <w:proofErr w:type="gramEnd"/>
      <w:r w:rsidRPr="00EA7662">
        <w:rPr>
          <w:rFonts w:ascii="Sylfaen" w:eastAsia="Calibri" w:hAnsi="Sylfaen" w:cs="Times New Roman"/>
        </w:rPr>
        <w:t xml:space="preserve"> at the same time. </w:t>
      </w:r>
      <w:r w:rsidRPr="00EA7662">
        <w:rPr>
          <w:rFonts w:ascii="Sylfaen" w:eastAsia="Calibri" w:hAnsi="Sylfaen" w:cs="Times New Roman"/>
          <w:color w:val="000000"/>
        </w:rPr>
        <w:t xml:space="preserve">Furthermore, securitized banking, or the shadow banking system as Bernanke (2012) defined, is a diverse set of institutions and markets that conduct traditional banking functions. After the recent problems in money markets </w:t>
      </w:r>
      <w:proofErr w:type="gramStart"/>
      <w:r w:rsidRPr="00EA7662">
        <w:rPr>
          <w:rFonts w:ascii="Sylfaen" w:eastAsia="Calibri" w:hAnsi="Sylfaen" w:cs="Times New Roman"/>
          <w:color w:val="000000"/>
        </w:rPr>
        <w:t>between 2007-08,</w:t>
      </w:r>
      <w:proofErr w:type="gramEnd"/>
      <w:r w:rsidRPr="00EA7662">
        <w:rPr>
          <w:rFonts w:ascii="Sylfaen" w:eastAsia="Calibri" w:hAnsi="Sylfaen" w:cs="Times New Roman"/>
          <w:color w:val="000000"/>
        </w:rPr>
        <w:t xml:space="preserve"> it can be stated that ‘‘the biggest threat to the financial system during the crisis was the run of the repurchase market, especially the tri-party operation. Bernanke repeatedly returned to the repo theme, urging the commissioners to include the run on the repurchase market in their research into the causes of the crisis’’ </w:t>
      </w:r>
      <w:r w:rsidRPr="00EA7662">
        <w:rPr>
          <w:rFonts w:ascii="Sylfaen" w:eastAsia="Calibri" w:hAnsi="Sylfaen" w:cs="Times New Roman"/>
          <w:noProof/>
          <w:color w:val="000000"/>
        </w:rPr>
        <w:t>(Bernanke, 2009, p. 1)</w:t>
      </w:r>
      <w:r w:rsidRPr="00EA7662">
        <w:rPr>
          <w:rFonts w:ascii="Sylfaen" w:eastAsia="Calibri" w:hAnsi="Sylfaen" w:cs="Times New Roman"/>
          <w:color w:val="000000"/>
        </w:rPr>
        <w:t>.</w:t>
      </w:r>
    </w:p>
    <w:p w14:paraId="5504243C" w14:textId="77777777" w:rsidR="00EA7662" w:rsidRPr="00EA7662" w:rsidRDefault="00EA7662" w:rsidP="00D529D0">
      <w:pPr>
        <w:autoSpaceDE w:val="0"/>
        <w:autoSpaceDN w:val="0"/>
        <w:adjustRightInd w:val="0"/>
        <w:spacing w:after="0" w:line="360" w:lineRule="auto"/>
        <w:jc w:val="both"/>
        <w:rPr>
          <w:rFonts w:ascii="Sylfaen" w:eastAsia="Calibri" w:hAnsi="Sylfaen" w:cs="Times New Roman"/>
          <w:color w:val="000000"/>
        </w:rPr>
      </w:pPr>
    </w:p>
    <w:p w14:paraId="1AEF0530" w14:textId="77777777" w:rsidR="00EA7662" w:rsidRPr="00EA7662" w:rsidRDefault="00EA7662" w:rsidP="00D529D0">
      <w:pPr>
        <w:autoSpaceDE w:val="0"/>
        <w:autoSpaceDN w:val="0"/>
        <w:adjustRightInd w:val="0"/>
        <w:spacing w:after="0" w:line="360" w:lineRule="auto"/>
        <w:jc w:val="both"/>
        <w:rPr>
          <w:rFonts w:ascii="Sylfaen" w:eastAsia="Calibri" w:hAnsi="Sylfaen" w:cs="Times New Roman"/>
        </w:rPr>
      </w:pPr>
      <w:r w:rsidRPr="00EA7662">
        <w:rPr>
          <w:rFonts w:ascii="Sylfaen" w:eastAsia="Calibri" w:hAnsi="Sylfaen" w:cs="Times New Roman"/>
          <w:color w:val="000000"/>
        </w:rPr>
        <w:t xml:space="preserve">This section is based primarily upon the research of Gorton and </w:t>
      </w:r>
      <w:proofErr w:type="spellStart"/>
      <w:r w:rsidRPr="00EA7662">
        <w:rPr>
          <w:rFonts w:ascii="Sylfaen" w:eastAsia="Calibri" w:hAnsi="Sylfaen" w:cs="Times New Roman"/>
          <w:color w:val="000000"/>
        </w:rPr>
        <w:t>Metrick</w:t>
      </w:r>
      <w:proofErr w:type="spellEnd"/>
      <w:r w:rsidRPr="00EA7662">
        <w:rPr>
          <w:rFonts w:ascii="Sylfaen" w:eastAsia="Calibri" w:hAnsi="Sylfaen" w:cs="Times New Roman"/>
          <w:color w:val="000000"/>
        </w:rPr>
        <w:t xml:space="preserve"> (2009), which distinguished between traditional and securities banking’s.</w:t>
      </w:r>
      <w:r w:rsidRPr="00EA7662">
        <w:rPr>
          <w:rFonts w:ascii="Sylfaen" w:eastAsia="Calibri" w:hAnsi="Sylfaen" w:cs="Times New Roman"/>
        </w:rPr>
        <w:t xml:space="preserve"> In the traditional-banking system, </w:t>
      </w:r>
      <w:proofErr w:type="gramStart"/>
      <w:r w:rsidRPr="00EA7662">
        <w:rPr>
          <w:rFonts w:ascii="Sylfaen" w:eastAsia="Calibri" w:hAnsi="Sylfaen" w:cs="Times New Roman"/>
        </w:rPr>
        <w:t>deposits are insured by the government as illustrated in Figure 1</w:t>
      </w:r>
      <w:proofErr w:type="gramEnd"/>
      <w:r w:rsidRPr="00EA7662">
        <w:rPr>
          <w:rFonts w:ascii="Sylfaen" w:eastAsia="Calibri" w:hAnsi="Sylfaen" w:cs="Times New Roman"/>
        </w:rPr>
        <w:t xml:space="preserve">. The investors are willing to receive similar protection to that of the traditional banking system; therefore, the investor receives collateral in Step 1 of Figure 2. In practice, this is what </w:t>
      </w:r>
      <w:proofErr w:type="gramStart"/>
      <w:r w:rsidRPr="00EA7662">
        <w:rPr>
          <w:rFonts w:ascii="Sylfaen" w:eastAsia="Calibri" w:hAnsi="Sylfaen" w:cs="Times New Roman"/>
        </w:rPr>
        <w:t>is called</w:t>
      </w:r>
      <w:proofErr w:type="gramEnd"/>
      <w:r w:rsidRPr="00EA7662">
        <w:rPr>
          <w:rFonts w:ascii="Sylfaen" w:eastAsia="Calibri" w:hAnsi="Sylfaen" w:cs="Times New Roman"/>
        </w:rPr>
        <w:t xml:space="preserve"> “repo agreement”.</w:t>
      </w:r>
      <w:r w:rsidRPr="00EA7662">
        <w:rPr>
          <w:rFonts w:ascii="Sylfaen" w:eastAsia="Calibri" w:hAnsi="Sylfaen" w:cs="Times New Roman"/>
          <w:color w:val="000000"/>
        </w:rPr>
        <w:t xml:space="preserve"> ‘‘Haircut’’ is the difference between the initial and the repurchase prices. It provides the investor with some protection, should the securities (collateral) fall in value before repurchase.</w:t>
      </w:r>
    </w:p>
    <w:p w14:paraId="789E3507" w14:textId="2CA2093B" w:rsidR="00DA56DE" w:rsidRDefault="00B76FF5" w:rsidP="00B76FF5">
      <w:pPr>
        <w:keepNext/>
        <w:autoSpaceDE w:val="0"/>
        <w:autoSpaceDN w:val="0"/>
        <w:adjustRightInd w:val="0"/>
        <w:spacing w:after="0" w:line="360" w:lineRule="auto"/>
        <w:jc w:val="center"/>
      </w:pPr>
      <w:r>
        <w:rPr>
          <w:noProof/>
          <w:lang w:eastAsia="en-GB"/>
        </w:rPr>
        <w:lastRenderedPageBreak/>
        <w:t>Differe</w:t>
      </w:r>
      <w:r w:rsidR="00DA56DE" w:rsidRPr="00DA56DE">
        <w:rPr>
          <w:noProof/>
          <w:lang w:eastAsia="en-GB"/>
        </w:rPr>
        <w:drawing>
          <wp:inline distT="0" distB="0" distL="0" distR="0" wp14:anchorId="23FE137D" wp14:editId="3192A2D1">
            <wp:extent cx="5731510" cy="3545205"/>
            <wp:effectExtent l="0" t="0" r="2540" b="0"/>
            <wp:docPr id="3" name="Picture 3" descr="The left diagram shows traditional banking, while the right diagram shows the more complex securitised banking. " title="Differences between traditional and securitised ba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545205"/>
                    </a:xfrm>
                    <a:prstGeom prst="rect">
                      <a:avLst/>
                    </a:prstGeom>
                  </pic:spPr>
                </pic:pic>
              </a:graphicData>
            </a:graphic>
          </wp:inline>
        </w:drawing>
      </w:r>
    </w:p>
    <w:p w14:paraId="04121C8C" w14:textId="074F888B" w:rsidR="00411F5B" w:rsidRDefault="00DA56DE" w:rsidP="00411F5B">
      <w:pPr>
        <w:pStyle w:val="Caption"/>
        <w:jc w:val="center"/>
        <w:rPr>
          <w:rFonts w:ascii="Sylfaen" w:eastAsia="Calibri" w:hAnsi="Sylfaen" w:cs="Times New Roman"/>
          <w:color w:val="auto"/>
          <w:sz w:val="28"/>
          <w:szCs w:val="28"/>
        </w:rPr>
      </w:pPr>
      <w:r w:rsidRPr="00DA56DE">
        <w:rPr>
          <w:rFonts w:ascii="Sylfaen" w:hAnsi="Sylfaen"/>
          <w:color w:val="auto"/>
          <w:sz w:val="20"/>
          <w:szCs w:val="20"/>
        </w:rPr>
        <w:t xml:space="preserve">Figure </w:t>
      </w:r>
      <w:r w:rsidRPr="00DA56DE">
        <w:rPr>
          <w:rFonts w:ascii="Sylfaen" w:hAnsi="Sylfaen"/>
          <w:color w:val="auto"/>
          <w:sz w:val="20"/>
          <w:szCs w:val="20"/>
        </w:rPr>
        <w:fldChar w:fldCharType="begin"/>
      </w:r>
      <w:r w:rsidRPr="00DA56DE">
        <w:rPr>
          <w:rFonts w:ascii="Sylfaen" w:hAnsi="Sylfaen"/>
          <w:color w:val="auto"/>
          <w:sz w:val="20"/>
          <w:szCs w:val="20"/>
        </w:rPr>
        <w:instrText xml:space="preserve"> SEQ Figure \* ARABIC </w:instrText>
      </w:r>
      <w:r w:rsidRPr="00DA56DE">
        <w:rPr>
          <w:rFonts w:ascii="Sylfaen" w:hAnsi="Sylfaen"/>
          <w:color w:val="auto"/>
          <w:sz w:val="20"/>
          <w:szCs w:val="20"/>
        </w:rPr>
        <w:fldChar w:fldCharType="separate"/>
      </w:r>
      <w:r w:rsidR="000533B2">
        <w:rPr>
          <w:rFonts w:ascii="Sylfaen" w:hAnsi="Sylfaen"/>
          <w:noProof/>
          <w:color w:val="auto"/>
          <w:sz w:val="20"/>
          <w:szCs w:val="20"/>
        </w:rPr>
        <w:t>5</w:t>
      </w:r>
      <w:r w:rsidRPr="00DA56DE">
        <w:rPr>
          <w:rFonts w:ascii="Sylfaen" w:hAnsi="Sylfaen"/>
          <w:color w:val="auto"/>
          <w:sz w:val="20"/>
          <w:szCs w:val="20"/>
        </w:rPr>
        <w:fldChar w:fldCharType="end"/>
      </w:r>
      <w:r w:rsidRPr="00DA56DE">
        <w:rPr>
          <w:rFonts w:ascii="Sylfaen" w:hAnsi="Sylfaen"/>
          <w:color w:val="auto"/>
          <w:sz w:val="20"/>
          <w:szCs w:val="20"/>
        </w:rPr>
        <w:t xml:space="preserve"> Differences between Traditional and Securitized Banking (Source: Gorton and </w:t>
      </w:r>
      <w:proofErr w:type="spellStart"/>
      <w:r w:rsidRPr="00DA56DE">
        <w:rPr>
          <w:rFonts w:ascii="Sylfaen" w:hAnsi="Sylfaen"/>
          <w:color w:val="auto"/>
          <w:sz w:val="20"/>
          <w:szCs w:val="20"/>
        </w:rPr>
        <w:t>Metrick</w:t>
      </w:r>
      <w:proofErr w:type="spellEnd"/>
      <w:r w:rsidRPr="00DA56DE">
        <w:rPr>
          <w:rFonts w:ascii="Sylfaen" w:hAnsi="Sylfaen"/>
          <w:color w:val="auto"/>
          <w:sz w:val="20"/>
          <w:szCs w:val="20"/>
        </w:rPr>
        <w:t>, 2009)</w:t>
      </w:r>
    </w:p>
    <w:p w14:paraId="54BE68EE" w14:textId="1407A358" w:rsidR="00D529D0" w:rsidRPr="00EA7662" w:rsidRDefault="00411F5B" w:rsidP="00411F5B">
      <w:pPr>
        <w:pStyle w:val="Caption"/>
        <w:jc w:val="center"/>
        <w:rPr>
          <w:rFonts w:ascii="Sylfaen" w:eastAsia="Calibri" w:hAnsi="Sylfaen" w:cs="Times New Roman"/>
          <w:sz w:val="20"/>
          <w:szCs w:val="24"/>
        </w:rPr>
      </w:pPr>
      <w:r w:rsidRPr="00EA7662">
        <w:rPr>
          <w:rFonts w:ascii="Sylfaen" w:eastAsia="Calibri" w:hAnsi="Sylfaen" w:cs="Times New Roman"/>
          <w:sz w:val="20"/>
          <w:szCs w:val="24"/>
        </w:rPr>
        <w:t xml:space="preserve"> </w:t>
      </w:r>
    </w:p>
    <w:p w14:paraId="32A2258E" w14:textId="77777777" w:rsidR="00EA7662" w:rsidRPr="00EA7662" w:rsidRDefault="00EA7662" w:rsidP="00D529D0">
      <w:pPr>
        <w:autoSpaceDE w:val="0"/>
        <w:autoSpaceDN w:val="0"/>
        <w:adjustRightInd w:val="0"/>
        <w:spacing w:after="0" w:line="360" w:lineRule="auto"/>
        <w:jc w:val="both"/>
        <w:rPr>
          <w:rFonts w:ascii="Sylfaen" w:eastAsia="Calibri" w:hAnsi="Sylfaen" w:cs="Times New Roman"/>
        </w:rPr>
      </w:pPr>
      <w:r w:rsidRPr="00EA7662">
        <w:rPr>
          <w:rFonts w:ascii="Sylfaen" w:eastAsia="Calibri" w:hAnsi="Sylfaen" w:cs="Times New Roman"/>
        </w:rPr>
        <w:t xml:space="preserve">The recent “run on repo” </w:t>
      </w:r>
      <w:proofErr w:type="gramStart"/>
      <w:r w:rsidRPr="00EA7662">
        <w:rPr>
          <w:rFonts w:ascii="Sylfaen" w:eastAsia="Calibri" w:hAnsi="Sylfaen" w:cs="Times New Roman"/>
        </w:rPr>
        <w:t>can be seen</w:t>
      </w:r>
      <w:proofErr w:type="gramEnd"/>
      <w:r w:rsidRPr="00EA7662">
        <w:rPr>
          <w:rFonts w:ascii="Sylfaen" w:eastAsia="Calibri" w:hAnsi="Sylfaen" w:cs="Times New Roman"/>
        </w:rPr>
        <w:t xml:space="preserve"> in the graph below, which plots a “haircut index” from 2007 to 2008. The index rose from </w:t>
      </w:r>
      <w:proofErr w:type="gramStart"/>
      <w:r w:rsidRPr="00EA7662">
        <w:rPr>
          <w:rFonts w:ascii="Sylfaen" w:eastAsia="Calibri" w:hAnsi="Sylfaen" w:cs="Times New Roman"/>
        </w:rPr>
        <w:t>0</w:t>
      </w:r>
      <w:proofErr w:type="gramEnd"/>
      <w:r w:rsidRPr="00EA7662">
        <w:rPr>
          <w:rFonts w:ascii="Sylfaen" w:eastAsia="Calibri" w:hAnsi="Sylfaen" w:cs="Times New Roman"/>
        </w:rPr>
        <w:t xml:space="preserve"> in 2007, to nearly 45% at the peak of the crisis in late 2008 (Gorton and </w:t>
      </w:r>
      <w:proofErr w:type="spellStart"/>
      <w:r w:rsidRPr="00EA7662">
        <w:rPr>
          <w:rFonts w:ascii="Sylfaen" w:eastAsia="Calibri" w:hAnsi="Sylfaen" w:cs="Times New Roman"/>
        </w:rPr>
        <w:t>Metrick</w:t>
      </w:r>
      <w:proofErr w:type="spellEnd"/>
      <w:r w:rsidRPr="00EA7662">
        <w:rPr>
          <w:rFonts w:ascii="Sylfaen" w:eastAsia="Calibri" w:hAnsi="Sylfaen" w:cs="Times New Roman"/>
        </w:rPr>
        <w:t>, 2009).</w:t>
      </w:r>
    </w:p>
    <w:p w14:paraId="51D6D86D" w14:textId="77777777" w:rsidR="00B76FF5" w:rsidRDefault="00EA7662" w:rsidP="00B76FF5">
      <w:pPr>
        <w:keepNext/>
        <w:autoSpaceDE w:val="0"/>
        <w:autoSpaceDN w:val="0"/>
        <w:adjustRightInd w:val="0"/>
        <w:spacing w:after="0" w:line="360" w:lineRule="auto"/>
        <w:jc w:val="center"/>
      </w:pPr>
      <w:r w:rsidRPr="00EA7662">
        <w:rPr>
          <w:rFonts w:ascii="Times New Roman" w:eastAsia="Calibri" w:hAnsi="Times New Roman" w:cs="Times New Roman"/>
          <w:noProof/>
          <w:sz w:val="24"/>
          <w:szCs w:val="24"/>
          <w:lang w:eastAsia="en-GB"/>
        </w:rPr>
        <w:drawing>
          <wp:inline distT="0" distB="0" distL="0" distR="0" wp14:anchorId="2A497F5D" wp14:editId="03584C51">
            <wp:extent cx="4619625" cy="2133600"/>
            <wp:effectExtent l="0" t="0" r="9525" b="0"/>
            <wp:docPr id="15" name="Picture 3" descr="A “haircut index” from 2007 to 2008. The index rose from 0 in 2007, to nearly 45% at the peak of the crisis in late 2008." title="Haircut index from 2007 t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9625" cy="2133600"/>
                    </a:xfrm>
                    <a:prstGeom prst="rect">
                      <a:avLst/>
                    </a:prstGeom>
                    <a:noFill/>
                    <a:ln>
                      <a:noFill/>
                    </a:ln>
                  </pic:spPr>
                </pic:pic>
              </a:graphicData>
            </a:graphic>
          </wp:inline>
        </w:drawing>
      </w:r>
    </w:p>
    <w:p w14:paraId="11879700" w14:textId="598F1C04" w:rsidR="00EA7662" w:rsidRPr="00B76FF5" w:rsidRDefault="00B76FF5" w:rsidP="00B76FF5">
      <w:pPr>
        <w:pStyle w:val="Caption"/>
        <w:jc w:val="center"/>
        <w:rPr>
          <w:rFonts w:ascii="Sylfaen" w:eastAsia="Calibri" w:hAnsi="Sylfaen" w:cs="Times New Roman"/>
          <w:color w:val="auto"/>
          <w:sz w:val="28"/>
          <w:szCs w:val="24"/>
        </w:rPr>
      </w:pPr>
      <w:r w:rsidRPr="00B76FF5">
        <w:rPr>
          <w:rFonts w:ascii="Sylfaen" w:hAnsi="Sylfaen"/>
          <w:color w:val="auto"/>
          <w:sz w:val="20"/>
        </w:rPr>
        <w:t xml:space="preserve">Figure </w:t>
      </w:r>
      <w:r w:rsidRPr="00B76FF5">
        <w:rPr>
          <w:rFonts w:ascii="Sylfaen" w:hAnsi="Sylfaen"/>
          <w:color w:val="auto"/>
          <w:sz w:val="20"/>
        </w:rPr>
        <w:fldChar w:fldCharType="begin"/>
      </w:r>
      <w:r w:rsidRPr="00B76FF5">
        <w:rPr>
          <w:rFonts w:ascii="Sylfaen" w:hAnsi="Sylfaen"/>
          <w:color w:val="auto"/>
          <w:sz w:val="20"/>
        </w:rPr>
        <w:instrText xml:space="preserve"> SEQ Figure \* ARABIC </w:instrText>
      </w:r>
      <w:r w:rsidRPr="00B76FF5">
        <w:rPr>
          <w:rFonts w:ascii="Sylfaen" w:hAnsi="Sylfaen"/>
          <w:color w:val="auto"/>
          <w:sz w:val="20"/>
        </w:rPr>
        <w:fldChar w:fldCharType="separate"/>
      </w:r>
      <w:r w:rsidR="000533B2">
        <w:rPr>
          <w:rFonts w:ascii="Sylfaen" w:hAnsi="Sylfaen"/>
          <w:noProof/>
          <w:color w:val="auto"/>
          <w:sz w:val="20"/>
        </w:rPr>
        <w:t>6</w:t>
      </w:r>
      <w:r w:rsidRPr="00B76FF5">
        <w:rPr>
          <w:rFonts w:ascii="Sylfaen" w:hAnsi="Sylfaen"/>
          <w:color w:val="auto"/>
          <w:sz w:val="20"/>
        </w:rPr>
        <w:fldChar w:fldCharType="end"/>
      </w:r>
      <w:r w:rsidRPr="00B76FF5">
        <w:rPr>
          <w:rFonts w:ascii="Sylfaen" w:hAnsi="Sylfaen"/>
          <w:color w:val="auto"/>
          <w:sz w:val="20"/>
        </w:rPr>
        <w:t xml:space="preserve"> Haircut Index from 2007 to 2009 (Source: Gorton and </w:t>
      </w:r>
      <w:proofErr w:type="spellStart"/>
      <w:r w:rsidRPr="00B76FF5">
        <w:rPr>
          <w:rFonts w:ascii="Sylfaen" w:hAnsi="Sylfaen"/>
          <w:color w:val="auto"/>
          <w:sz w:val="20"/>
        </w:rPr>
        <w:t>Metrick</w:t>
      </w:r>
      <w:proofErr w:type="spellEnd"/>
      <w:r w:rsidRPr="00B76FF5">
        <w:rPr>
          <w:rFonts w:ascii="Sylfaen" w:hAnsi="Sylfaen"/>
          <w:color w:val="auto"/>
          <w:sz w:val="20"/>
        </w:rPr>
        <w:t>, 2009)</w:t>
      </w:r>
    </w:p>
    <w:p w14:paraId="577B38C9" w14:textId="77777777" w:rsidR="00EA7662" w:rsidRPr="00EA7662" w:rsidRDefault="00EA7662" w:rsidP="00D529D0">
      <w:pPr>
        <w:spacing w:after="160" w:line="360" w:lineRule="auto"/>
        <w:jc w:val="center"/>
        <w:rPr>
          <w:rFonts w:ascii="Times New Roman" w:eastAsia="Calibri" w:hAnsi="Times New Roman" w:cs="Times New Roman"/>
          <w:b/>
          <w:sz w:val="18"/>
          <w:szCs w:val="18"/>
        </w:rPr>
      </w:pPr>
    </w:p>
    <w:p w14:paraId="4C600632" w14:textId="0C62FDF5" w:rsidR="00EA7662" w:rsidRDefault="00EA7662" w:rsidP="00D529D0">
      <w:pPr>
        <w:spacing w:after="0" w:line="360" w:lineRule="auto"/>
        <w:jc w:val="both"/>
        <w:rPr>
          <w:rFonts w:ascii="Sylfaen" w:eastAsia="Calibri" w:hAnsi="Sylfaen" w:cs="Times New Roman"/>
          <w:noProof/>
        </w:rPr>
      </w:pPr>
      <w:r w:rsidRPr="00EA7662">
        <w:rPr>
          <w:rFonts w:ascii="Sylfaen" w:eastAsia="Calibri" w:hAnsi="Sylfaen" w:cs="Times New Roman"/>
        </w:rPr>
        <w:lastRenderedPageBreak/>
        <w:t xml:space="preserve">Just after the announcement of Lehman Brothers Holdings Inc. bankruptcy, the “haircut index” increased sharply in September 2008: ‘”As much as $75 billion of Lehman Brothers Holdings Inc. value was destroyed by the unplanned and chaotic form of the firm’s bankruptcy filing in September, according to an internal analysis by the company’s restructuring advisers” </w:t>
      </w:r>
      <w:r w:rsidRPr="00EA7662">
        <w:rPr>
          <w:rFonts w:ascii="Sylfaen" w:eastAsia="Calibri" w:hAnsi="Sylfaen" w:cs="Times New Roman"/>
          <w:noProof/>
        </w:rPr>
        <w:t>(McCracken, 2008, p. 1).</w:t>
      </w:r>
    </w:p>
    <w:p w14:paraId="4CB558B9" w14:textId="77777777" w:rsidR="00B76FF5" w:rsidRPr="00EA7662" w:rsidRDefault="00B76FF5" w:rsidP="00D529D0">
      <w:pPr>
        <w:spacing w:after="0" w:line="360" w:lineRule="auto"/>
        <w:jc w:val="both"/>
        <w:rPr>
          <w:rFonts w:ascii="Sylfaen" w:eastAsia="Calibri" w:hAnsi="Sylfaen" w:cs="Times New Roman"/>
        </w:rPr>
      </w:pPr>
    </w:p>
    <w:p w14:paraId="1ADA8136" w14:textId="77777777" w:rsidR="00EA7662" w:rsidRPr="00EA7662" w:rsidRDefault="00EA7662" w:rsidP="00D529D0">
      <w:pPr>
        <w:spacing w:after="0" w:line="360" w:lineRule="auto"/>
        <w:jc w:val="both"/>
        <w:rPr>
          <w:rFonts w:ascii="Sylfaen" w:eastAsia="Calibri" w:hAnsi="Sylfaen" w:cs="Times New Roman"/>
        </w:rPr>
      </w:pPr>
      <w:r w:rsidRPr="00EA7662">
        <w:rPr>
          <w:rFonts w:ascii="Sylfaen" w:eastAsia="Calibri" w:hAnsi="Sylfaen" w:cs="Times New Roman"/>
        </w:rPr>
        <w:t xml:space="preserve">Haircuts for repos accurately reflect the overall situation in the recent market that was experiencing many problems. The table below depicts the difference between the typical haircuts rates applied before the peak and the rates during the financial crisis in March 2008. For example, looking at the </w:t>
      </w:r>
      <w:proofErr w:type="gramStart"/>
      <w:r w:rsidRPr="00EA7662">
        <w:rPr>
          <w:rFonts w:ascii="Sylfaen" w:eastAsia="Calibri" w:hAnsi="Sylfaen" w:cs="Times New Roman"/>
        </w:rPr>
        <w:t>long term</w:t>
      </w:r>
      <w:proofErr w:type="gramEnd"/>
      <w:r w:rsidRPr="00EA7662">
        <w:rPr>
          <w:rFonts w:ascii="Sylfaen" w:eastAsia="Calibri" w:hAnsi="Sylfaen" w:cs="Times New Roman"/>
        </w:rPr>
        <w:t xml:space="preserve"> investment, residential mortgage-backed securities, AAA (‘triple A’) would have witnessed a ten time increase in haircuts. </w:t>
      </w:r>
      <w:proofErr w:type="gramStart"/>
      <w:r w:rsidRPr="00EA7662">
        <w:rPr>
          <w:rFonts w:ascii="Sylfaen" w:eastAsia="Calibri" w:hAnsi="Sylfaen" w:cs="Times New Roman"/>
        </w:rPr>
        <w:t>As a consequence</w:t>
      </w:r>
      <w:proofErr w:type="gramEnd"/>
      <w:r w:rsidRPr="00EA7662">
        <w:rPr>
          <w:rFonts w:ascii="Sylfaen" w:eastAsia="Calibri" w:hAnsi="Sylfaen" w:cs="Times New Roman"/>
        </w:rPr>
        <w:t xml:space="preserve">, an increase in haircuts causes very substantial reductions in leverage. </w:t>
      </w:r>
      <w:proofErr w:type="gramStart"/>
      <w:r w:rsidRPr="00EA7662">
        <w:rPr>
          <w:rFonts w:ascii="Sylfaen" w:eastAsia="Calibri" w:hAnsi="Sylfaen" w:cs="Times New Roman"/>
        </w:rPr>
        <w:t>Leverage</w:t>
      </w:r>
      <w:proofErr w:type="gramEnd"/>
      <w:r w:rsidRPr="00EA7662">
        <w:rPr>
          <w:rFonts w:ascii="Sylfaen" w:eastAsia="Calibri" w:hAnsi="Sylfaen" w:cs="Times New Roman"/>
        </w:rPr>
        <w:t xml:space="preserve"> is the ratio of a company's loan capital (debt) to the value of its common stock (equity). This means that lower </w:t>
      </w:r>
      <w:proofErr w:type="gramStart"/>
      <w:r w:rsidRPr="00EA7662">
        <w:rPr>
          <w:rFonts w:ascii="Sylfaen" w:eastAsia="Calibri" w:hAnsi="Sylfaen" w:cs="Times New Roman"/>
        </w:rPr>
        <w:t>leverage</w:t>
      </w:r>
      <w:proofErr w:type="gramEnd"/>
      <w:r w:rsidRPr="00EA7662">
        <w:rPr>
          <w:rFonts w:ascii="Sylfaen" w:eastAsia="Calibri" w:hAnsi="Sylfaen" w:cs="Times New Roman"/>
        </w:rPr>
        <w:t xml:space="preserve"> involves buying less of an asset through use of borrowed funds </w:t>
      </w:r>
      <w:sdt>
        <w:sdtPr>
          <w:rPr>
            <w:rFonts w:ascii="Sylfaen" w:eastAsia="Calibri" w:hAnsi="Sylfaen" w:cs="Times New Roman"/>
          </w:rPr>
          <w:id w:val="-1703312644"/>
          <w:citation/>
        </w:sdtPr>
        <w:sdtEndPr/>
        <w:sdtContent>
          <w:r w:rsidRPr="00EA7662">
            <w:rPr>
              <w:rFonts w:ascii="Sylfaen" w:eastAsia="Calibri" w:hAnsi="Sylfaen" w:cs="Times New Roman"/>
            </w:rPr>
            <w:fldChar w:fldCharType="begin"/>
          </w:r>
          <w:r w:rsidRPr="00EA7662">
            <w:rPr>
              <w:rFonts w:ascii="Sylfaen" w:eastAsia="Calibri" w:hAnsi="Sylfaen" w:cs="Times New Roman"/>
            </w:rPr>
            <w:instrText xml:space="preserve"> CITATION Shi13 \l 2057 </w:instrText>
          </w:r>
          <w:r w:rsidRPr="00EA7662">
            <w:rPr>
              <w:rFonts w:ascii="Sylfaen" w:eastAsia="Calibri" w:hAnsi="Sylfaen" w:cs="Times New Roman"/>
            </w:rPr>
            <w:fldChar w:fldCharType="separate"/>
          </w:r>
          <w:r w:rsidRPr="00EA7662">
            <w:rPr>
              <w:rFonts w:ascii="Sylfaen" w:eastAsia="Calibri" w:hAnsi="Sylfaen" w:cs="Times New Roman"/>
              <w:noProof/>
            </w:rPr>
            <w:t>(Shin, 2009)</w:t>
          </w:r>
          <w:r w:rsidRPr="00EA7662">
            <w:rPr>
              <w:rFonts w:ascii="Sylfaen" w:eastAsia="Calibri" w:hAnsi="Sylfaen" w:cs="Times New Roman"/>
            </w:rPr>
            <w:fldChar w:fldCharType="end"/>
          </w:r>
        </w:sdtContent>
      </w:sdt>
      <w:r w:rsidRPr="00EA7662">
        <w:rPr>
          <w:rFonts w:ascii="Sylfaen" w:eastAsia="Calibri" w:hAnsi="Sylfaen" w:cs="Times New Roman"/>
        </w:rPr>
        <w:t>.</w:t>
      </w:r>
    </w:p>
    <w:p w14:paraId="4B9BAE50" w14:textId="77777777" w:rsidR="00EA7662" w:rsidRPr="00EA7662" w:rsidRDefault="00EA7662" w:rsidP="00D529D0">
      <w:pPr>
        <w:spacing w:after="0" w:line="360" w:lineRule="auto"/>
        <w:jc w:val="both"/>
        <w:rPr>
          <w:rFonts w:ascii="Sylfaen" w:eastAsia="Calibri" w:hAnsi="Sylfaen" w:cs="Times New Roman"/>
          <w:sz w:val="24"/>
          <w:szCs w:val="24"/>
        </w:rPr>
      </w:pPr>
    </w:p>
    <w:p w14:paraId="2799A278" w14:textId="77777777" w:rsidR="00B76FF5" w:rsidRDefault="00EA7662" w:rsidP="00B76FF5">
      <w:pPr>
        <w:keepNext/>
        <w:spacing w:after="0" w:line="360" w:lineRule="auto"/>
        <w:jc w:val="center"/>
      </w:pPr>
      <w:r w:rsidRPr="00EA7662">
        <w:rPr>
          <w:rFonts w:ascii="Calibri" w:eastAsia="Calibri" w:hAnsi="Calibri" w:cs="Times New Roman"/>
          <w:noProof/>
          <w:lang w:eastAsia="en-GB"/>
        </w:rPr>
        <w:drawing>
          <wp:inline distT="0" distB="0" distL="0" distR="0" wp14:anchorId="23B218DF" wp14:editId="3709597F">
            <wp:extent cx="5715000" cy="1857375"/>
            <wp:effectExtent l="0" t="0" r="0" b="9525"/>
            <wp:docPr id="16" name="Picture 9" descr="March 2008 haircuts were consistently higher than typical haircuts across the different types of security. " title="Haircuts for repos during March 200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trshsbyf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1857375"/>
                    </a:xfrm>
                    <a:prstGeom prst="rect">
                      <a:avLst/>
                    </a:prstGeom>
                    <a:noFill/>
                    <a:ln>
                      <a:noFill/>
                    </a:ln>
                  </pic:spPr>
                </pic:pic>
              </a:graphicData>
            </a:graphic>
          </wp:inline>
        </w:drawing>
      </w:r>
    </w:p>
    <w:p w14:paraId="2E7B07A8" w14:textId="6A29CC73" w:rsidR="00EA7662" w:rsidRPr="00B76FF5" w:rsidRDefault="00B76FF5" w:rsidP="00B76FF5">
      <w:pPr>
        <w:pStyle w:val="Caption"/>
        <w:jc w:val="center"/>
        <w:rPr>
          <w:rFonts w:ascii="Sylfaen" w:eastAsia="Calibri" w:hAnsi="Sylfaen" w:cs="Times New Roman"/>
          <w:color w:val="auto"/>
          <w:sz w:val="20"/>
        </w:rPr>
      </w:pPr>
      <w:r w:rsidRPr="00B76FF5">
        <w:rPr>
          <w:rFonts w:ascii="Sylfaen" w:hAnsi="Sylfaen"/>
          <w:color w:val="auto"/>
          <w:sz w:val="20"/>
        </w:rPr>
        <w:t xml:space="preserve">Figure </w:t>
      </w:r>
      <w:r w:rsidRPr="00B76FF5">
        <w:rPr>
          <w:rFonts w:ascii="Sylfaen" w:hAnsi="Sylfaen"/>
          <w:color w:val="auto"/>
          <w:sz w:val="20"/>
        </w:rPr>
        <w:fldChar w:fldCharType="begin"/>
      </w:r>
      <w:r w:rsidRPr="00B76FF5">
        <w:rPr>
          <w:rFonts w:ascii="Sylfaen" w:hAnsi="Sylfaen"/>
          <w:color w:val="auto"/>
          <w:sz w:val="20"/>
        </w:rPr>
        <w:instrText xml:space="preserve"> SEQ Figure \* ARABIC </w:instrText>
      </w:r>
      <w:r w:rsidRPr="00B76FF5">
        <w:rPr>
          <w:rFonts w:ascii="Sylfaen" w:hAnsi="Sylfaen"/>
          <w:color w:val="auto"/>
          <w:sz w:val="20"/>
        </w:rPr>
        <w:fldChar w:fldCharType="separate"/>
      </w:r>
      <w:r w:rsidR="000533B2">
        <w:rPr>
          <w:rFonts w:ascii="Sylfaen" w:hAnsi="Sylfaen"/>
          <w:noProof/>
          <w:color w:val="auto"/>
          <w:sz w:val="20"/>
        </w:rPr>
        <w:t>7</w:t>
      </w:r>
      <w:r w:rsidRPr="00B76FF5">
        <w:rPr>
          <w:rFonts w:ascii="Sylfaen" w:hAnsi="Sylfaen"/>
          <w:color w:val="auto"/>
          <w:sz w:val="20"/>
        </w:rPr>
        <w:fldChar w:fldCharType="end"/>
      </w:r>
      <w:r w:rsidRPr="00B76FF5">
        <w:rPr>
          <w:rFonts w:ascii="Sylfaen" w:hAnsi="Sylfaen"/>
          <w:color w:val="auto"/>
          <w:sz w:val="20"/>
        </w:rPr>
        <w:t xml:space="preserve"> Haircuts for repos during March 2008 (Source: Shin, 2009)</w:t>
      </w:r>
    </w:p>
    <w:p w14:paraId="291044E6" w14:textId="77777777" w:rsidR="00EA7662" w:rsidRPr="00EA7662" w:rsidRDefault="00EA7662" w:rsidP="00D529D0">
      <w:pPr>
        <w:spacing w:after="160" w:line="360" w:lineRule="auto"/>
        <w:jc w:val="both"/>
        <w:rPr>
          <w:rFonts w:ascii="Times New Roman" w:eastAsia="Calibri" w:hAnsi="Times New Roman" w:cs="Times New Roman"/>
          <w:b/>
          <w:sz w:val="18"/>
          <w:szCs w:val="18"/>
        </w:rPr>
      </w:pPr>
    </w:p>
    <w:p w14:paraId="703005EA" w14:textId="77777777" w:rsidR="00EA7662" w:rsidRPr="00EA7662" w:rsidRDefault="00EA7662" w:rsidP="00D529D0">
      <w:pPr>
        <w:spacing w:after="160" w:line="360" w:lineRule="auto"/>
        <w:jc w:val="both"/>
        <w:rPr>
          <w:rFonts w:ascii="Sylfaen" w:eastAsia="Calibri" w:hAnsi="Sylfaen" w:cs="Times New Roman"/>
        </w:rPr>
      </w:pPr>
      <w:r w:rsidRPr="00EA7662">
        <w:rPr>
          <w:rFonts w:ascii="Sylfaen" w:eastAsia="Calibri" w:hAnsi="Sylfaen" w:cs="Times New Roman"/>
        </w:rPr>
        <w:t xml:space="preserve">Further to analysis, </w:t>
      </w:r>
      <w:proofErr w:type="gramStart"/>
      <w:r w:rsidRPr="00EA7662">
        <w:rPr>
          <w:rFonts w:ascii="Sylfaen" w:eastAsia="Calibri" w:hAnsi="Sylfaen" w:cs="Times New Roman"/>
        </w:rPr>
        <w:t>in order to empirically assess</w:t>
      </w:r>
      <w:proofErr w:type="gramEnd"/>
      <w:r w:rsidRPr="00EA7662">
        <w:rPr>
          <w:rFonts w:ascii="Sylfaen" w:eastAsia="Calibri" w:hAnsi="Sylfaen" w:cs="Times New Roman"/>
        </w:rPr>
        <w:t xml:space="preserve"> the issue affecting the money markets, subtracting the interest rate on repos from LIBOR can be used as a good measure of risk.  The results </w:t>
      </w:r>
      <w:proofErr w:type="gramStart"/>
      <w:r w:rsidRPr="00EA7662">
        <w:rPr>
          <w:rFonts w:ascii="Sylfaen" w:eastAsia="Calibri" w:hAnsi="Sylfaen" w:cs="Times New Roman"/>
        </w:rPr>
        <w:t>are illustrated</w:t>
      </w:r>
      <w:proofErr w:type="gramEnd"/>
      <w:r w:rsidRPr="00EA7662">
        <w:rPr>
          <w:rFonts w:ascii="Sylfaen" w:eastAsia="Calibri" w:hAnsi="Sylfaen" w:cs="Times New Roman"/>
        </w:rPr>
        <w:t xml:space="preserve"> in the figure below which shows the high correlation between the unsecured-secured (Libor–repo) spread and the Libor-OIS spread (Libor-OIS is the difference between LIBOR and the </w:t>
      </w:r>
      <w:r w:rsidRPr="00EA7662">
        <w:rPr>
          <w:rFonts w:ascii="Sylfaen" w:eastAsia="Calibri" w:hAnsi="Sylfaen" w:cs="Times New Roman"/>
          <w:bCs/>
        </w:rPr>
        <w:t>overnight indexed swap</w:t>
      </w:r>
      <w:r w:rsidRPr="00EA7662">
        <w:rPr>
          <w:rFonts w:ascii="Sylfaen" w:eastAsia="Calibri" w:hAnsi="Sylfaen" w:cs="Times New Roman"/>
        </w:rPr>
        <w:t xml:space="preserve"> (</w:t>
      </w:r>
      <w:r w:rsidRPr="00EA7662">
        <w:rPr>
          <w:rFonts w:ascii="Sylfaen" w:eastAsia="Calibri" w:hAnsi="Sylfaen" w:cs="Times New Roman"/>
          <w:bCs/>
        </w:rPr>
        <w:t>OIS</w:t>
      </w:r>
      <w:r w:rsidRPr="00EA7662">
        <w:rPr>
          <w:rFonts w:ascii="Sylfaen" w:eastAsia="Calibri" w:hAnsi="Sylfaen" w:cs="Times New Roman"/>
        </w:rPr>
        <w:t xml:space="preserve">) rates). These results show </w:t>
      </w:r>
      <w:r w:rsidRPr="00EA7662">
        <w:rPr>
          <w:rFonts w:ascii="Sylfaen" w:eastAsia="Times New Roman" w:hAnsi="Sylfaen" w:cs="Times New Roman"/>
          <w:lang w:eastAsia="en-GB"/>
        </w:rPr>
        <w:t xml:space="preserve">that the market turmoil in the interbank market was not a liquidity problem of the kind that </w:t>
      </w:r>
      <w:proofErr w:type="gramStart"/>
      <w:r w:rsidRPr="00EA7662">
        <w:rPr>
          <w:rFonts w:ascii="Sylfaen" w:eastAsia="Times New Roman" w:hAnsi="Sylfaen" w:cs="Times New Roman"/>
          <w:lang w:eastAsia="en-GB"/>
        </w:rPr>
        <w:t>could be alleviated</w:t>
      </w:r>
      <w:proofErr w:type="gramEnd"/>
      <w:r w:rsidRPr="00EA7662">
        <w:rPr>
          <w:rFonts w:ascii="Sylfaen" w:eastAsia="Times New Roman" w:hAnsi="Sylfaen" w:cs="Times New Roman"/>
          <w:lang w:eastAsia="en-GB"/>
        </w:rPr>
        <w:t xml:space="preserve"> simply by central bank </w:t>
      </w:r>
      <w:r w:rsidRPr="00EA7662">
        <w:rPr>
          <w:rFonts w:ascii="Sylfaen" w:eastAsia="Times New Roman" w:hAnsi="Sylfaen" w:cs="Times New Roman"/>
          <w:lang w:eastAsia="en-GB"/>
        </w:rPr>
        <w:lastRenderedPageBreak/>
        <w:t xml:space="preserve">liquidity tools. Rather, it was inherently a counterparty risk issue </w:t>
      </w:r>
      <w:r w:rsidRPr="00EA7662">
        <w:rPr>
          <w:rFonts w:ascii="Sylfaen" w:eastAsia="Calibri" w:hAnsi="Sylfaen" w:cs="Times New Roman"/>
        </w:rPr>
        <w:t xml:space="preserve">(risk of the other side reneging), which linked back to the underlying cause of the financial crisis </w:t>
      </w:r>
      <w:sdt>
        <w:sdtPr>
          <w:rPr>
            <w:rFonts w:ascii="Sylfaen" w:eastAsia="Calibri" w:hAnsi="Sylfaen" w:cs="Times New Roman"/>
          </w:rPr>
          <w:id w:val="-831070337"/>
          <w:citation/>
        </w:sdtPr>
        <w:sdtEndPr/>
        <w:sdtContent>
          <w:r w:rsidRPr="00EA7662">
            <w:rPr>
              <w:rFonts w:ascii="Sylfaen" w:eastAsia="Calibri" w:hAnsi="Sylfaen" w:cs="Times New Roman"/>
            </w:rPr>
            <w:fldChar w:fldCharType="begin"/>
          </w:r>
          <w:r w:rsidRPr="00EA7662">
            <w:rPr>
              <w:rFonts w:ascii="Sylfaen" w:eastAsia="Calibri" w:hAnsi="Sylfaen" w:cs="Times New Roman"/>
            </w:rPr>
            <w:instrText xml:space="preserve"> CITATION Joh09 \l 2057 </w:instrText>
          </w:r>
          <w:r w:rsidRPr="00EA7662">
            <w:rPr>
              <w:rFonts w:ascii="Sylfaen" w:eastAsia="Calibri" w:hAnsi="Sylfaen" w:cs="Times New Roman"/>
            </w:rPr>
            <w:fldChar w:fldCharType="separate"/>
          </w:r>
          <w:r w:rsidRPr="00EA7662">
            <w:rPr>
              <w:rFonts w:ascii="Sylfaen" w:eastAsia="Calibri" w:hAnsi="Sylfaen" w:cs="Times New Roman"/>
              <w:noProof/>
            </w:rPr>
            <w:t>(Taylor, 2009)</w:t>
          </w:r>
          <w:r w:rsidRPr="00EA7662">
            <w:rPr>
              <w:rFonts w:ascii="Sylfaen" w:eastAsia="Calibri" w:hAnsi="Sylfaen" w:cs="Times New Roman"/>
            </w:rPr>
            <w:fldChar w:fldCharType="end"/>
          </w:r>
        </w:sdtContent>
      </w:sdt>
      <w:r w:rsidRPr="00EA7662">
        <w:rPr>
          <w:rFonts w:ascii="Sylfaen" w:eastAsia="Calibri" w:hAnsi="Sylfaen" w:cs="Times New Roman"/>
        </w:rPr>
        <w:t>.</w:t>
      </w:r>
    </w:p>
    <w:p w14:paraId="0378D8A9" w14:textId="77777777" w:rsidR="009E018C" w:rsidRDefault="00EA7662" w:rsidP="009E018C">
      <w:pPr>
        <w:keepNext/>
        <w:spacing w:after="160" w:line="360" w:lineRule="auto"/>
        <w:jc w:val="center"/>
      </w:pPr>
      <w:r w:rsidRPr="00EA7662">
        <w:rPr>
          <w:rFonts w:ascii="Calibri" w:eastAsia="Calibri" w:hAnsi="Calibri" w:cs="Times New Roman"/>
          <w:noProof/>
          <w:lang w:eastAsia="en-GB"/>
        </w:rPr>
        <w:drawing>
          <wp:inline distT="0" distB="0" distL="0" distR="0" wp14:anchorId="3ED87FF6" wp14:editId="0A2960B6">
            <wp:extent cx="4619625" cy="2428875"/>
            <wp:effectExtent l="0" t="0" r="9525" b="9525"/>
            <wp:docPr id="21" name="Picture 10" descr="Shows a high correlation between the Libor-repo and Libor OIS spreads from January 2007 to July 2008." title="Correlation between the Libor-repo and Libor OIS sprea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2428875"/>
                    </a:xfrm>
                    <a:prstGeom prst="rect">
                      <a:avLst/>
                    </a:prstGeom>
                    <a:noFill/>
                  </pic:spPr>
                </pic:pic>
              </a:graphicData>
            </a:graphic>
          </wp:inline>
        </w:drawing>
      </w:r>
    </w:p>
    <w:p w14:paraId="5363B859" w14:textId="3C51F4CB" w:rsidR="00EA7662" w:rsidRPr="009E018C" w:rsidRDefault="009E018C" w:rsidP="009E018C">
      <w:pPr>
        <w:pStyle w:val="Caption"/>
        <w:jc w:val="center"/>
        <w:rPr>
          <w:rFonts w:ascii="Sylfaen" w:eastAsia="Calibri" w:hAnsi="Sylfaen" w:cs="Times New Roman"/>
          <w:color w:val="auto"/>
          <w:sz w:val="28"/>
          <w:szCs w:val="28"/>
        </w:rPr>
      </w:pPr>
      <w:r w:rsidRPr="009E018C">
        <w:rPr>
          <w:rFonts w:ascii="Sylfaen" w:hAnsi="Sylfaen"/>
          <w:color w:val="auto"/>
          <w:sz w:val="20"/>
          <w:szCs w:val="20"/>
        </w:rPr>
        <w:t xml:space="preserve">Figure </w:t>
      </w:r>
      <w:r w:rsidRPr="009E018C">
        <w:rPr>
          <w:rFonts w:ascii="Sylfaen" w:hAnsi="Sylfaen"/>
          <w:color w:val="auto"/>
          <w:sz w:val="20"/>
          <w:szCs w:val="20"/>
        </w:rPr>
        <w:fldChar w:fldCharType="begin"/>
      </w:r>
      <w:r w:rsidRPr="009E018C">
        <w:rPr>
          <w:rFonts w:ascii="Sylfaen" w:hAnsi="Sylfaen"/>
          <w:color w:val="auto"/>
          <w:sz w:val="20"/>
          <w:szCs w:val="20"/>
        </w:rPr>
        <w:instrText xml:space="preserve"> SEQ Figure \* ARABIC </w:instrText>
      </w:r>
      <w:r w:rsidRPr="009E018C">
        <w:rPr>
          <w:rFonts w:ascii="Sylfaen" w:hAnsi="Sylfaen"/>
          <w:color w:val="auto"/>
          <w:sz w:val="20"/>
          <w:szCs w:val="20"/>
        </w:rPr>
        <w:fldChar w:fldCharType="separate"/>
      </w:r>
      <w:r w:rsidR="000533B2">
        <w:rPr>
          <w:rFonts w:ascii="Sylfaen" w:hAnsi="Sylfaen"/>
          <w:noProof/>
          <w:color w:val="auto"/>
          <w:sz w:val="20"/>
          <w:szCs w:val="20"/>
        </w:rPr>
        <w:t>8</w:t>
      </w:r>
      <w:r w:rsidRPr="009E018C">
        <w:rPr>
          <w:rFonts w:ascii="Sylfaen" w:hAnsi="Sylfaen"/>
          <w:color w:val="auto"/>
          <w:sz w:val="20"/>
          <w:szCs w:val="20"/>
        </w:rPr>
        <w:fldChar w:fldCharType="end"/>
      </w:r>
      <w:r w:rsidRPr="009E018C">
        <w:rPr>
          <w:rFonts w:ascii="Sylfaen" w:hAnsi="Sylfaen"/>
          <w:color w:val="auto"/>
          <w:sz w:val="20"/>
          <w:szCs w:val="20"/>
        </w:rPr>
        <w:t xml:space="preserve"> High correlation between the Libor-repo and Libor OIS spreads (Source: Taylor, 2009)</w:t>
      </w:r>
    </w:p>
    <w:p w14:paraId="211FBEFB" w14:textId="77777777" w:rsidR="00EA7662" w:rsidRPr="00EA7662" w:rsidRDefault="00EA7662" w:rsidP="00D529D0">
      <w:pPr>
        <w:spacing w:after="0" w:line="360" w:lineRule="auto"/>
        <w:jc w:val="both"/>
        <w:rPr>
          <w:rFonts w:ascii="Times New Roman" w:eastAsia="Times New Roman" w:hAnsi="Times New Roman" w:cs="Times New Roman"/>
          <w:b/>
          <w:sz w:val="20"/>
          <w:szCs w:val="24"/>
          <w:lang w:eastAsia="en-GB"/>
        </w:rPr>
      </w:pPr>
    </w:p>
    <w:p w14:paraId="2BF1AFDB" w14:textId="2CB97D21" w:rsidR="00EA7662" w:rsidRPr="00EA7662" w:rsidRDefault="00EA7662" w:rsidP="00D529D0">
      <w:pPr>
        <w:pStyle w:val="Heading1"/>
        <w:rPr>
          <w:rFonts w:eastAsia="Times New Roman"/>
        </w:rPr>
      </w:pPr>
      <w:r w:rsidRPr="00EA7662">
        <w:rPr>
          <w:rFonts w:eastAsia="Times New Roman"/>
        </w:rPr>
        <w:t>How the Phenomenon Affected the Money Markets?</w:t>
      </w:r>
    </w:p>
    <w:p w14:paraId="71F42944" w14:textId="77777777" w:rsidR="00EA7662" w:rsidRPr="00EA7662" w:rsidRDefault="00EA7662" w:rsidP="00D529D0">
      <w:pPr>
        <w:spacing w:after="0" w:line="360" w:lineRule="auto"/>
        <w:jc w:val="both"/>
        <w:rPr>
          <w:rFonts w:ascii="Sylfaen" w:eastAsia="Calibri" w:hAnsi="Sylfaen" w:cs="Times New Roman"/>
        </w:rPr>
      </w:pPr>
      <w:r w:rsidRPr="00EA7662">
        <w:rPr>
          <w:rFonts w:ascii="Sylfaen" w:eastAsia="Calibri" w:hAnsi="Sylfaen" w:cs="Times New Roman"/>
          <w:szCs w:val="20"/>
        </w:rPr>
        <w:t xml:space="preserve">The crisis was more severe than many were willing to accept and the effect on the global economy was the equivalent of the collapse of the banking system during the Great Depression. After the bankruptcy of Lehman Brothers on Monday, September 15, 2008, the consequences were disastrous; CDS </w:t>
      </w:r>
      <w:proofErr w:type="gramStart"/>
      <w:r w:rsidRPr="00EA7662">
        <w:rPr>
          <w:rFonts w:ascii="Sylfaen" w:eastAsia="Calibri" w:hAnsi="Sylfaen" w:cs="Times New Roman"/>
        </w:rPr>
        <w:t>went through the roof</w:t>
      </w:r>
      <w:proofErr w:type="gramEnd"/>
      <w:r w:rsidRPr="00EA7662">
        <w:rPr>
          <w:rFonts w:ascii="Sylfaen" w:eastAsia="Calibri" w:hAnsi="Sylfaen" w:cs="Times New Roman"/>
        </w:rPr>
        <w:t xml:space="preserve">, and American International Group (AIG), an American multinational insurance corporation that carried a large short position in CDSs, was facing imminent default. </w:t>
      </w:r>
      <w:proofErr w:type="gramStart"/>
      <w:r w:rsidRPr="00EA7662">
        <w:rPr>
          <w:rFonts w:ascii="Sylfaen" w:eastAsia="Calibri" w:hAnsi="Sylfaen" w:cs="Times New Roman"/>
        </w:rPr>
        <w:t>Rescue actions were taken by the Treasury Secretary Henry Paulson</w:t>
      </w:r>
      <w:proofErr w:type="gramEnd"/>
      <w:r w:rsidRPr="00EA7662">
        <w:rPr>
          <w:rFonts w:ascii="Sylfaen" w:eastAsia="Calibri" w:hAnsi="Sylfaen" w:cs="Times New Roman"/>
        </w:rPr>
        <w:t>, albeit on extremely punitive terms.</w:t>
      </w:r>
      <w:r w:rsidRPr="00EA7662">
        <w:rPr>
          <w:rFonts w:ascii="Sylfaen" w:eastAsia="Calibri" w:hAnsi="Sylfaen" w:cs="Times New Roman"/>
          <w:szCs w:val="20"/>
        </w:rPr>
        <w:t xml:space="preserve"> </w:t>
      </w:r>
      <w:r w:rsidRPr="00EA7662">
        <w:rPr>
          <w:rFonts w:ascii="Sylfaen" w:eastAsia="Calibri" w:hAnsi="Sylfaen" w:cs="Times New Roman"/>
          <w:noProof/>
          <w:szCs w:val="20"/>
        </w:rPr>
        <w:t>(Soros, 2009)</w:t>
      </w:r>
    </w:p>
    <w:p w14:paraId="3EE00532" w14:textId="77777777" w:rsidR="00EA7662" w:rsidRPr="00EA7662" w:rsidRDefault="00EA7662" w:rsidP="00D529D0">
      <w:pPr>
        <w:spacing w:after="0" w:line="360" w:lineRule="auto"/>
        <w:jc w:val="both"/>
        <w:rPr>
          <w:rFonts w:ascii="Sylfaen" w:eastAsia="Calibri" w:hAnsi="Sylfaen" w:cs="Times New Roman"/>
        </w:rPr>
      </w:pPr>
      <w:r w:rsidRPr="00EA7662">
        <w:rPr>
          <w:rFonts w:ascii="Sylfaen" w:eastAsia="Calibri" w:hAnsi="Sylfaen" w:cs="Times New Roman"/>
        </w:rPr>
        <w:t xml:space="preserve">Furthermore, Lehman was previously the fourth-largest investment bank in the USA and was one of the main </w:t>
      </w:r>
      <w:proofErr w:type="gramStart"/>
      <w:r w:rsidRPr="00EA7662">
        <w:rPr>
          <w:rFonts w:ascii="Sylfaen" w:eastAsia="Calibri" w:hAnsi="Sylfaen" w:cs="Times New Roman"/>
        </w:rPr>
        <w:t>market-makers</w:t>
      </w:r>
      <w:proofErr w:type="gramEnd"/>
      <w:r w:rsidRPr="00EA7662">
        <w:rPr>
          <w:rFonts w:ascii="Sylfaen" w:eastAsia="Calibri" w:hAnsi="Sylfaen" w:cs="Times New Roman"/>
        </w:rPr>
        <w:t xml:space="preserve"> and a major issuer in commercial paper. The day after Lehman Brothers went bust there was a run on money market funds in full swing, bringing with it instability in the economy. In addition, it caused a panic between depositors according to The Economist (2012): </w:t>
      </w:r>
    </w:p>
    <w:p w14:paraId="333433CB" w14:textId="77777777" w:rsidR="00EA7662" w:rsidRPr="00EA7662" w:rsidRDefault="00EA7662" w:rsidP="00D529D0">
      <w:pPr>
        <w:spacing w:after="0" w:line="360" w:lineRule="auto"/>
        <w:ind w:left="720"/>
        <w:jc w:val="both"/>
        <w:rPr>
          <w:rFonts w:ascii="Sylfaen" w:eastAsia="Calibri" w:hAnsi="Sylfaen" w:cs="Times New Roman"/>
        </w:rPr>
      </w:pPr>
    </w:p>
    <w:p w14:paraId="74B3CA69" w14:textId="77777777" w:rsidR="00EA7662" w:rsidRPr="00EA7662" w:rsidRDefault="00EA7662" w:rsidP="00D529D0">
      <w:pPr>
        <w:spacing w:after="0" w:line="360" w:lineRule="auto"/>
        <w:ind w:left="720"/>
        <w:jc w:val="both"/>
        <w:rPr>
          <w:rFonts w:ascii="Sylfaen" w:eastAsia="Calibri" w:hAnsi="Sylfaen" w:cs="Times New Roman"/>
          <w:noProof/>
        </w:rPr>
      </w:pPr>
      <w:r w:rsidRPr="00EA7662">
        <w:rPr>
          <w:rFonts w:ascii="Sylfaen" w:eastAsia="Calibri" w:hAnsi="Sylfaen" w:cs="Times New Roman"/>
        </w:rPr>
        <w:t xml:space="preserve">America’s oldest money-market mutual fund declared that investors could no longer redeem shares at the customary $1 each. In “breaking the buck”, Reserve Primary Fund became the most prominent part of a broader panic that saw investors pull billions from </w:t>
      </w:r>
      <w:r w:rsidRPr="00EA7662">
        <w:rPr>
          <w:rFonts w:ascii="Sylfaen" w:eastAsia="Calibri" w:hAnsi="Sylfaen" w:cs="Times New Roman"/>
        </w:rPr>
        <w:lastRenderedPageBreak/>
        <w:t xml:space="preserve">other money-market funds, a major source of short-term lending to banks and companies </w:t>
      </w:r>
      <w:r w:rsidRPr="00EA7662">
        <w:rPr>
          <w:rFonts w:ascii="Sylfaen" w:eastAsia="Calibri" w:hAnsi="Sylfaen" w:cs="Times New Roman"/>
          <w:noProof/>
        </w:rPr>
        <w:t>(Economist, 2012, p. 1).</w:t>
      </w:r>
    </w:p>
    <w:p w14:paraId="30690BEA" w14:textId="77777777" w:rsidR="00EA7662" w:rsidRPr="00EA7662" w:rsidRDefault="00EA7662" w:rsidP="00D529D0">
      <w:pPr>
        <w:spacing w:after="0" w:line="360" w:lineRule="auto"/>
        <w:jc w:val="both"/>
        <w:rPr>
          <w:rFonts w:ascii="Sylfaen" w:eastAsia="Calibri" w:hAnsi="Sylfaen" w:cs="Times New Roman"/>
        </w:rPr>
      </w:pPr>
    </w:p>
    <w:p w14:paraId="48FAEDE5" w14:textId="77777777" w:rsidR="00EA7662" w:rsidRPr="00EA7662" w:rsidRDefault="00EA7662" w:rsidP="00D529D0">
      <w:pPr>
        <w:spacing w:after="0" w:line="360" w:lineRule="auto"/>
        <w:jc w:val="both"/>
        <w:rPr>
          <w:rFonts w:ascii="Sylfaen" w:eastAsia="Calibri" w:hAnsi="Sylfaen" w:cs="Times New Roman"/>
        </w:rPr>
      </w:pPr>
      <w:r w:rsidRPr="00EA7662">
        <w:rPr>
          <w:rFonts w:ascii="Sylfaen" w:eastAsia="Calibri" w:hAnsi="Sylfaen" w:cs="Times New Roman"/>
        </w:rPr>
        <w:t xml:space="preserve">The next graph shows the actual real GDP (gross domestic product) and estimated real potential GDP in trillions of dollars. By analysing this, it </w:t>
      </w:r>
      <w:proofErr w:type="gramStart"/>
      <w:r w:rsidRPr="00EA7662">
        <w:rPr>
          <w:rFonts w:ascii="Sylfaen" w:eastAsia="Calibri" w:hAnsi="Sylfaen" w:cs="Times New Roman"/>
        </w:rPr>
        <w:t>can be assumed</w:t>
      </w:r>
      <w:proofErr w:type="gramEnd"/>
      <w:r w:rsidRPr="00EA7662">
        <w:rPr>
          <w:rFonts w:ascii="Sylfaen" w:eastAsia="Calibri" w:hAnsi="Sylfaen" w:cs="Times New Roman"/>
        </w:rPr>
        <w:t xml:space="preserve"> that the average annual growth rate starting in 2000 grew steadily without any significant shocks in the market. It would be reasonable to assume therefore, that if the economy had not experienced the financial crisis in 2007, the real GDP trend would have grown alongside the real potential GDP trend. Thus, the output gap between them was 5.5% in 2011 Q4, meaning that the negative output gap caused higher unemployment, lower growth and a fall in output.</w:t>
      </w:r>
    </w:p>
    <w:p w14:paraId="5D853485" w14:textId="77777777" w:rsidR="00EA7662" w:rsidRPr="00EA7662" w:rsidRDefault="00EA7662" w:rsidP="00D529D0">
      <w:pPr>
        <w:spacing w:after="0" w:line="360" w:lineRule="auto"/>
        <w:jc w:val="both"/>
        <w:rPr>
          <w:rFonts w:ascii="Sylfaen" w:eastAsia="Calibri" w:hAnsi="Sylfaen" w:cs="Times New Roman"/>
        </w:rPr>
      </w:pPr>
    </w:p>
    <w:p w14:paraId="63FFC136" w14:textId="77777777" w:rsidR="00B76FF5" w:rsidRPr="004478BA" w:rsidRDefault="00EA7662" w:rsidP="00B76FF5">
      <w:pPr>
        <w:keepNext/>
        <w:spacing w:after="0" w:line="360" w:lineRule="auto"/>
        <w:jc w:val="center"/>
        <w:rPr>
          <w:rFonts w:ascii="Sylfaen" w:hAnsi="Sylfaen"/>
          <w:sz w:val="24"/>
        </w:rPr>
      </w:pPr>
      <w:r w:rsidRPr="004478BA">
        <w:rPr>
          <w:rFonts w:ascii="Sylfaen" w:eastAsia="Calibri" w:hAnsi="Sylfaen" w:cs="Times New Roman"/>
          <w:noProof/>
          <w:szCs w:val="20"/>
          <w:lang w:eastAsia="en-GB"/>
        </w:rPr>
        <w:drawing>
          <wp:inline distT="0" distB="0" distL="0" distR="0" wp14:anchorId="4A9D1C7B" wp14:editId="644BC18E">
            <wp:extent cx="5695950" cy="2143125"/>
            <wp:effectExtent l="0" t="0" r="0" b="9525"/>
            <wp:docPr id="17" name="Picture 5" descr="Real GDP and real potential GDP were similar from 2000-2008. In 2008, the real GDP dropped, causing an output gap. " title="Real output g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rsf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5950" cy="2143125"/>
                    </a:xfrm>
                    <a:prstGeom prst="rect">
                      <a:avLst/>
                    </a:prstGeom>
                    <a:noFill/>
                    <a:ln>
                      <a:noFill/>
                    </a:ln>
                  </pic:spPr>
                </pic:pic>
              </a:graphicData>
            </a:graphic>
          </wp:inline>
        </w:drawing>
      </w:r>
    </w:p>
    <w:p w14:paraId="5A3CB359" w14:textId="35FB329C" w:rsidR="00EA7662" w:rsidRPr="004478BA" w:rsidRDefault="00B76FF5" w:rsidP="00B76FF5">
      <w:pPr>
        <w:pStyle w:val="Caption"/>
        <w:jc w:val="center"/>
        <w:rPr>
          <w:rFonts w:ascii="Sylfaen" w:eastAsia="Calibri" w:hAnsi="Sylfaen" w:cs="Times New Roman"/>
          <w:color w:val="auto"/>
          <w:sz w:val="22"/>
          <w:szCs w:val="20"/>
        </w:rPr>
      </w:pPr>
      <w:r w:rsidRPr="004478BA">
        <w:rPr>
          <w:rFonts w:ascii="Sylfaen" w:hAnsi="Sylfaen"/>
          <w:color w:val="auto"/>
          <w:sz w:val="20"/>
        </w:rPr>
        <w:t xml:space="preserve">Figure </w:t>
      </w:r>
      <w:r w:rsidRPr="004478BA">
        <w:rPr>
          <w:rFonts w:ascii="Sylfaen" w:hAnsi="Sylfaen"/>
          <w:color w:val="auto"/>
          <w:sz w:val="20"/>
        </w:rPr>
        <w:fldChar w:fldCharType="begin"/>
      </w:r>
      <w:r w:rsidRPr="004478BA">
        <w:rPr>
          <w:rFonts w:ascii="Sylfaen" w:hAnsi="Sylfaen"/>
          <w:color w:val="auto"/>
          <w:sz w:val="20"/>
        </w:rPr>
        <w:instrText xml:space="preserve"> SEQ Figure \* ARABIC </w:instrText>
      </w:r>
      <w:r w:rsidRPr="004478BA">
        <w:rPr>
          <w:rFonts w:ascii="Sylfaen" w:hAnsi="Sylfaen"/>
          <w:color w:val="auto"/>
          <w:sz w:val="20"/>
        </w:rPr>
        <w:fldChar w:fldCharType="separate"/>
      </w:r>
      <w:r w:rsidR="000533B2">
        <w:rPr>
          <w:rFonts w:ascii="Sylfaen" w:hAnsi="Sylfaen"/>
          <w:noProof/>
          <w:color w:val="auto"/>
          <w:sz w:val="20"/>
        </w:rPr>
        <w:t>9</w:t>
      </w:r>
      <w:r w:rsidRPr="004478BA">
        <w:rPr>
          <w:rFonts w:ascii="Sylfaen" w:hAnsi="Sylfaen"/>
          <w:color w:val="auto"/>
          <w:sz w:val="20"/>
        </w:rPr>
        <w:fldChar w:fldCharType="end"/>
      </w:r>
      <w:r w:rsidRPr="004478BA">
        <w:rPr>
          <w:rFonts w:ascii="Sylfaen" w:hAnsi="Sylfaen"/>
          <w:color w:val="auto"/>
          <w:sz w:val="20"/>
        </w:rPr>
        <w:t xml:space="preserve"> Real output gap (Source: Treasury, 2012)</w:t>
      </w:r>
    </w:p>
    <w:p w14:paraId="0ED0F5C9" w14:textId="77777777" w:rsidR="00EA7662" w:rsidRPr="00EA7662" w:rsidRDefault="00EA7662" w:rsidP="00D529D0">
      <w:pPr>
        <w:spacing w:after="0" w:line="360" w:lineRule="auto"/>
        <w:jc w:val="both"/>
        <w:rPr>
          <w:rFonts w:ascii="Times New Roman" w:eastAsia="Calibri" w:hAnsi="Times New Roman" w:cs="Times New Roman"/>
          <w:sz w:val="18"/>
          <w:szCs w:val="18"/>
        </w:rPr>
      </w:pPr>
    </w:p>
    <w:p w14:paraId="0171EBDA" w14:textId="77777777" w:rsidR="00EA7662" w:rsidRPr="00EA7662" w:rsidRDefault="00EA7662" w:rsidP="00D529D0">
      <w:pPr>
        <w:spacing w:after="0" w:line="360" w:lineRule="auto"/>
        <w:jc w:val="both"/>
        <w:rPr>
          <w:rFonts w:ascii="Sylfaen" w:eastAsia="Calibri" w:hAnsi="Sylfaen" w:cs="Times New Roman"/>
        </w:rPr>
      </w:pPr>
      <w:r w:rsidRPr="00EA7662">
        <w:rPr>
          <w:rFonts w:ascii="Sylfaen" w:eastAsia="Calibri" w:hAnsi="Sylfaen" w:cs="Times New Roman"/>
        </w:rPr>
        <w:t xml:space="preserve">Eventually, the credit crisis rocked the money market mutual fund industry itself. In September 2008, one of the nation’s largest money market funds, the Reserve Primary Fund, could no longer meet redemptions at a regular level due to the losses it incurred in </w:t>
      </w:r>
      <w:hyperlink r:id="rId17" w:history="1">
        <w:r w:rsidRPr="00EA7662">
          <w:rPr>
            <w:rFonts w:ascii="Sylfaen" w:eastAsia="Calibri" w:hAnsi="Sylfaen" w:cs="Times New Roman"/>
            <w:color w:val="0563C1"/>
            <w:u w:val="single"/>
          </w:rPr>
          <w:t>$800 million worth of Lehman Brothers’ commercial paper and floating rate notes</w:t>
        </w:r>
      </w:hyperlink>
      <w:r w:rsidRPr="00EA7662">
        <w:rPr>
          <w:rFonts w:ascii="Sylfaen" w:eastAsia="Calibri" w:hAnsi="Sylfaen" w:cs="Times New Roman"/>
        </w:rPr>
        <w:t xml:space="preserve">. The effects of the financial crisis </w:t>
      </w:r>
      <w:proofErr w:type="gramStart"/>
      <w:r w:rsidRPr="00EA7662">
        <w:rPr>
          <w:rFonts w:ascii="Sylfaen" w:eastAsia="Calibri" w:hAnsi="Sylfaen" w:cs="Times New Roman"/>
        </w:rPr>
        <w:t>were strongly felt</w:t>
      </w:r>
      <w:proofErr w:type="gramEnd"/>
      <w:r w:rsidRPr="00EA7662">
        <w:rPr>
          <w:rFonts w:ascii="Sylfaen" w:eastAsia="Calibri" w:hAnsi="Sylfaen" w:cs="Times New Roman"/>
        </w:rPr>
        <w:t xml:space="preserve"> and even prompted a mass exodus of withdrawals from money market funds that only halted once the Treasury Department established a $50 billion money market </w:t>
      </w:r>
      <w:hyperlink r:id="rId18" w:history="1">
        <w:r w:rsidRPr="00EA7662">
          <w:rPr>
            <w:rFonts w:ascii="Sylfaen" w:eastAsia="Calibri" w:hAnsi="Sylfaen" w:cs="Times New Roman"/>
            <w:color w:val="0563C1"/>
            <w:u w:val="single"/>
          </w:rPr>
          <w:t>guaranteed fund</w:t>
        </w:r>
      </w:hyperlink>
      <w:r w:rsidRPr="00EA7662">
        <w:rPr>
          <w:rFonts w:ascii="Sylfaen" w:eastAsia="Calibri" w:hAnsi="Sylfaen" w:cs="Times New Roman"/>
        </w:rPr>
        <w:t xml:space="preserve">. Although the panic caused by the initial “run” </w:t>
      </w:r>
      <w:proofErr w:type="gramStart"/>
      <w:r w:rsidRPr="00EA7662">
        <w:rPr>
          <w:rFonts w:ascii="Sylfaen" w:eastAsia="Calibri" w:hAnsi="Sylfaen" w:cs="Times New Roman"/>
        </w:rPr>
        <w:t>was halted</w:t>
      </w:r>
      <w:proofErr w:type="gramEnd"/>
      <w:r w:rsidRPr="00EA7662">
        <w:rPr>
          <w:rFonts w:ascii="Sylfaen" w:eastAsia="Calibri" w:hAnsi="Sylfaen" w:cs="Times New Roman"/>
        </w:rPr>
        <w:t xml:space="preserve"> by the guarantee, total assets held by money market mutual funds have fallen by approximately $1 trillion since the end of 2008. This represents more than a 25% steep decline from the peak holdings of $3.8 trillion. </w:t>
      </w:r>
      <w:sdt>
        <w:sdtPr>
          <w:rPr>
            <w:rFonts w:ascii="Sylfaen" w:eastAsia="Calibri" w:hAnsi="Sylfaen" w:cs="Times New Roman"/>
          </w:rPr>
          <w:id w:val="1612786406"/>
          <w:citation/>
        </w:sdtPr>
        <w:sdtEndPr/>
        <w:sdtContent>
          <w:r w:rsidRPr="00EA7662">
            <w:rPr>
              <w:rFonts w:ascii="Sylfaen" w:eastAsia="Calibri" w:hAnsi="Sylfaen" w:cs="Times New Roman"/>
            </w:rPr>
            <w:fldChar w:fldCharType="begin"/>
          </w:r>
          <w:r w:rsidRPr="00EA7662">
            <w:rPr>
              <w:rFonts w:ascii="Sylfaen" w:eastAsia="Calibri" w:hAnsi="Sylfaen" w:cs="Times New Roman"/>
            </w:rPr>
            <w:instrText xml:space="preserve"> CITATION Chr10 \l 2057 </w:instrText>
          </w:r>
          <w:r w:rsidRPr="00EA7662">
            <w:rPr>
              <w:rFonts w:ascii="Sylfaen" w:eastAsia="Calibri" w:hAnsi="Sylfaen" w:cs="Times New Roman"/>
            </w:rPr>
            <w:fldChar w:fldCharType="separate"/>
          </w:r>
          <w:r w:rsidRPr="00EA7662">
            <w:rPr>
              <w:rFonts w:ascii="Sylfaen" w:eastAsia="Calibri" w:hAnsi="Sylfaen" w:cs="Times New Roman"/>
              <w:noProof/>
            </w:rPr>
            <w:t>(Papagianis, 2010)</w:t>
          </w:r>
          <w:r w:rsidRPr="00EA7662">
            <w:rPr>
              <w:rFonts w:ascii="Sylfaen" w:eastAsia="Calibri" w:hAnsi="Sylfaen" w:cs="Times New Roman"/>
            </w:rPr>
            <w:fldChar w:fldCharType="end"/>
          </w:r>
        </w:sdtContent>
      </w:sdt>
    </w:p>
    <w:p w14:paraId="0A71B6C8" w14:textId="77777777" w:rsidR="00EA7662" w:rsidRPr="00EA7662" w:rsidRDefault="00EA7662" w:rsidP="00D529D0">
      <w:pPr>
        <w:spacing w:after="0" w:line="360" w:lineRule="auto"/>
        <w:jc w:val="both"/>
        <w:rPr>
          <w:rFonts w:ascii="Times New Roman" w:eastAsia="Calibri" w:hAnsi="Times New Roman" w:cs="Times New Roman"/>
          <w:sz w:val="18"/>
          <w:szCs w:val="18"/>
        </w:rPr>
      </w:pPr>
    </w:p>
    <w:p w14:paraId="7E4FB096" w14:textId="77777777" w:rsidR="004478BA" w:rsidRDefault="00EA7662" w:rsidP="004478BA">
      <w:pPr>
        <w:keepNext/>
        <w:spacing w:after="0" w:line="360" w:lineRule="auto"/>
        <w:jc w:val="center"/>
      </w:pPr>
      <w:r w:rsidRPr="00EA7662">
        <w:rPr>
          <w:rFonts w:ascii="Calibri" w:eastAsia="Calibri" w:hAnsi="Calibri" w:cs="Times New Roman"/>
          <w:noProof/>
          <w:sz w:val="20"/>
          <w:szCs w:val="20"/>
          <w:lang w:eastAsia="en-GB"/>
        </w:rPr>
        <w:lastRenderedPageBreak/>
        <w:drawing>
          <wp:inline distT="0" distB="0" distL="0" distR="0" wp14:anchorId="1417C91E" wp14:editId="726906DB">
            <wp:extent cx="5686425" cy="2657475"/>
            <wp:effectExtent l="0" t="0" r="9525" b="9525"/>
            <wp:docPr id="18" name="Picture 11" descr="Assets held by money market funds rose from just below $2000 in 2004 to a peak of around $3800 in 2008. It then dropped to approximately $2750 by 2010. " title="Assets held by money market mutal f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r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6425" cy="2657475"/>
                    </a:xfrm>
                    <a:prstGeom prst="rect">
                      <a:avLst/>
                    </a:prstGeom>
                    <a:noFill/>
                    <a:ln>
                      <a:noFill/>
                    </a:ln>
                  </pic:spPr>
                </pic:pic>
              </a:graphicData>
            </a:graphic>
          </wp:inline>
        </w:drawing>
      </w:r>
    </w:p>
    <w:p w14:paraId="1DA4B97E" w14:textId="42AEF3B5" w:rsidR="00EA7662" w:rsidRPr="004478BA" w:rsidRDefault="004478BA" w:rsidP="004478BA">
      <w:pPr>
        <w:pStyle w:val="Caption"/>
        <w:jc w:val="center"/>
        <w:rPr>
          <w:rFonts w:ascii="Sylfaen" w:eastAsia="Calibri" w:hAnsi="Sylfaen" w:cs="Times New Roman"/>
          <w:color w:val="auto"/>
          <w:sz w:val="22"/>
          <w:szCs w:val="20"/>
        </w:rPr>
      </w:pPr>
      <w:r w:rsidRPr="004478BA">
        <w:rPr>
          <w:rFonts w:ascii="Sylfaen" w:hAnsi="Sylfaen"/>
          <w:color w:val="auto"/>
          <w:sz w:val="20"/>
        </w:rPr>
        <w:t xml:space="preserve">Figure </w:t>
      </w:r>
      <w:r w:rsidRPr="004478BA">
        <w:rPr>
          <w:rFonts w:ascii="Sylfaen" w:hAnsi="Sylfaen"/>
          <w:color w:val="auto"/>
          <w:sz w:val="20"/>
        </w:rPr>
        <w:fldChar w:fldCharType="begin"/>
      </w:r>
      <w:r w:rsidRPr="004478BA">
        <w:rPr>
          <w:rFonts w:ascii="Sylfaen" w:hAnsi="Sylfaen"/>
          <w:color w:val="auto"/>
          <w:sz w:val="20"/>
        </w:rPr>
        <w:instrText xml:space="preserve"> SEQ Figure \* ARABIC </w:instrText>
      </w:r>
      <w:r w:rsidRPr="004478BA">
        <w:rPr>
          <w:rFonts w:ascii="Sylfaen" w:hAnsi="Sylfaen"/>
          <w:color w:val="auto"/>
          <w:sz w:val="20"/>
        </w:rPr>
        <w:fldChar w:fldCharType="separate"/>
      </w:r>
      <w:r w:rsidR="000533B2">
        <w:rPr>
          <w:rFonts w:ascii="Sylfaen" w:hAnsi="Sylfaen"/>
          <w:noProof/>
          <w:color w:val="auto"/>
          <w:sz w:val="20"/>
        </w:rPr>
        <w:t>10</w:t>
      </w:r>
      <w:r w:rsidRPr="004478BA">
        <w:rPr>
          <w:rFonts w:ascii="Sylfaen" w:hAnsi="Sylfaen"/>
          <w:color w:val="auto"/>
          <w:sz w:val="20"/>
        </w:rPr>
        <w:fldChar w:fldCharType="end"/>
      </w:r>
      <w:r w:rsidRPr="004478BA">
        <w:rPr>
          <w:rFonts w:ascii="Sylfaen" w:hAnsi="Sylfaen"/>
          <w:color w:val="auto"/>
          <w:sz w:val="20"/>
        </w:rPr>
        <w:t xml:space="preserve"> Assets Held by Money Market Mutual Funds (Source: </w:t>
      </w:r>
      <w:proofErr w:type="spellStart"/>
      <w:r w:rsidRPr="004478BA">
        <w:rPr>
          <w:rFonts w:ascii="Sylfaen" w:hAnsi="Sylfaen"/>
          <w:color w:val="auto"/>
          <w:sz w:val="20"/>
        </w:rPr>
        <w:t>Papagianis</w:t>
      </w:r>
      <w:proofErr w:type="spellEnd"/>
      <w:r w:rsidRPr="004478BA">
        <w:rPr>
          <w:rFonts w:ascii="Sylfaen" w:hAnsi="Sylfaen"/>
          <w:color w:val="auto"/>
          <w:sz w:val="20"/>
        </w:rPr>
        <w:t>, 2010)</w:t>
      </w:r>
    </w:p>
    <w:p w14:paraId="13801DEB" w14:textId="63021668" w:rsidR="00EA7662" w:rsidRPr="00EA7662" w:rsidRDefault="00EA7662" w:rsidP="00D529D0">
      <w:pPr>
        <w:pStyle w:val="Heading1"/>
        <w:rPr>
          <w:rFonts w:ascii="Times New Roman" w:eastAsia="Calibri" w:hAnsi="Times New Roman"/>
          <w:sz w:val="16"/>
          <w:szCs w:val="16"/>
        </w:rPr>
      </w:pPr>
      <w:r w:rsidRPr="00EA7662">
        <w:rPr>
          <w:rFonts w:eastAsia="Calibri"/>
        </w:rPr>
        <w:t>Conclusion</w:t>
      </w:r>
    </w:p>
    <w:p w14:paraId="2494C87B" w14:textId="77777777" w:rsidR="00411F5B" w:rsidRDefault="00EA7662" w:rsidP="00411F5B">
      <w:pPr>
        <w:autoSpaceDE w:val="0"/>
        <w:autoSpaceDN w:val="0"/>
        <w:adjustRightInd w:val="0"/>
        <w:spacing w:after="0" w:line="360" w:lineRule="auto"/>
        <w:jc w:val="both"/>
        <w:rPr>
          <w:rFonts w:ascii="Sylfaen" w:eastAsia="Calibri" w:hAnsi="Sylfaen" w:cs="Times New Roman"/>
        </w:rPr>
      </w:pPr>
      <w:r w:rsidRPr="00EA7662">
        <w:rPr>
          <w:rFonts w:ascii="Sylfaen" w:eastAsia="Calibri" w:hAnsi="Sylfaen" w:cs="Times New Roman"/>
        </w:rPr>
        <w:t xml:space="preserve">In this </w:t>
      </w:r>
      <w:proofErr w:type="gramStart"/>
      <w:r w:rsidRPr="00EA7662">
        <w:rPr>
          <w:rFonts w:ascii="Sylfaen" w:eastAsia="Calibri" w:hAnsi="Sylfaen" w:cs="Times New Roman"/>
        </w:rPr>
        <w:t>paper</w:t>
      </w:r>
      <w:proofErr w:type="gramEnd"/>
      <w:r w:rsidRPr="00EA7662">
        <w:rPr>
          <w:rFonts w:ascii="Sylfaen" w:eastAsia="Calibri" w:hAnsi="Sylfaen" w:cs="Times New Roman"/>
        </w:rPr>
        <w:t xml:space="preserve"> I have demonstrated the impact of repurchase agreements on the problems affecting the money market in 2007-08. After analysis, I can confidently conclude that all of the difficulties can be described as ‘‘a run on repo’’. Uncertainty in the repurchase agreements led to an increase in the repo haircuts, which was equivalent to massive withdrawals from the banking system.</w:t>
      </w:r>
      <w:r w:rsidRPr="00EA7662">
        <w:rPr>
          <w:rFonts w:ascii="Sylfaen" w:eastAsia="Calibri" w:hAnsi="Sylfaen" w:cs="Times New Roman"/>
          <w:lang w:val="en-US"/>
        </w:rPr>
        <w:t xml:space="preserve"> Nevertheless, I support the statement of this article, because </w:t>
      </w:r>
      <w:proofErr w:type="gramStart"/>
      <w:r w:rsidRPr="00EA7662">
        <w:rPr>
          <w:rFonts w:ascii="Sylfaen" w:eastAsia="Calibri" w:hAnsi="Sylfaen" w:cs="Times New Roman"/>
          <w:lang w:val="en-US"/>
        </w:rPr>
        <w:t>repo’s</w:t>
      </w:r>
      <w:proofErr w:type="gramEnd"/>
      <w:r w:rsidRPr="00EA7662">
        <w:rPr>
          <w:rFonts w:ascii="Sylfaen" w:eastAsia="Calibri" w:hAnsi="Sylfaen" w:cs="Times New Roman"/>
          <w:lang w:val="en-US"/>
        </w:rPr>
        <w:t xml:space="preserve"> undoubtedly deepened the financial crisis and were actually one of its causes. In the cases of Lehman, AIG and other authorities, repurchase agreements played a major role in creating systemic risk, which caused failure of our financial system. </w:t>
      </w:r>
      <w:r w:rsidRPr="00EA7662">
        <w:rPr>
          <w:rFonts w:ascii="Sylfaen" w:eastAsia="Calibri" w:hAnsi="Sylfaen" w:cs="Times New Roman"/>
        </w:rPr>
        <w:t xml:space="preserve">All of the </w:t>
      </w:r>
      <w:proofErr w:type="gramStart"/>
      <w:r w:rsidRPr="00EA7662">
        <w:rPr>
          <w:rFonts w:ascii="Sylfaen" w:eastAsia="Calibri" w:hAnsi="Sylfaen" w:cs="Times New Roman"/>
        </w:rPr>
        <w:t>above mentioned</w:t>
      </w:r>
      <w:proofErr w:type="gramEnd"/>
      <w:r w:rsidRPr="00EA7662">
        <w:rPr>
          <w:rFonts w:ascii="Sylfaen" w:eastAsia="Calibri" w:hAnsi="Sylfaen" w:cs="Times New Roman"/>
        </w:rPr>
        <w:t xml:space="preserve"> difficulties could have been avoided if authorities would have been more prudent. However, we can hope to overcome such in the future because economists and the governments are taking it seriously, providing liquidity support and recapitalisation of distressed banks, further strengthening interbank lending guarantees.</w:t>
      </w:r>
    </w:p>
    <w:p w14:paraId="23CC356A" w14:textId="0B325287" w:rsidR="00EA7662" w:rsidRPr="00EA7662" w:rsidRDefault="00411F5B" w:rsidP="00411F5B">
      <w:pPr>
        <w:autoSpaceDE w:val="0"/>
        <w:autoSpaceDN w:val="0"/>
        <w:adjustRightInd w:val="0"/>
        <w:spacing w:after="0" w:line="360" w:lineRule="auto"/>
        <w:jc w:val="both"/>
        <w:rPr>
          <w:rFonts w:ascii="Sylfaen" w:eastAsia="Calibri" w:hAnsi="Sylfaen" w:cs="Times New Roman"/>
        </w:rPr>
      </w:pPr>
      <w:r w:rsidRPr="00EA7662">
        <w:rPr>
          <w:rFonts w:ascii="Sylfaen" w:eastAsia="Calibri" w:hAnsi="Sylfaen" w:cs="Times New Roman"/>
        </w:rPr>
        <w:t xml:space="preserve"> </w:t>
      </w:r>
    </w:p>
    <w:p w14:paraId="201D25B3" w14:textId="106E6ED3" w:rsidR="00EA7662" w:rsidRPr="00EA7662" w:rsidRDefault="00EA7662" w:rsidP="00D529D0">
      <w:pPr>
        <w:spacing w:after="0" w:line="360" w:lineRule="auto"/>
        <w:jc w:val="both"/>
        <w:rPr>
          <w:rFonts w:ascii="Sylfaen" w:eastAsia="Calibri" w:hAnsi="Sylfaen" w:cs="Times New Roman"/>
        </w:rPr>
      </w:pPr>
      <w:r w:rsidRPr="00EA7662">
        <w:rPr>
          <w:rFonts w:ascii="Sylfaen" w:eastAsia="Calibri" w:hAnsi="Sylfaen" w:cs="Times New Roman"/>
        </w:rPr>
        <w:t>I would like to emphasize that only time will show whether we are sufficiently aware and informed after the recent problems affecting the money market. On the other hand, it is always useful to have a careful look back in order to understand and familiarise ourselves with what can be learnt and better performed in the future. The main concept is that creating a new financial mechanism is vital in order to prevent any possible failure in the future.</w:t>
      </w:r>
    </w:p>
    <w:p w14:paraId="193BFE66" w14:textId="77777777" w:rsidR="00EA7662" w:rsidRPr="00EA7662" w:rsidRDefault="00EA7662" w:rsidP="00D529D0">
      <w:pPr>
        <w:spacing w:after="0" w:line="360" w:lineRule="auto"/>
        <w:jc w:val="both"/>
        <w:rPr>
          <w:rFonts w:ascii="Sylfaen" w:eastAsia="Calibri" w:hAnsi="Sylfaen" w:cs="Times New Roman"/>
          <w:sz w:val="24"/>
          <w:szCs w:val="24"/>
        </w:rPr>
      </w:pPr>
    </w:p>
    <w:p w14:paraId="3B312C1A" w14:textId="54565E59" w:rsidR="00EA7662" w:rsidRPr="00EA7662" w:rsidRDefault="00EA7662" w:rsidP="00D529D0">
      <w:pPr>
        <w:pStyle w:val="Heading1"/>
        <w:rPr>
          <w:rFonts w:eastAsia="Calibri"/>
        </w:rPr>
      </w:pPr>
      <w:r>
        <w:rPr>
          <w:rFonts w:eastAsia="Calibri"/>
        </w:rPr>
        <w:lastRenderedPageBreak/>
        <w:t>References</w:t>
      </w:r>
    </w:p>
    <w:p w14:paraId="054BABF7" w14:textId="6A8C0021" w:rsidR="00EA7662" w:rsidRPr="00566096" w:rsidRDefault="00411F5B" w:rsidP="00566096">
      <w:pPr>
        <w:spacing w:after="160" w:line="360" w:lineRule="auto"/>
        <w:rPr>
          <w:rFonts w:ascii="Sylfaen" w:eastAsia="Calibri" w:hAnsi="Sylfaen" w:cs="Times New Roman"/>
          <w:noProof/>
          <w:szCs w:val="18"/>
        </w:rPr>
      </w:pPr>
      <w:r>
        <w:rPr>
          <w:rFonts w:ascii="Sylfaen" w:eastAsia="Calibri" w:hAnsi="Sylfaen" w:cs="Times New Roman"/>
          <w:noProof/>
          <w:szCs w:val="18"/>
        </w:rPr>
        <w:t xml:space="preserve">Adam Kirk, J. M. (2014) </w:t>
      </w:r>
      <w:r w:rsidR="0098154C">
        <w:rPr>
          <w:rFonts w:ascii="Sylfaen" w:eastAsia="Calibri" w:hAnsi="Sylfaen" w:cs="Times New Roman"/>
          <w:noProof/>
          <w:szCs w:val="18"/>
        </w:rPr>
        <w:t>‘</w:t>
      </w:r>
      <w:r w:rsidR="00EA7662" w:rsidRPr="00EA7662">
        <w:rPr>
          <w:rFonts w:ascii="Sylfaen" w:eastAsia="Calibri" w:hAnsi="Sylfaen" w:cs="Times New Roman"/>
          <w:iCs/>
          <w:noProof/>
          <w:szCs w:val="18"/>
        </w:rPr>
        <w:t>Mixing and Matc</w:t>
      </w:r>
      <w:r w:rsidR="0098154C">
        <w:rPr>
          <w:rFonts w:ascii="Sylfaen" w:eastAsia="Calibri" w:hAnsi="Sylfaen" w:cs="Times New Roman"/>
          <w:iCs/>
          <w:noProof/>
          <w:szCs w:val="18"/>
        </w:rPr>
        <w:t>hing Collateral in Dealer Banks’,</w:t>
      </w:r>
      <w:r w:rsidR="00EA7662" w:rsidRPr="00EA7662">
        <w:rPr>
          <w:rFonts w:ascii="Sylfaen" w:eastAsia="Calibri" w:hAnsi="Sylfaen" w:cs="Times New Roman"/>
          <w:noProof/>
          <w:szCs w:val="18"/>
        </w:rPr>
        <w:t xml:space="preserve"> </w:t>
      </w:r>
      <w:r>
        <w:rPr>
          <w:rFonts w:ascii="Sylfaen" w:eastAsia="Calibri" w:hAnsi="Sylfaen" w:cs="Times New Roman"/>
          <w:i/>
          <w:noProof/>
          <w:szCs w:val="18"/>
        </w:rPr>
        <w:t xml:space="preserve">Liberty Street Economics, </w:t>
      </w:r>
      <w:r>
        <w:rPr>
          <w:rFonts w:ascii="Sylfaen" w:eastAsia="Calibri" w:hAnsi="Sylfaen" w:cs="Times New Roman"/>
          <w:noProof/>
          <w:szCs w:val="18"/>
        </w:rPr>
        <w:t xml:space="preserve">1 April. </w:t>
      </w:r>
      <w:r w:rsidR="00EA7662" w:rsidRPr="00EA7662">
        <w:rPr>
          <w:rFonts w:ascii="Sylfaen" w:eastAsia="Calibri" w:hAnsi="Sylfaen" w:cs="Times New Roman"/>
          <w:noProof/>
          <w:szCs w:val="18"/>
        </w:rPr>
        <w:t>Available at: http://libertystreeteconomics.newyorkfed.org/2014/04/mixing-and-matching-collateral-in-d</w:t>
      </w:r>
      <w:r>
        <w:rPr>
          <w:rFonts w:ascii="Sylfaen" w:eastAsia="Calibri" w:hAnsi="Sylfaen" w:cs="Times New Roman"/>
          <w:noProof/>
          <w:szCs w:val="18"/>
        </w:rPr>
        <w:t>ealer-banks.html#.U0QqpVe4bCc (Accessed: 9 June 2016)</w:t>
      </w:r>
      <w:r w:rsidR="00EA7662" w:rsidRPr="00EA7662">
        <w:rPr>
          <w:rFonts w:ascii="Sylfaen" w:eastAsia="Calibri" w:hAnsi="Sylfaen" w:cs="Times New Roman"/>
          <w:noProof/>
          <w:szCs w:val="18"/>
        </w:rPr>
        <w:t>.</w:t>
      </w:r>
    </w:p>
    <w:p w14:paraId="7941120D" w14:textId="2B29D30B" w:rsidR="00EA7662" w:rsidRPr="00566096" w:rsidRDefault="00411F5B" w:rsidP="00566096">
      <w:pPr>
        <w:spacing w:after="160" w:line="360" w:lineRule="auto"/>
        <w:rPr>
          <w:rFonts w:ascii="Sylfaen" w:eastAsia="Calibri" w:hAnsi="Sylfaen" w:cs="Times New Roman"/>
          <w:noProof/>
          <w:szCs w:val="18"/>
        </w:rPr>
      </w:pPr>
      <w:r>
        <w:rPr>
          <w:rFonts w:ascii="Sylfaen" w:eastAsia="Calibri" w:hAnsi="Sylfaen" w:cs="Times New Roman"/>
          <w:noProof/>
          <w:szCs w:val="18"/>
        </w:rPr>
        <w:t>Arnold, G. (2011)</w:t>
      </w:r>
      <w:r w:rsidR="00EA7662" w:rsidRPr="00EA7662">
        <w:rPr>
          <w:rFonts w:ascii="Sylfaen" w:eastAsia="Calibri" w:hAnsi="Sylfaen" w:cs="Times New Roman"/>
          <w:noProof/>
          <w:szCs w:val="18"/>
        </w:rPr>
        <w:t xml:space="preserve"> </w:t>
      </w:r>
      <w:r w:rsidR="00EA7662" w:rsidRPr="00EA7662">
        <w:rPr>
          <w:rFonts w:ascii="Sylfaen" w:eastAsia="Calibri" w:hAnsi="Sylfaen" w:cs="Times New Roman"/>
          <w:i/>
          <w:iCs/>
          <w:noProof/>
          <w:szCs w:val="18"/>
        </w:rPr>
        <w:t>Modern Financial Markets &amp; Institutions: A Practical Perspective.</w:t>
      </w:r>
      <w:r w:rsidR="00EA7662" w:rsidRPr="00EA7662">
        <w:rPr>
          <w:rFonts w:ascii="Sylfaen" w:eastAsia="Calibri" w:hAnsi="Sylfaen" w:cs="Times New Roman"/>
          <w:noProof/>
          <w:szCs w:val="18"/>
        </w:rPr>
        <w:t xml:space="preserve"> Harlow: Financial</w:t>
      </w:r>
      <w:r>
        <w:rPr>
          <w:rFonts w:ascii="Sylfaen" w:eastAsia="Calibri" w:hAnsi="Sylfaen" w:cs="Times New Roman"/>
          <w:noProof/>
          <w:szCs w:val="18"/>
        </w:rPr>
        <w:t xml:space="preserve"> Times/</w:t>
      </w:r>
      <w:r w:rsidR="00EA7662" w:rsidRPr="00EA7662">
        <w:rPr>
          <w:rFonts w:ascii="Sylfaen" w:eastAsia="Calibri" w:hAnsi="Sylfaen" w:cs="Times New Roman"/>
          <w:noProof/>
          <w:szCs w:val="18"/>
        </w:rPr>
        <w:t>Prentice Hall.</w:t>
      </w:r>
    </w:p>
    <w:p w14:paraId="51D1D9F4" w14:textId="72357D50" w:rsidR="00EA7662" w:rsidRPr="00566096" w:rsidRDefault="00411F5B" w:rsidP="00566096">
      <w:pPr>
        <w:spacing w:after="160" w:line="360" w:lineRule="auto"/>
        <w:rPr>
          <w:rFonts w:ascii="Sylfaen" w:eastAsia="Calibri" w:hAnsi="Sylfaen" w:cs="Times New Roman"/>
          <w:noProof/>
          <w:szCs w:val="18"/>
        </w:rPr>
      </w:pPr>
      <w:r>
        <w:rPr>
          <w:rFonts w:ascii="Sylfaen" w:eastAsia="Calibri" w:hAnsi="Sylfaen" w:cs="Times New Roman"/>
          <w:noProof/>
          <w:szCs w:val="18"/>
        </w:rPr>
        <w:t>Bernanke, B. (2009)</w:t>
      </w:r>
      <w:r w:rsidR="00EA7662" w:rsidRPr="00EA7662">
        <w:rPr>
          <w:rFonts w:ascii="Sylfaen" w:eastAsia="Calibri" w:hAnsi="Sylfaen" w:cs="Times New Roman"/>
          <w:noProof/>
          <w:szCs w:val="18"/>
        </w:rPr>
        <w:t xml:space="preserve"> </w:t>
      </w:r>
      <w:r w:rsidR="00EA7662" w:rsidRPr="0098154C">
        <w:rPr>
          <w:rFonts w:ascii="Sylfaen" w:eastAsia="Calibri" w:hAnsi="Sylfaen" w:cs="Times New Roman"/>
          <w:i/>
          <w:iCs/>
          <w:noProof/>
          <w:szCs w:val="18"/>
        </w:rPr>
        <w:t>Bernanke emphasizes run on repo and too big to fail</w:t>
      </w:r>
      <w:r w:rsidR="00EA7662" w:rsidRPr="00EA7662">
        <w:rPr>
          <w:rFonts w:ascii="Sylfaen" w:eastAsia="Calibri" w:hAnsi="Sylfaen" w:cs="Times New Roman"/>
          <w:iCs/>
          <w:noProof/>
          <w:szCs w:val="18"/>
        </w:rPr>
        <w:t>.</w:t>
      </w:r>
      <w:r w:rsidR="00EA7662" w:rsidRPr="00EA7662">
        <w:rPr>
          <w:rFonts w:ascii="Sylfaen" w:eastAsia="Calibri" w:hAnsi="Sylfaen" w:cs="Times New Roman"/>
          <w:noProof/>
          <w:szCs w:val="18"/>
        </w:rPr>
        <w:t xml:space="preserve"> </w:t>
      </w:r>
      <w:r>
        <w:rPr>
          <w:rFonts w:ascii="Sylfaen" w:eastAsia="Calibri" w:hAnsi="Sylfaen" w:cs="Times New Roman"/>
          <w:noProof/>
          <w:szCs w:val="18"/>
        </w:rPr>
        <w:t xml:space="preserve">Available at: </w:t>
      </w:r>
      <w:r w:rsidR="00EA7662" w:rsidRPr="00EA7662">
        <w:rPr>
          <w:rFonts w:ascii="Sylfaen" w:eastAsia="Calibri" w:hAnsi="Sylfaen" w:cs="Times New Roman"/>
          <w:noProof/>
          <w:szCs w:val="18"/>
        </w:rPr>
        <w:t>http://repowatch.org/2011/02/15/bernanke-emphasizes-run-on-repo/</w:t>
      </w:r>
      <w:r>
        <w:rPr>
          <w:rFonts w:ascii="Sylfaen" w:eastAsia="Calibri" w:hAnsi="Sylfaen" w:cs="Times New Roman"/>
          <w:noProof/>
          <w:szCs w:val="18"/>
        </w:rPr>
        <w:t xml:space="preserve"> (Accessed: 9 June 2016)</w:t>
      </w:r>
      <w:r w:rsidR="00EA7662" w:rsidRPr="00EA7662">
        <w:rPr>
          <w:rFonts w:ascii="Sylfaen" w:eastAsia="Calibri" w:hAnsi="Sylfaen" w:cs="Times New Roman"/>
          <w:noProof/>
          <w:szCs w:val="18"/>
        </w:rPr>
        <w:t>.</w:t>
      </w:r>
    </w:p>
    <w:p w14:paraId="64373E4F" w14:textId="07596496" w:rsidR="00EA7662" w:rsidRPr="00566096" w:rsidRDefault="00411F5B" w:rsidP="00566096">
      <w:pPr>
        <w:spacing w:after="160" w:line="360" w:lineRule="auto"/>
        <w:rPr>
          <w:rFonts w:ascii="Sylfaen" w:eastAsia="Calibri" w:hAnsi="Sylfaen" w:cs="Times New Roman"/>
          <w:noProof/>
          <w:szCs w:val="18"/>
        </w:rPr>
      </w:pPr>
      <w:r>
        <w:rPr>
          <w:rFonts w:ascii="Sylfaen" w:eastAsia="Calibri" w:hAnsi="Sylfaen" w:cs="Times New Roman"/>
          <w:noProof/>
          <w:szCs w:val="18"/>
        </w:rPr>
        <w:t>Bernanke, C. B. (2012)</w:t>
      </w:r>
      <w:r w:rsidR="00EA7662" w:rsidRPr="00EA7662">
        <w:rPr>
          <w:rFonts w:ascii="Sylfaen" w:eastAsia="Calibri" w:hAnsi="Sylfaen" w:cs="Times New Roman"/>
          <w:noProof/>
          <w:szCs w:val="18"/>
        </w:rPr>
        <w:t xml:space="preserve"> </w:t>
      </w:r>
      <w:r>
        <w:rPr>
          <w:rFonts w:ascii="Sylfaen" w:eastAsia="Calibri" w:hAnsi="Sylfaen" w:cs="Times New Roman"/>
          <w:noProof/>
          <w:szCs w:val="18"/>
        </w:rPr>
        <w:t>‘</w:t>
      </w:r>
      <w:r w:rsidR="00EA7662" w:rsidRPr="00EA7662">
        <w:rPr>
          <w:rFonts w:ascii="Sylfaen" w:eastAsia="Calibri" w:hAnsi="Sylfaen" w:cs="Times New Roman"/>
          <w:noProof/>
          <w:szCs w:val="18"/>
        </w:rPr>
        <w:t>Some Reflections on the Crisis and the Policy Response</w:t>
      </w:r>
      <w:r>
        <w:rPr>
          <w:rFonts w:ascii="Sylfaen" w:eastAsia="Calibri" w:hAnsi="Sylfaen" w:cs="Times New Roman"/>
          <w:noProof/>
          <w:szCs w:val="18"/>
        </w:rPr>
        <w:t xml:space="preserve">’, </w:t>
      </w:r>
      <w:r w:rsidR="00EA7662" w:rsidRPr="00EA7662">
        <w:rPr>
          <w:rFonts w:ascii="Sylfaen" w:eastAsia="Calibri" w:hAnsi="Sylfaen" w:cs="Times New Roman"/>
          <w:i/>
          <w:iCs/>
          <w:noProof/>
          <w:szCs w:val="18"/>
        </w:rPr>
        <w:t>Russell Sage Foundation and The Century Foundation Con</w:t>
      </w:r>
      <w:r>
        <w:rPr>
          <w:rFonts w:ascii="Sylfaen" w:eastAsia="Calibri" w:hAnsi="Sylfaen" w:cs="Times New Roman"/>
          <w:i/>
          <w:iCs/>
          <w:noProof/>
          <w:szCs w:val="18"/>
        </w:rPr>
        <w:t>ference on "Rethinking Finance"</w:t>
      </w:r>
      <w:r w:rsidR="007E0A75">
        <w:rPr>
          <w:rFonts w:ascii="Sylfaen" w:eastAsia="Calibri" w:hAnsi="Sylfaen" w:cs="Times New Roman"/>
          <w:iCs/>
          <w:noProof/>
          <w:szCs w:val="18"/>
        </w:rPr>
        <w:t>. Princeton Club, New York,</w:t>
      </w:r>
      <w:r>
        <w:rPr>
          <w:rFonts w:ascii="Sylfaen" w:eastAsia="Calibri" w:hAnsi="Sylfaen" w:cs="Times New Roman"/>
          <w:iCs/>
          <w:noProof/>
          <w:szCs w:val="18"/>
        </w:rPr>
        <w:t xml:space="preserve"> 13 April. </w:t>
      </w:r>
      <w:r w:rsidR="007E0A75">
        <w:rPr>
          <w:rFonts w:ascii="Sylfaen" w:eastAsia="Calibri" w:hAnsi="Sylfaen" w:cs="Times New Roman"/>
          <w:noProof/>
          <w:szCs w:val="18"/>
        </w:rPr>
        <w:t>[s.n.].</w:t>
      </w:r>
    </w:p>
    <w:p w14:paraId="5BF9A8C8" w14:textId="047D6D9C" w:rsidR="00EA7662" w:rsidRPr="00566096" w:rsidRDefault="008F2E1E" w:rsidP="00566096">
      <w:pPr>
        <w:spacing w:after="160" w:line="360" w:lineRule="auto"/>
        <w:rPr>
          <w:rFonts w:ascii="Sylfaen" w:eastAsia="Calibri" w:hAnsi="Sylfaen" w:cs="Times New Roman"/>
          <w:noProof/>
          <w:szCs w:val="18"/>
        </w:rPr>
      </w:pPr>
      <w:r>
        <w:rPr>
          <w:rFonts w:ascii="Sylfaen" w:eastAsia="Calibri" w:hAnsi="Sylfaen" w:cs="Times New Roman"/>
          <w:noProof/>
          <w:szCs w:val="18"/>
        </w:rPr>
        <w:t>Choudhry, M. (2012)</w:t>
      </w:r>
      <w:r w:rsidR="00EA7662" w:rsidRPr="00EA7662">
        <w:rPr>
          <w:rFonts w:ascii="Sylfaen" w:eastAsia="Calibri" w:hAnsi="Sylfaen" w:cs="Times New Roman"/>
          <w:noProof/>
          <w:szCs w:val="18"/>
        </w:rPr>
        <w:t xml:space="preserve"> </w:t>
      </w:r>
      <w:r w:rsidR="00EA7662" w:rsidRPr="00EA7662">
        <w:rPr>
          <w:rFonts w:ascii="Sylfaen" w:eastAsia="Calibri" w:hAnsi="Sylfaen" w:cs="Times New Roman"/>
          <w:i/>
          <w:iCs/>
          <w:noProof/>
          <w:szCs w:val="18"/>
        </w:rPr>
        <w:t>The REPO Handbook</w:t>
      </w:r>
      <w:r w:rsidR="00EA7662" w:rsidRPr="00EA7662">
        <w:rPr>
          <w:rFonts w:ascii="Sylfaen" w:eastAsia="Calibri" w:hAnsi="Sylfaen" w:cs="Times New Roman"/>
          <w:noProof/>
          <w:szCs w:val="18"/>
        </w:rPr>
        <w:t>. Oxford: Butterworth-Heinemann.</w:t>
      </w:r>
    </w:p>
    <w:p w14:paraId="34968F6E" w14:textId="4E537148" w:rsidR="00EA7662" w:rsidRPr="00566096" w:rsidRDefault="008F2E1E" w:rsidP="00566096">
      <w:pPr>
        <w:spacing w:after="160" w:line="360" w:lineRule="auto"/>
        <w:rPr>
          <w:rFonts w:ascii="Sylfaen" w:eastAsia="Calibri" w:hAnsi="Sylfaen" w:cs="Times New Roman"/>
          <w:noProof/>
          <w:szCs w:val="18"/>
        </w:rPr>
      </w:pPr>
      <w:r>
        <w:rPr>
          <w:rFonts w:ascii="Sylfaen" w:eastAsia="Calibri" w:hAnsi="Sylfaen" w:cs="Times New Roman"/>
          <w:noProof/>
          <w:szCs w:val="18"/>
        </w:rPr>
        <w:t>Duffie, D. (2010)</w:t>
      </w:r>
      <w:r w:rsidR="00EA7662" w:rsidRPr="00EA7662">
        <w:rPr>
          <w:rFonts w:ascii="Sylfaen" w:eastAsia="Calibri" w:hAnsi="Sylfaen" w:cs="Times New Roman"/>
          <w:noProof/>
          <w:szCs w:val="18"/>
        </w:rPr>
        <w:t xml:space="preserve"> </w:t>
      </w:r>
      <w:r>
        <w:rPr>
          <w:rFonts w:ascii="Sylfaen" w:eastAsia="Calibri" w:hAnsi="Sylfaen" w:cs="Times New Roman"/>
          <w:noProof/>
          <w:szCs w:val="18"/>
        </w:rPr>
        <w:t>‘</w:t>
      </w:r>
      <w:r w:rsidR="00EA7662" w:rsidRPr="00EA7662">
        <w:rPr>
          <w:rFonts w:ascii="Sylfaen" w:eastAsia="Calibri" w:hAnsi="Sylfaen" w:cs="Times New Roman"/>
          <w:noProof/>
          <w:szCs w:val="18"/>
        </w:rPr>
        <w:t>The Fa</w:t>
      </w:r>
      <w:r>
        <w:rPr>
          <w:rFonts w:ascii="Sylfaen" w:eastAsia="Calibri" w:hAnsi="Sylfaen" w:cs="Times New Roman"/>
          <w:noProof/>
          <w:szCs w:val="18"/>
        </w:rPr>
        <w:t>ilure Mechanics of Dealer Banks’,</w:t>
      </w:r>
      <w:r w:rsidR="00EA7662" w:rsidRPr="00EA7662">
        <w:rPr>
          <w:rFonts w:ascii="Sylfaen" w:eastAsia="Calibri" w:hAnsi="Sylfaen" w:cs="Times New Roman"/>
          <w:noProof/>
          <w:szCs w:val="18"/>
        </w:rPr>
        <w:t xml:space="preserve"> </w:t>
      </w:r>
      <w:r w:rsidR="00EA7662" w:rsidRPr="00EA7662">
        <w:rPr>
          <w:rFonts w:ascii="Sylfaen" w:eastAsia="Calibri" w:hAnsi="Sylfaen" w:cs="Times New Roman"/>
          <w:i/>
          <w:iCs/>
          <w:noProof/>
          <w:szCs w:val="18"/>
        </w:rPr>
        <w:t>Journal of Economic Perspective</w:t>
      </w:r>
      <w:r w:rsidR="00EA7662" w:rsidRPr="00EA7662">
        <w:rPr>
          <w:rFonts w:ascii="Sylfaen" w:eastAsia="Calibri" w:hAnsi="Sylfaen" w:cs="Times New Roman"/>
          <w:iCs/>
          <w:noProof/>
          <w:szCs w:val="18"/>
        </w:rPr>
        <w:t>, 24(1)</w:t>
      </w:r>
      <w:r w:rsidR="00EA7662" w:rsidRPr="00EA7662">
        <w:rPr>
          <w:rFonts w:ascii="Sylfaen" w:eastAsia="Calibri" w:hAnsi="Sylfaen" w:cs="Times New Roman"/>
          <w:noProof/>
          <w:szCs w:val="18"/>
        </w:rPr>
        <w:t xml:space="preserve">, pp. 51-56. </w:t>
      </w:r>
    </w:p>
    <w:p w14:paraId="7234F267" w14:textId="326B30D1" w:rsidR="00EA7662" w:rsidRPr="00566096" w:rsidRDefault="00EA7662" w:rsidP="00566096">
      <w:pPr>
        <w:spacing w:after="160" w:line="360" w:lineRule="auto"/>
        <w:rPr>
          <w:rFonts w:ascii="Sylfaen" w:eastAsia="Calibri" w:hAnsi="Sylfaen" w:cs="Times New Roman"/>
          <w:noProof/>
          <w:szCs w:val="18"/>
        </w:rPr>
      </w:pPr>
      <w:r w:rsidRPr="000533B2">
        <w:rPr>
          <w:rFonts w:ascii="Sylfaen" w:eastAsia="Calibri" w:hAnsi="Sylfaen" w:cs="Times New Roman"/>
          <w:noProof/>
          <w:szCs w:val="18"/>
        </w:rPr>
        <w:t>The Economist</w:t>
      </w:r>
      <w:r w:rsidR="008F2E1E">
        <w:rPr>
          <w:rFonts w:ascii="Sylfaen" w:eastAsia="Calibri" w:hAnsi="Sylfaen" w:cs="Times New Roman"/>
          <w:noProof/>
          <w:szCs w:val="18"/>
        </w:rPr>
        <w:t>. (2012)</w:t>
      </w:r>
      <w:r w:rsidRPr="00EA7662">
        <w:rPr>
          <w:rFonts w:ascii="Sylfaen" w:eastAsia="Calibri" w:hAnsi="Sylfaen" w:cs="Times New Roman"/>
          <w:noProof/>
          <w:szCs w:val="18"/>
        </w:rPr>
        <w:t xml:space="preserve"> </w:t>
      </w:r>
      <w:r w:rsidRPr="000533B2">
        <w:rPr>
          <w:rFonts w:ascii="Sylfaen" w:eastAsia="Calibri" w:hAnsi="Sylfaen" w:cs="Times New Roman"/>
          <w:i/>
          <w:iCs/>
          <w:noProof/>
          <w:szCs w:val="18"/>
        </w:rPr>
        <w:t>Money-market funds. Running from the shadows</w:t>
      </w:r>
      <w:r w:rsidR="008F2E1E">
        <w:rPr>
          <w:rFonts w:ascii="Sylfaen" w:eastAsia="Calibri" w:hAnsi="Sylfaen" w:cs="Times New Roman"/>
          <w:noProof/>
          <w:szCs w:val="18"/>
        </w:rPr>
        <w:t xml:space="preserve">. Available at: </w:t>
      </w:r>
      <w:r w:rsidRPr="00EA7662">
        <w:rPr>
          <w:rFonts w:ascii="Sylfaen" w:eastAsia="Calibri" w:hAnsi="Sylfaen" w:cs="Times New Roman"/>
          <w:noProof/>
          <w:szCs w:val="18"/>
        </w:rPr>
        <w:t>http://www.economist.com/news/finance-and-economics/21567078-regulators-seek-shore-up-money-ma</w:t>
      </w:r>
      <w:r w:rsidR="008F2E1E">
        <w:rPr>
          <w:rFonts w:ascii="Sylfaen" w:eastAsia="Calibri" w:hAnsi="Sylfaen" w:cs="Times New Roman"/>
          <w:noProof/>
          <w:szCs w:val="18"/>
        </w:rPr>
        <w:t>rket-funds-against-runs-running (Accessed: 9 June 2016)</w:t>
      </w:r>
      <w:r w:rsidRPr="00EA7662">
        <w:rPr>
          <w:rFonts w:ascii="Sylfaen" w:eastAsia="Calibri" w:hAnsi="Sylfaen" w:cs="Times New Roman"/>
          <w:noProof/>
          <w:szCs w:val="18"/>
        </w:rPr>
        <w:t>.</w:t>
      </w:r>
    </w:p>
    <w:p w14:paraId="789A2F45" w14:textId="62963663" w:rsidR="00EA7662" w:rsidRPr="00566096" w:rsidRDefault="008F2E1E" w:rsidP="00566096">
      <w:pPr>
        <w:spacing w:after="160" w:line="360" w:lineRule="auto"/>
        <w:rPr>
          <w:rFonts w:ascii="Sylfaen" w:eastAsia="Calibri" w:hAnsi="Sylfaen" w:cs="Times New Roman"/>
          <w:noProof/>
          <w:szCs w:val="18"/>
        </w:rPr>
      </w:pPr>
      <w:r>
        <w:rPr>
          <w:rFonts w:ascii="Sylfaen" w:eastAsia="Calibri" w:hAnsi="Sylfaen" w:cs="Times New Roman"/>
          <w:noProof/>
          <w:szCs w:val="18"/>
        </w:rPr>
        <w:t>Ferguson, N. (2012)</w:t>
      </w:r>
      <w:r w:rsidR="00EA7662" w:rsidRPr="00EA7662">
        <w:rPr>
          <w:rFonts w:ascii="Sylfaen" w:eastAsia="Calibri" w:hAnsi="Sylfaen" w:cs="Times New Roman"/>
          <w:noProof/>
          <w:szCs w:val="18"/>
        </w:rPr>
        <w:t xml:space="preserve"> </w:t>
      </w:r>
      <w:r w:rsidR="0098154C" w:rsidRPr="0098154C">
        <w:rPr>
          <w:rFonts w:ascii="Sylfaen" w:eastAsia="Calibri" w:hAnsi="Sylfaen" w:cs="Times New Roman"/>
          <w:i/>
          <w:noProof/>
          <w:szCs w:val="18"/>
        </w:rPr>
        <w:t>The Darwinian Economy</w:t>
      </w:r>
      <w:r>
        <w:rPr>
          <w:rFonts w:ascii="Sylfaen" w:eastAsia="Calibri" w:hAnsi="Sylfaen" w:cs="Times New Roman"/>
          <w:noProof/>
          <w:szCs w:val="18"/>
        </w:rPr>
        <w:t xml:space="preserve">. Available at: </w:t>
      </w:r>
      <w:r w:rsidR="00EA7662" w:rsidRPr="00EA7662">
        <w:rPr>
          <w:rFonts w:ascii="Sylfaen" w:eastAsia="Calibri" w:hAnsi="Sylfaen" w:cs="Times New Roman"/>
          <w:noProof/>
          <w:szCs w:val="18"/>
        </w:rPr>
        <w:t>http://www.bbc.co.uk/programm</w:t>
      </w:r>
      <w:r>
        <w:rPr>
          <w:rFonts w:ascii="Sylfaen" w:eastAsia="Calibri" w:hAnsi="Sylfaen" w:cs="Times New Roman"/>
          <w:noProof/>
          <w:szCs w:val="18"/>
        </w:rPr>
        <w:t>es/b01jmxqp/features/transcript (Accessed: 9 June 2016)</w:t>
      </w:r>
      <w:r w:rsidR="00EA7662" w:rsidRPr="00EA7662">
        <w:rPr>
          <w:rFonts w:ascii="Sylfaen" w:eastAsia="Calibri" w:hAnsi="Sylfaen" w:cs="Times New Roman"/>
          <w:noProof/>
          <w:szCs w:val="18"/>
        </w:rPr>
        <w:t>.</w:t>
      </w:r>
    </w:p>
    <w:p w14:paraId="003DAAD1" w14:textId="39B052B9" w:rsidR="00EA7662" w:rsidRPr="00566096" w:rsidRDefault="00EA7662" w:rsidP="00566096">
      <w:pPr>
        <w:spacing w:after="160" w:line="360" w:lineRule="auto"/>
        <w:rPr>
          <w:rFonts w:ascii="Sylfaen" w:eastAsia="Calibri" w:hAnsi="Sylfaen" w:cs="Times New Roman"/>
          <w:noProof/>
          <w:szCs w:val="18"/>
        </w:rPr>
      </w:pPr>
      <w:r w:rsidRPr="00EA7662">
        <w:rPr>
          <w:rFonts w:ascii="Sylfaen" w:eastAsia="Calibri" w:hAnsi="Sylfaen" w:cs="Times New Roman"/>
          <w:noProof/>
          <w:szCs w:val="18"/>
        </w:rPr>
        <w:t>Go</w:t>
      </w:r>
      <w:r w:rsidR="008F2E1E">
        <w:rPr>
          <w:rFonts w:ascii="Sylfaen" w:eastAsia="Calibri" w:hAnsi="Sylfaen" w:cs="Times New Roman"/>
          <w:noProof/>
          <w:szCs w:val="18"/>
        </w:rPr>
        <w:t>rton, G. and Metrick. A. (2009)</w:t>
      </w:r>
      <w:r w:rsidR="008F2E1E" w:rsidRPr="008F2E1E">
        <w:rPr>
          <w:noProof/>
          <w:lang w:eastAsia="en-GB"/>
        </w:rPr>
        <w:t xml:space="preserve"> </w:t>
      </w:r>
      <w:r w:rsidRPr="00B7208F">
        <w:rPr>
          <w:rFonts w:ascii="Sylfaen" w:eastAsia="Calibri" w:hAnsi="Sylfaen" w:cs="Times New Roman"/>
          <w:i/>
          <w:noProof/>
          <w:szCs w:val="18"/>
        </w:rPr>
        <w:t>Securitized Banking and the Run on Repo</w:t>
      </w:r>
      <w:r w:rsidR="00B7208F">
        <w:rPr>
          <w:rFonts w:ascii="Sylfaen" w:eastAsia="Calibri" w:hAnsi="Sylfaen" w:cs="Times New Roman"/>
          <w:i/>
          <w:noProof/>
          <w:szCs w:val="18"/>
        </w:rPr>
        <w:t>.</w:t>
      </w:r>
      <w:r w:rsidRPr="00EA7662">
        <w:rPr>
          <w:rFonts w:ascii="Sylfaen" w:eastAsia="Calibri" w:hAnsi="Sylfaen" w:cs="Times New Roman"/>
          <w:noProof/>
          <w:szCs w:val="18"/>
        </w:rPr>
        <w:t xml:space="preserve"> </w:t>
      </w:r>
      <w:r w:rsidRPr="00B7208F">
        <w:rPr>
          <w:rFonts w:ascii="Sylfaen" w:eastAsia="Calibri" w:hAnsi="Sylfaen" w:cs="Times New Roman"/>
          <w:iCs/>
          <w:noProof/>
          <w:szCs w:val="18"/>
        </w:rPr>
        <w:t>NBER Working Paper No. 15223</w:t>
      </w:r>
      <w:r w:rsidRPr="00B7208F">
        <w:rPr>
          <w:rFonts w:ascii="Sylfaen" w:eastAsia="Calibri" w:hAnsi="Sylfaen" w:cs="Times New Roman"/>
          <w:noProof/>
          <w:szCs w:val="18"/>
        </w:rPr>
        <w:t>,</w:t>
      </w:r>
      <w:r w:rsidRPr="00EA7662">
        <w:rPr>
          <w:rFonts w:ascii="Sylfaen" w:eastAsia="Calibri" w:hAnsi="Sylfaen" w:cs="Times New Roman"/>
          <w:noProof/>
          <w:szCs w:val="18"/>
        </w:rPr>
        <w:t xml:space="preserve"> pp.1-33.</w:t>
      </w:r>
      <w:r w:rsidR="00B7208F">
        <w:rPr>
          <w:rFonts w:ascii="Sylfaen" w:eastAsia="Calibri" w:hAnsi="Sylfaen" w:cs="Times New Roman"/>
          <w:noProof/>
          <w:szCs w:val="18"/>
        </w:rPr>
        <w:t xml:space="preserve"> doi: </w:t>
      </w:r>
      <w:r w:rsidR="00B7208F" w:rsidRPr="00B7208F">
        <w:rPr>
          <w:rFonts w:ascii="Sylfaen" w:eastAsia="Calibri" w:hAnsi="Sylfaen" w:cs="Times New Roman"/>
          <w:noProof/>
          <w:szCs w:val="18"/>
        </w:rPr>
        <w:t>10.3386/w15223</w:t>
      </w:r>
      <w:r w:rsidR="00B7208F">
        <w:rPr>
          <w:rFonts w:ascii="Sylfaen" w:eastAsia="Calibri" w:hAnsi="Sylfaen" w:cs="Times New Roman"/>
          <w:noProof/>
          <w:szCs w:val="18"/>
        </w:rPr>
        <w:t xml:space="preserve">. </w:t>
      </w:r>
    </w:p>
    <w:p w14:paraId="10BEA0D8" w14:textId="1B1DA981" w:rsidR="00EA7662" w:rsidRPr="00566096" w:rsidRDefault="00BC6A04" w:rsidP="00566096">
      <w:pPr>
        <w:spacing w:after="160" w:line="360" w:lineRule="auto"/>
        <w:rPr>
          <w:rFonts w:ascii="Sylfaen" w:eastAsia="Calibri" w:hAnsi="Sylfaen" w:cs="Times New Roman"/>
          <w:noProof/>
          <w:szCs w:val="18"/>
        </w:rPr>
      </w:pPr>
      <w:r>
        <w:rPr>
          <w:rFonts w:ascii="Sylfaen" w:eastAsia="Calibri" w:hAnsi="Sylfaen" w:cs="Times New Roman"/>
          <w:noProof/>
          <w:szCs w:val="18"/>
        </w:rPr>
        <w:t>Group, R. O. (1999)</w:t>
      </w:r>
      <w:r w:rsidR="00EA7662" w:rsidRPr="00EA7662">
        <w:rPr>
          <w:rFonts w:ascii="Sylfaen" w:eastAsia="Calibri" w:hAnsi="Sylfaen" w:cs="Times New Roman"/>
          <w:noProof/>
          <w:szCs w:val="18"/>
        </w:rPr>
        <w:t xml:space="preserve"> </w:t>
      </w:r>
      <w:r w:rsidR="00EA7662" w:rsidRPr="0098154C">
        <w:rPr>
          <w:rFonts w:ascii="Sylfaen" w:eastAsia="Calibri" w:hAnsi="Sylfaen" w:cs="Times New Roman"/>
          <w:i/>
          <w:iCs/>
          <w:noProof/>
          <w:szCs w:val="18"/>
        </w:rPr>
        <w:t>Implications of repo markets for central banks</w:t>
      </w:r>
      <w:r w:rsidR="00EA7662" w:rsidRPr="00EA7662">
        <w:rPr>
          <w:rFonts w:ascii="Sylfaen" w:eastAsia="Calibri" w:hAnsi="Sylfaen" w:cs="Times New Roman"/>
          <w:iCs/>
          <w:noProof/>
          <w:szCs w:val="18"/>
        </w:rPr>
        <w:t>.</w:t>
      </w:r>
      <w:r w:rsidR="00EA7662" w:rsidRPr="00EA7662">
        <w:rPr>
          <w:rFonts w:ascii="Sylfaen" w:eastAsia="Calibri" w:hAnsi="Sylfaen" w:cs="Times New Roman"/>
          <w:noProof/>
          <w:szCs w:val="18"/>
        </w:rPr>
        <w:t xml:space="preserve"> </w:t>
      </w:r>
      <w:r>
        <w:rPr>
          <w:rFonts w:ascii="Sylfaen" w:eastAsia="Calibri" w:hAnsi="Sylfaen" w:cs="Times New Roman"/>
          <w:noProof/>
          <w:szCs w:val="18"/>
        </w:rPr>
        <w:t xml:space="preserve">Available at: </w:t>
      </w:r>
      <w:r w:rsidR="00EA7662" w:rsidRPr="00EA7662">
        <w:rPr>
          <w:rFonts w:ascii="Sylfaen" w:eastAsia="Calibri" w:hAnsi="Sylfaen" w:cs="Times New Roman"/>
          <w:noProof/>
          <w:szCs w:val="18"/>
        </w:rPr>
        <w:t>htt</w:t>
      </w:r>
      <w:r>
        <w:rPr>
          <w:rFonts w:ascii="Sylfaen" w:eastAsia="Calibri" w:hAnsi="Sylfaen" w:cs="Times New Roman"/>
          <w:noProof/>
          <w:szCs w:val="18"/>
        </w:rPr>
        <w:t>p://www.bis.org/publ/cgfs10.pdf (Accessed: 9 June 2016)</w:t>
      </w:r>
      <w:r w:rsidR="00EA7662" w:rsidRPr="00EA7662">
        <w:rPr>
          <w:rFonts w:ascii="Sylfaen" w:eastAsia="Calibri" w:hAnsi="Sylfaen" w:cs="Times New Roman"/>
          <w:noProof/>
          <w:szCs w:val="18"/>
        </w:rPr>
        <w:t>.</w:t>
      </w:r>
    </w:p>
    <w:p w14:paraId="6CFBC16B" w14:textId="73F7AFA1" w:rsidR="00EA7662" w:rsidRPr="00566096" w:rsidRDefault="00EA7662" w:rsidP="00566096">
      <w:pPr>
        <w:spacing w:after="160" w:line="360" w:lineRule="auto"/>
        <w:rPr>
          <w:rFonts w:ascii="Sylfaen" w:eastAsia="Calibri" w:hAnsi="Sylfaen" w:cs="Times New Roman"/>
          <w:noProof/>
          <w:szCs w:val="18"/>
        </w:rPr>
      </w:pPr>
      <w:r w:rsidRPr="00EA7662">
        <w:rPr>
          <w:rFonts w:ascii="Sylfaen" w:eastAsia="Calibri" w:hAnsi="Sylfaen" w:cs="Times New Roman"/>
          <w:noProof/>
          <w:szCs w:val="18"/>
        </w:rPr>
        <w:t>Hö</w:t>
      </w:r>
      <w:r w:rsidR="00BC6A04">
        <w:rPr>
          <w:rFonts w:ascii="Sylfaen" w:eastAsia="Calibri" w:hAnsi="Sylfaen" w:cs="Times New Roman"/>
          <w:noProof/>
          <w:szCs w:val="18"/>
        </w:rPr>
        <w:t>rdahl, P. and King, M. R. (2008)</w:t>
      </w:r>
      <w:r w:rsidRPr="00EA7662">
        <w:rPr>
          <w:rFonts w:ascii="Sylfaen" w:eastAsia="Calibri" w:hAnsi="Sylfaen" w:cs="Times New Roman"/>
          <w:noProof/>
          <w:szCs w:val="18"/>
        </w:rPr>
        <w:t xml:space="preserve"> </w:t>
      </w:r>
      <w:r w:rsidRPr="0098154C">
        <w:rPr>
          <w:rFonts w:ascii="Sylfaen" w:eastAsia="Calibri" w:hAnsi="Sylfaen" w:cs="Times New Roman"/>
          <w:i/>
          <w:iCs/>
          <w:noProof/>
          <w:szCs w:val="18"/>
        </w:rPr>
        <w:t>Developments in repo markets during the financial turmoil</w:t>
      </w:r>
      <w:r w:rsidRPr="00EA7662">
        <w:rPr>
          <w:rFonts w:ascii="Sylfaen" w:eastAsia="Calibri" w:hAnsi="Sylfaen" w:cs="Times New Roman"/>
          <w:iCs/>
          <w:noProof/>
          <w:szCs w:val="18"/>
        </w:rPr>
        <w:t>.</w:t>
      </w:r>
      <w:r w:rsidRPr="00EA7662">
        <w:rPr>
          <w:rFonts w:ascii="Sylfaen" w:eastAsia="Calibri" w:hAnsi="Sylfaen" w:cs="Times New Roman"/>
          <w:noProof/>
          <w:szCs w:val="18"/>
        </w:rPr>
        <w:t xml:space="preserve"> </w:t>
      </w:r>
      <w:r w:rsidR="00BC6A04">
        <w:rPr>
          <w:rFonts w:ascii="Sylfaen" w:eastAsia="Calibri" w:hAnsi="Sylfaen" w:cs="Times New Roman"/>
          <w:noProof/>
          <w:szCs w:val="18"/>
        </w:rPr>
        <w:t xml:space="preserve">Available at: </w:t>
      </w:r>
      <w:r w:rsidRPr="00EA7662">
        <w:rPr>
          <w:rFonts w:ascii="Sylfaen" w:eastAsia="Calibri" w:hAnsi="Sylfaen" w:cs="Times New Roman"/>
          <w:noProof/>
          <w:szCs w:val="18"/>
        </w:rPr>
        <w:t>http://www.bi</w:t>
      </w:r>
      <w:r w:rsidR="00BC6A04">
        <w:rPr>
          <w:rFonts w:ascii="Sylfaen" w:eastAsia="Calibri" w:hAnsi="Sylfaen" w:cs="Times New Roman"/>
          <w:noProof/>
          <w:szCs w:val="18"/>
        </w:rPr>
        <w:t>s.org/publ/qtrpdf/r_qt0812e.pdf (Accessed: 9 June 2016)</w:t>
      </w:r>
      <w:r w:rsidRPr="00EA7662">
        <w:rPr>
          <w:rFonts w:ascii="Sylfaen" w:eastAsia="Calibri" w:hAnsi="Sylfaen" w:cs="Times New Roman"/>
          <w:noProof/>
          <w:szCs w:val="18"/>
        </w:rPr>
        <w:t>.</w:t>
      </w:r>
    </w:p>
    <w:p w14:paraId="323BF719" w14:textId="4E2EEC86" w:rsidR="00EA7662" w:rsidRPr="00566096" w:rsidRDefault="00BC6A04" w:rsidP="00566096">
      <w:pPr>
        <w:spacing w:after="160" w:line="360" w:lineRule="auto"/>
        <w:rPr>
          <w:rFonts w:ascii="Sylfaen" w:eastAsia="Calibri" w:hAnsi="Sylfaen" w:cs="Times New Roman"/>
          <w:noProof/>
          <w:szCs w:val="18"/>
        </w:rPr>
      </w:pPr>
      <w:r>
        <w:rPr>
          <w:rFonts w:ascii="Sylfaen" w:eastAsia="Calibri" w:hAnsi="Sylfaen" w:cs="Times New Roman"/>
          <w:noProof/>
          <w:szCs w:val="18"/>
        </w:rPr>
        <w:lastRenderedPageBreak/>
        <w:t>McCracken, J. (2008)</w:t>
      </w:r>
      <w:r w:rsidR="00EA7662" w:rsidRPr="00EA7662">
        <w:rPr>
          <w:rFonts w:ascii="Sylfaen" w:eastAsia="Calibri" w:hAnsi="Sylfaen" w:cs="Times New Roman"/>
          <w:noProof/>
          <w:szCs w:val="18"/>
        </w:rPr>
        <w:t xml:space="preserve"> </w:t>
      </w:r>
      <w:r>
        <w:rPr>
          <w:rFonts w:ascii="Sylfaen" w:eastAsia="Calibri" w:hAnsi="Sylfaen" w:cs="Times New Roman"/>
          <w:noProof/>
          <w:szCs w:val="18"/>
        </w:rPr>
        <w:t>‘</w:t>
      </w:r>
      <w:r w:rsidR="00EA7662" w:rsidRPr="00EA7662">
        <w:rPr>
          <w:rFonts w:ascii="Sylfaen" w:eastAsia="Calibri" w:hAnsi="Sylfaen" w:cs="Times New Roman"/>
          <w:noProof/>
          <w:szCs w:val="18"/>
        </w:rPr>
        <w:t>Lehman's Chaotic Bankruptcy Filing Destroyed Billions in Value</w:t>
      </w:r>
      <w:r>
        <w:rPr>
          <w:rFonts w:ascii="Sylfaen" w:eastAsia="Calibri" w:hAnsi="Sylfaen" w:cs="Times New Roman"/>
          <w:noProof/>
          <w:szCs w:val="18"/>
        </w:rPr>
        <w:t>’,</w:t>
      </w:r>
      <w:r w:rsidR="00EA7662" w:rsidRPr="00EA7662">
        <w:rPr>
          <w:rFonts w:ascii="Sylfaen" w:eastAsia="Calibri" w:hAnsi="Sylfaen" w:cs="Times New Roman"/>
          <w:noProof/>
          <w:szCs w:val="18"/>
        </w:rPr>
        <w:t xml:space="preserve"> </w:t>
      </w:r>
      <w:r w:rsidR="00EA7662" w:rsidRPr="00EA7662">
        <w:rPr>
          <w:rFonts w:ascii="Sylfaen" w:eastAsia="Calibri" w:hAnsi="Sylfaen" w:cs="Times New Roman"/>
          <w:i/>
          <w:iCs/>
          <w:noProof/>
          <w:szCs w:val="18"/>
        </w:rPr>
        <w:t>The Wall Street Journal</w:t>
      </w:r>
      <w:r>
        <w:rPr>
          <w:rFonts w:ascii="Sylfaen" w:eastAsia="Calibri" w:hAnsi="Sylfaen" w:cs="Times New Roman"/>
          <w:i/>
          <w:iCs/>
          <w:noProof/>
          <w:szCs w:val="18"/>
        </w:rPr>
        <w:t>,</w:t>
      </w:r>
      <w:r>
        <w:rPr>
          <w:rFonts w:ascii="Sylfaen" w:eastAsia="Calibri" w:hAnsi="Sylfaen" w:cs="Times New Roman"/>
          <w:iCs/>
          <w:noProof/>
          <w:szCs w:val="18"/>
        </w:rPr>
        <w:t xml:space="preserve"> 29 December</w:t>
      </w:r>
      <w:r w:rsidR="00EA7662" w:rsidRPr="00EA7662">
        <w:rPr>
          <w:rFonts w:ascii="Sylfaen" w:eastAsia="Calibri" w:hAnsi="Sylfaen" w:cs="Times New Roman"/>
          <w:i/>
          <w:iCs/>
          <w:noProof/>
          <w:szCs w:val="18"/>
        </w:rPr>
        <w:t>.</w:t>
      </w:r>
      <w:r w:rsidR="00EA7662" w:rsidRPr="00EA7662">
        <w:rPr>
          <w:rFonts w:ascii="Sylfaen" w:eastAsia="Calibri" w:hAnsi="Sylfaen" w:cs="Times New Roman"/>
          <w:noProof/>
          <w:szCs w:val="18"/>
        </w:rPr>
        <w:t xml:space="preserve"> </w:t>
      </w:r>
      <w:r>
        <w:rPr>
          <w:rFonts w:ascii="Sylfaen" w:eastAsia="Calibri" w:hAnsi="Sylfaen" w:cs="Times New Roman"/>
          <w:noProof/>
          <w:szCs w:val="18"/>
        </w:rPr>
        <w:t xml:space="preserve">Available at: </w:t>
      </w:r>
      <w:r w:rsidR="00EA7662" w:rsidRPr="00EA7662">
        <w:rPr>
          <w:rFonts w:ascii="Sylfaen" w:eastAsia="Calibri" w:hAnsi="Sylfaen" w:cs="Times New Roman"/>
          <w:noProof/>
          <w:szCs w:val="18"/>
        </w:rPr>
        <w:t>http://online.wsj.com/news/articles/SB123050916770038267?mg=reno64-wsj&amp;url=http%3A%2F%2Fonline.wsj.com%2Farti</w:t>
      </w:r>
      <w:r>
        <w:rPr>
          <w:rFonts w:ascii="Sylfaen" w:eastAsia="Calibri" w:hAnsi="Sylfaen" w:cs="Times New Roman"/>
          <w:noProof/>
          <w:szCs w:val="18"/>
        </w:rPr>
        <w:t>cle%2FSB123050916770038267.html (Accessed: 9 June 2016)</w:t>
      </w:r>
      <w:r w:rsidR="00EA7662" w:rsidRPr="00EA7662">
        <w:rPr>
          <w:rFonts w:ascii="Sylfaen" w:eastAsia="Calibri" w:hAnsi="Sylfaen" w:cs="Times New Roman"/>
          <w:noProof/>
          <w:szCs w:val="18"/>
        </w:rPr>
        <w:t>.</w:t>
      </w:r>
    </w:p>
    <w:p w14:paraId="6587FE4B" w14:textId="08505172" w:rsidR="00EA7662" w:rsidRPr="00566096" w:rsidRDefault="00BC6A04" w:rsidP="00566096">
      <w:pPr>
        <w:spacing w:after="160" w:line="360" w:lineRule="auto"/>
        <w:rPr>
          <w:rFonts w:ascii="Sylfaen" w:eastAsia="Calibri" w:hAnsi="Sylfaen" w:cs="Times New Roman"/>
          <w:noProof/>
          <w:szCs w:val="18"/>
        </w:rPr>
      </w:pPr>
      <w:r>
        <w:rPr>
          <w:rFonts w:ascii="Sylfaen" w:eastAsia="Calibri" w:hAnsi="Sylfaen" w:cs="Times New Roman"/>
          <w:noProof/>
          <w:szCs w:val="18"/>
        </w:rPr>
        <w:t>Papagianis, C. (2010)</w:t>
      </w:r>
      <w:r w:rsidR="00EA7662" w:rsidRPr="00EA7662">
        <w:rPr>
          <w:rFonts w:ascii="Sylfaen" w:eastAsia="Calibri" w:hAnsi="Sylfaen" w:cs="Times New Roman"/>
          <w:noProof/>
          <w:szCs w:val="18"/>
        </w:rPr>
        <w:t xml:space="preserve"> </w:t>
      </w:r>
      <w:r w:rsidR="00EA7662" w:rsidRPr="0098154C">
        <w:rPr>
          <w:rFonts w:ascii="Sylfaen" w:eastAsia="Calibri" w:hAnsi="Sylfaen" w:cs="Times New Roman"/>
          <w:i/>
          <w:iCs/>
          <w:noProof/>
          <w:szCs w:val="18"/>
        </w:rPr>
        <w:t>Do Money Market Mutual Funds Make Sense Anymo</w:t>
      </w:r>
      <w:r w:rsidR="0098154C" w:rsidRPr="0098154C">
        <w:rPr>
          <w:rFonts w:ascii="Sylfaen" w:eastAsia="Calibri" w:hAnsi="Sylfaen" w:cs="Times New Roman"/>
          <w:i/>
          <w:iCs/>
          <w:noProof/>
          <w:szCs w:val="18"/>
        </w:rPr>
        <w:t>re?</w:t>
      </w:r>
      <w:r>
        <w:rPr>
          <w:rFonts w:ascii="Sylfaen" w:eastAsia="Calibri" w:hAnsi="Sylfaen" w:cs="Times New Roman"/>
          <w:iCs/>
          <w:noProof/>
          <w:szCs w:val="18"/>
        </w:rPr>
        <w:t xml:space="preserve">. </w:t>
      </w:r>
      <w:r>
        <w:rPr>
          <w:rFonts w:ascii="Sylfaen" w:eastAsia="Calibri" w:hAnsi="Sylfaen" w:cs="Times New Roman"/>
          <w:noProof/>
          <w:szCs w:val="18"/>
        </w:rPr>
        <w:t xml:space="preserve">Available at: </w:t>
      </w:r>
      <w:r w:rsidR="00EA7662" w:rsidRPr="00EA7662">
        <w:rPr>
          <w:rFonts w:ascii="Sylfaen" w:eastAsia="Calibri" w:hAnsi="Sylfaen" w:cs="Times New Roman"/>
          <w:noProof/>
          <w:szCs w:val="18"/>
        </w:rPr>
        <w:t>http://economics21.org/commentary/do-money-market-</w:t>
      </w:r>
      <w:r>
        <w:rPr>
          <w:rFonts w:ascii="Sylfaen" w:eastAsia="Calibri" w:hAnsi="Sylfaen" w:cs="Times New Roman"/>
          <w:noProof/>
          <w:szCs w:val="18"/>
        </w:rPr>
        <w:t>mutual-funds-make-sense-anymore (Accessed: 9 June 2016)</w:t>
      </w:r>
      <w:r w:rsidR="00EA7662" w:rsidRPr="00EA7662">
        <w:rPr>
          <w:rFonts w:ascii="Sylfaen" w:eastAsia="Calibri" w:hAnsi="Sylfaen" w:cs="Times New Roman"/>
          <w:noProof/>
          <w:szCs w:val="18"/>
        </w:rPr>
        <w:t>.</w:t>
      </w:r>
    </w:p>
    <w:p w14:paraId="29A322D8" w14:textId="1B2D5C1D" w:rsidR="00EA7662" w:rsidRPr="00566096" w:rsidRDefault="00BC6A04" w:rsidP="00566096">
      <w:pPr>
        <w:spacing w:after="160" w:line="360" w:lineRule="auto"/>
        <w:rPr>
          <w:rFonts w:ascii="Sylfaen" w:eastAsia="Calibri" w:hAnsi="Sylfaen" w:cs="Times New Roman"/>
          <w:noProof/>
          <w:szCs w:val="18"/>
        </w:rPr>
      </w:pPr>
      <w:r>
        <w:rPr>
          <w:rFonts w:ascii="Sylfaen" w:eastAsia="Calibri" w:hAnsi="Sylfaen" w:cs="Times New Roman"/>
          <w:noProof/>
          <w:szCs w:val="18"/>
        </w:rPr>
        <w:t>Shin, H. S. (2009)</w:t>
      </w:r>
      <w:r w:rsidR="00EA7662" w:rsidRPr="00EA7662">
        <w:rPr>
          <w:rFonts w:ascii="Sylfaen" w:eastAsia="Calibri" w:hAnsi="Sylfaen" w:cs="Times New Roman"/>
          <w:noProof/>
          <w:szCs w:val="18"/>
        </w:rPr>
        <w:t xml:space="preserve"> </w:t>
      </w:r>
      <w:r>
        <w:rPr>
          <w:rFonts w:ascii="Sylfaen" w:eastAsia="Calibri" w:hAnsi="Sylfaen" w:cs="Times New Roman"/>
          <w:noProof/>
          <w:szCs w:val="18"/>
        </w:rPr>
        <w:t>‘</w:t>
      </w:r>
      <w:r w:rsidR="00EA7662" w:rsidRPr="00EA7662">
        <w:rPr>
          <w:rFonts w:ascii="Sylfaen" w:eastAsia="Calibri" w:hAnsi="Sylfaen" w:cs="Times New Roman"/>
          <w:noProof/>
          <w:szCs w:val="18"/>
        </w:rPr>
        <w:t>Reflections on Northern Rock: The Bank Run That Heralded the Global Finan</w:t>
      </w:r>
      <w:r>
        <w:rPr>
          <w:rFonts w:ascii="Sylfaen" w:eastAsia="Calibri" w:hAnsi="Sylfaen" w:cs="Times New Roman"/>
          <w:noProof/>
          <w:szCs w:val="18"/>
        </w:rPr>
        <w:t>cial Crisis’,</w:t>
      </w:r>
      <w:r w:rsidR="00EA7662" w:rsidRPr="00EA7662">
        <w:rPr>
          <w:rFonts w:ascii="Sylfaen" w:eastAsia="Calibri" w:hAnsi="Sylfaen" w:cs="Times New Roman"/>
          <w:noProof/>
          <w:szCs w:val="18"/>
        </w:rPr>
        <w:t xml:space="preserve"> </w:t>
      </w:r>
      <w:r w:rsidR="00EA7662" w:rsidRPr="00EA7662">
        <w:rPr>
          <w:rFonts w:ascii="Sylfaen" w:eastAsia="Calibri" w:hAnsi="Sylfaen" w:cs="Times New Roman"/>
          <w:i/>
          <w:iCs/>
          <w:noProof/>
          <w:szCs w:val="18"/>
        </w:rPr>
        <w:t xml:space="preserve">The Journal of Economic Perspectives, </w:t>
      </w:r>
      <w:r w:rsidR="00EA7662" w:rsidRPr="00EA7662">
        <w:rPr>
          <w:rFonts w:ascii="Sylfaen" w:eastAsia="Calibri" w:hAnsi="Sylfaen" w:cs="Times New Roman"/>
          <w:iCs/>
          <w:noProof/>
          <w:szCs w:val="18"/>
        </w:rPr>
        <w:t>23(1)</w:t>
      </w:r>
      <w:r w:rsidR="00EA7662" w:rsidRPr="00EA7662">
        <w:rPr>
          <w:rFonts w:ascii="Sylfaen" w:eastAsia="Calibri" w:hAnsi="Sylfaen" w:cs="Times New Roman"/>
          <w:noProof/>
          <w:szCs w:val="18"/>
        </w:rPr>
        <w:t xml:space="preserve">, pp.101-20. </w:t>
      </w:r>
    </w:p>
    <w:p w14:paraId="2B9C0533" w14:textId="37A360BA" w:rsidR="00EA7662" w:rsidRPr="00566096" w:rsidRDefault="00BC6A04" w:rsidP="00566096">
      <w:pPr>
        <w:spacing w:after="160" w:line="360" w:lineRule="auto"/>
        <w:rPr>
          <w:rFonts w:ascii="Sylfaen" w:eastAsia="Calibri" w:hAnsi="Sylfaen" w:cs="Times New Roman"/>
          <w:noProof/>
          <w:szCs w:val="18"/>
        </w:rPr>
      </w:pPr>
      <w:r>
        <w:rPr>
          <w:rFonts w:ascii="Sylfaen" w:eastAsia="Calibri" w:hAnsi="Sylfaen" w:cs="Times New Roman"/>
          <w:noProof/>
          <w:szCs w:val="18"/>
        </w:rPr>
        <w:t>Soros, G. (2009)</w:t>
      </w:r>
      <w:r w:rsidR="00EA7662" w:rsidRPr="00EA7662">
        <w:rPr>
          <w:rFonts w:ascii="Sylfaen" w:eastAsia="Calibri" w:hAnsi="Sylfaen" w:cs="Times New Roman"/>
          <w:i/>
          <w:iCs/>
          <w:noProof/>
          <w:szCs w:val="18"/>
        </w:rPr>
        <w:t>The Crash of 2008 And What It Means: The New Paradigm For Financial Markets</w:t>
      </w:r>
      <w:r w:rsidR="00EA7662" w:rsidRPr="00EA7662">
        <w:rPr>
          <w:rFonts w:ascii="Sylfaen" w:eastAsia="Calibri" w:hAnsi="Sylfaen" w:cs="Times New Roman"/>
          <w:noProof/>
          <w:szCs w:val="18"/>
        </w:rPr>
        <w:t>. New York: PublicAffairs, U.S.</w:t>
      </w:r>
    </w:p>
    <w:p w14:paraId="1FE28F54" w14:textId="6445DDB9" w:rsidR="00EA7662" w:rsidRPr="00566096" w:rsidRDefault="00BC6A04" w:rsidP="00566096">
      <w:pPr>
        <w:spacing w:after="160" w:line="360" w:lineRule="auto"/>
        <w:rPr>
          <w:rFonts w:ascii="Sylfaen" w:eastAsia="Calibri" w:hAnsi="Sylfaen" w:cs="Times New Roman"/>
          <w:noProof/>
          <w:szCs w:val="18"/>
        </w:rPr>
      </w:pPr>
      <w:r>
        <w:rPr>
          <w:rFonts w:ascii="Sylfaen" w:eastAsia="Calibri" w:hAnsi="Sylfaen" w:cs="Times New Roman"/>
          <w:noProof/>
          <w:szCs w:val="18"/>
        </w:rPr>
        <w:t>Taylor, J. B. (2009)</w:t>
      </w:r>
      <w:r w:rsidR="00EA7662" w:rsidRPr="00EA7662">
        <w:rPr>
          <w:rFonts w:ascii="Sylfaen" w:eastAsia="Calibri" w:hAnsi="Sylfaen" w:cs="Times New Roman"/>
          <w:noProof/>
          <w:szCs w:val="18"/>
        </w:rPr>
        <w:t xml:space="preserve"> </w:t>
      </w:r>
      <w:r w:rsidR="00EA7662" w:rsidRPr="00BC6A04">
        <w:rPr>
          <w:rFonts w:ascii="Sylfaen" w:eastAsia="Calibri" w:hAnsi="Sylfaen" w:cs="Times New Roman"/>
          <w:i/>
          <w:iCs/>
          <w:noProof/>
          <w:szCs w:val="18"/>
        </w:rPr>
        <w:t>The Financial Crisis and the Policy Responses: An Empirical Analysis of What Went Wrong</w:t>
      </w:r>
      <w:r w:rsidR="00EA7662" w:rsidRPr="00EA7662">
        <w:rPr>
          <w:rFonts w:ascii="Sylfaen" w:eastAsia="Calibri" w:hAnsi="Sylfaen" w:cs="Times New Roman"/>
          <w:i/>
          <w:iCs/>
          <w:noProof/>
          <w:szCs w:val="18"/>
        </w:rPr>
        <w:t>.</w:t>
      </w:r>
      <w:r w:rsidR="00EA7662" w:rsidRPr="00EA7662">
        <w:rPr>
          <w:rFonts w:ascii="Sylfaen" w:eastAsia="Calibri" w:hAnsi="Sylfaen" w:cs="Times New Roman"/>
          <w:noProof/>
          <w:szCs w:val="18"/>
        </w:rPr>
        <w:t xml:space="preserve"> </w:t>
      </w:r>
      <w:r w:rsidRPr="00BC6A04">
        <w:rPr>
          <w:rFonts w:ascii="Sylfaen" w:eastAsia="Calibri" w:hAnsi="Sylfaen" w:cs="Times New Roman"/>
          <w:noProof/>
          <w:szCs w:val="18"/>
        </w:rPr>
        <w:t>NBER Working Paper No.</w:t>
      </w:r>
      <w:r>
        <w:rPr>
          <w:rFonts w:ascii="Sylfaen" w:eastAsia="Calibri" w:hAnsi="Sylfaen" w:cs="Times New Roman"/>
          <w:i/>
          <w:noProof/>
          <w:szCs w:val="18"/>
        </w:rPr>
        <w:t xml:space="preserve"> </w:t>
      </w:r>
      <w:r>
        <w:rPr>
          <w:rFonts w:ascii="Sylfaen" w:eastAsia="Calibri" w:hAnsi="Sylfaen" w:cs="Times New Roman"/>
          <w:noProof/>
          <w:szCs w:val="18"/>
        </w:rPr>
        <w:t xml:space="preserve">14631. doi: </w:t>
      </w:r>
      <w:r w:rsidRPr="00BC6A04">
        <w:rPr>
          <w:rFonts w:ascii="Sylfaen" w:eastAsia="Calibri" w:hAnsi="Sylfaen" w:cs="Times New Roman"/>
          <w:noProof/>
          <w:szCs w:val="18"/>
        </w:rPr>
        <w:t>10.3386/w14631</w:t>
      </w:r>
      <w:r>
        <w:rPr>
          <w:rFonts w:ascii="Sylfaen" w:eastAsia="Calibri" w:hAnsi="Sylfaen" w:cs="Times New Roman"/>
          <w:noProof/>
          <w:szCs w:val="18"/>
        </w:rPr>
        <w:t>.</w:t>
      </w:r>
      <w:r w:rsidR="00EA7662" w:rsidRPr="00EA7662">
        <w:rPr>
          <w:rFonts w:ascii="Sylfaen" w:eastAsia="Calibri" w:hAnsi="Sylfaen" w:cs="Times New Roman"/>
          <w:noProof/>
          <w:szCs w:val="18"/>
        </w:rPr>
        <w:t xml:space="preserve"> </w:t>
      </w:r>
    </w:p>
    <w:p w14:paraId="7B47D568" w14:textId="0945CEE3" w:rsidR="00EA7662" w:rsidRPr="00BC6A04" w:rsidRDefault="00EA7662" w:rsidP="00566096">
      <w:pPr>
        <w:spacing w:after="160" w:line="360" w:lineRule="auto"/>
        <w:rPr>
          <w:rFonts w:ascii="Sylfaen" w:eastAsia="Calibri" w:hAnsi="Sylfaen" w:cs="Times New Roman"/>
          <w:noProof/>
          <w:szCs w:val="18"/>
        </w:rPr>
      </w:pPr>
      <w:r w:rsidRPr="00EA7662">
        <w:rPr>
          <w:rFonts w:ascii="Sylfaen" w:eastAsia="Calibri" w:hAnsi="Sylfaen" w:cs="Times New Roman"/>
          <w:noProof/>
          <w:szCs w:val="18"/>
        </w:rPr>
        <w:t>US De</w:t>
      </w:r>
      <w:r w:rsidR="00BC6A04">
        <w:rPr>
          <w:rFonts w:ascii="Sylfaen" w:eastAsia="Calibri" w:hAnsi="Sylfaen" w:cs="Times New Roman"/>
          <w:noProof/>
          <w:szCs w:val="18"/>
        </w:rPr>
        <w:t>partment of the Treasury (2012)</w:t>
      </w:r>
      <w:r w:rsidRPr="00EA7662">
        <w:rPr>
          <w:rFonts w:ascii="Sylfaen" w:eastAsia="Calibri" w:hAnsi="Sylfaen" w:cs="Times New Roman"/>
          <w:noProof/>
          <w:szCs w:val="18"/>
        </w:rPr>
        <w:t xml:space="preserve"> </w:t>
      </w:r>
      <w:r w:rsidRPr="00EA7662">
        <w:rPr>
          <w:rFonts w:ascii="Sylfaen" w:eastAsia="Calibri" w:hAnsi="Sylfaen" w:cs="Times New Roman"/>
          <w:i/>
          <w:iCs/>
          <w:noProof/>
          <w:szCs w:val="18"/>
        </w:rPr>
        <w:t>The Financial Crisis Response In Charts</w:t>
      </w:r>
      <w:r w:rsidRPr="00EA7662">
        <w:rPr>
          <w:rFonts w:ascii="Sylfaen" w:eastAsia="Calibri" w:hAnsi="Sylfaen" w:cs="Times New Roman"/>
          <w:noProof/>
          <w:szCs w:val="18"/>
        </w:rPr>
        <w:t xml:space="preserve">. </w:t>
      </w:r>
      <w:r w:rsidR="00BC6A04">
        <w:rPr>
          <w:rFonts w:ascii="Sylfaen" w:eastAsia="Calibri" w:hAnsi="Sylfaen" w:cs="Times New Roman"/>
          <w:noProof/>
          <w:szCs w:val="18"/>
        </w:rPr>
        <w:t xml:space="preserve">Available at: </w:t>
      </w:r>
      <w:r w:rsidRPr="00EA7662">
        <w:rPr>
          <w:rFonts w:ascii="Sylfaen" w:eastAsia="Calibri" w:hAnsi="Sylfaen" w:cs="Times New Roman"/>
          <w:noProof/>
          <w:szCs w:val="18"/>
        </w:rPr>
        <w:t>http://www.treasury.gov/resource-center/data-chart-center/Documents/20120</w:t>
      </w:r>
      <w:r w:rsidR="00BC6A04">
        <w:rPr>
          <w:rFonts w:ascii="Sylfaen" w:eastAsia="Calibri" w:hAnsi="Sylfaen" w:cs="Times New Roman"/>
          <w:noProof/>
          <w:szCs w:val="18"/>
        </w:rPr>
        <w:t>413_FinancialCrisisResponse.pdf (Accessed: 9 June 2016)</w:t>
      </w:r>
      <w:r w:rsidRPr="00EA7662">
        <w:rPr>
          <w:rFonts w:ascii="Sylfaen" w:eastAsia="Calibri" w:hAnsi="Sylfaen" w:cs="Times New Roman"/>
          <w:noProof/>
          <w:szCs w:val="18"/>
        </w:rPr>
        <w:t>.</w:t>
      </w:r>
    </w:p>
    <w:sectPr w:rsidR="00EA7662" w:rsidRPr="00BC6A04" w:rsidSect="00BE6334">
      <w:headerReference w:type="default" r:id="rId20"/>
      <w:footerReference w:type="defaul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44B4E" w14:textId="77777777" w:rsidR="00BF3A88" w:rsidRDefault="00BF3A88" w:rsidP="002B247D">
      <w:pPr>
        <w:spacing w:after="0" w:line="240" w:lineRule="auto"/>
      </w:pPr>
      <w:r>
        <w:separator/>
      </w:r>
    </w:p>
  </w:endnote>
  <w:endnote w:type="continuationSeparator" w:id="0">
    <w:p w14:paraId="78FCA091" w14:textId="77777777" w:rsidR="00BF3A88" w:rsidRDefault="00BF3A8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247CCE6A" w14:textId="77777777" w:rsidR="00D529D0" w:rsidRDefault="00D529D0">
        <w:pPr>
          <w:pStyle w:val="Footer"/>
          <w:jc w:val="center"/>
        </w:pPr>
      </w:p>
      <w:p w14:paraId="33A8DBF7" w14:textId="1B145CB9" w:rsidR="00D529D0" w:rsidRDefault="00BF3A88">
        <w:pPr>
          <w:pStyle w:val="Footer"/>
          <w:jc w:val="center"/>
        </w:pPr>
        <w:r>
          <w:pict w14:anchorId="5BC120CE">
            <v:rect id="_x0000_i1026" style="width:0;height:1.5pt" o:hralign="center" o:hrstd="t" o:hr="t" fillcolor="#a0a0a0" stroked="f"/>
          </w:pict>
        </w:r>
      </w:p>
      <w:p w14:paraId="3655714B" w14:textId="2E086818" w:rsidR="00BE6334" w:rsidRPr="00D529D0" w:rsidRDefault="00BE6334">
        <w:pPr>
          <w:pStyle w:val="Footer"/>
          <w:jc w:val="center"/>
          <w:rPr>
            <w:rFonts w:ascii="Sylfaen" w:hAnsi="Sylfaen"/>
            <w:noProof/>
          </w:rPr>
        </w:pPr>
        <w:r w:rsidRPr="00D529D0">
          <w:rPr>
            <w:rFonts w:ascii="Sylfaen" w:hAnsi="Sylfaen"/>
          </w:rPr>
          <w:fldChar w:fldCharType="begin"/>
        </w:r>
        <w:r w:rsidRPr="00D529D0">
          <w:rPr>
            <w:rFonts w:ascii="Sylfaen" w:hAnsi="Sylfaen"/>
          </w:rPr>
          <w:instrText xml:space="preserve"> PAGE   \* MERGEFORMAT </w:instrText>
        </w:r>
        <w:r w:rsidRPr="00D529D0">
          <w:rPr>
            <w:rFonts w:ascii="Sylfaen" w:hAnsi="Sylfaen"/>
          </w:rPr>
          <w:fldChar w:fldCharType="separate"/>
        </w:r>
        <w:r w:rsidR="000533B2">
          <w:rPr>
            <w:rFonts w:ascii="Sylfaen" w:hAnsi="Sylfaen"/>
            <w:noProof/>
          </w:rPr>
          <w:t>13</w:t>
        </w:r>
        <w:r w:rsidRPr="00D529D0">
          <w:rPr>
            <w:rFonts w:ascii="Sylfaen" w:hAnsi="Sylfaen"/>
            <w:noProof/>
          </w:rPr>
          <w:fldChar w:fldCharType="end"/>
        </w:r>
      </w:p>
      <w:p w14:paraId="01B5BDD7" w14:textId="0492DEFE" w:rsidR="00BE6334" w:rsidRPr="00D529D0" w:rsidRDefault="00BE6334">
        <w:pPr>
          <w:pStyle w:val="Footer"/>
          <w:jc w:val="center"/>
          <w:rPr>
            <w:rFonts w:ascii="Sylfaen" w:hAnsi="Sylfaen"/>
            <w:sz w:val="20"/>
            <w:szCs w:val="20"/>
          </w:rPr>
        </w:pPr>
        <w:r w:rsidRPr="00D529D0">
          <w:rPr>
            <w:rFonts w:ascii="Sylfaen" w:hAnsi="Sylfaen"/>
            <w:noProof/>
            <w:sz w:val="20"/>
            <w:szCs w:val="20"/>
          </w:rPr>
          <w:t xml:space="preserve">This article is CC BY </w:t>
        </w:r>
        <w:r w:rsidR="004A1B0B" w:rsidRPr="00D529D0">
          <w:rPr>
            <w:rFonts w:ascii="Sylfaen" w:hAnsi="Sylfaen"/>
            <w:noProof/>
            <w:sz w:val="20"/>
            <w:szCs w:val="20"/>
          </w:rPr>
          <w:t>Valentinas</w:t>
        </w:r>
        <w:r w:rsidR="00EA7662" w:rsidRPr="00D529D0">
          <w:rPr>
            <w:rFonts w:ascii="Sylfaen" w:hAnsi="Sylfaen"/>
            <w:noProof/>
            <w:sz w:val="20"/>
            <w:szCs w:val="20"/>
          </w:rPr>
          <w:t xml:space="preserve"> Civinskas</w:t>
        </w:r>
        <w:r w:rsidRPr="00D529D0">
          <w:rPr>
            <w:rFonts w:ascii="Sylfaen" w:hAnsi="Sylfaen"/>
            <w:noProof/>
            <w:sz w:val="20"/>
            <w:szCs w:val="20"/>
          </w:rPr>
          <w:tab/>
        </w:r>
        <w:r w:rsidRPr="00D529D0">
          <w:rPr>
            <w:rFonts w:ascii="Sylfaen" w:hAnsi="Sylfaen"/>
            <w:noProof/>
            <w:sz w:val="20"/>
            <w:szCs w:val="20"/>
          </w:rPr>
          <w:tab/>
          <w:t>Essex Student Journal, 201</w:t>
        </w:r>
        <w:r w:rsidR="006D67F4" w:rsidRPr="00D529D0">
          <w:rPr>
            <w:rFonts w:ascii="Sylfaen" w:hAnsi="Sylfaen"/>
            <w:noProof/>
            <w:sz w:val="20"/>
            <w:szCs w:val="20"/>
          </w:rPr>
          <w:t>6</w:t>
        </w:r>
        <w:r w:rsidRPr="00D529D0">
          <w:rPr>
            <w:rFonts w:ascii="Sylfaen" w:hAnsi="Sylfaen"/>
            <w:noProof/>
            <w:sz w:val="20"/>
            <w:szCs w:val="20"/>
          </w:rPr>
          <w:t xml:space="preserve">, Vol </w:t>
        </w:r>
        <w:r w:rsidR="006D67F4" w:rsidRPr="00D529D0">
          <w:rPr>
            <w:rFonts w:ascii="Sylfaen" w:hAnsi="Sylfaen"/>
            <w:noProof/>
            <w:sz w:val="20"/>
            <w:szCs w:val="20"/>
          </w:rPr>
          <w:t>8</w:t>
        </w:r>
        <w:r w:rsidRPr="00D529D0">
          <w:rPr>
            <w:rFonts w:ascii="Sylfaen" w:hAnsi="Sylfaen"/>
            <w:noProof/>
            <w:sz w:val="20"/>
            <w:szCs w:val="20"/>
          </w:rPr>
          <w:t>.</w:t>
        </w:r>
      </w:p>
    </w:sdtContent>
  </w:sdt>
  <w:p w14:paraId="793C577F" w14:textId="50A637B1" w:rsidR="00BE6334" w:rsidRPr="00D529D0" w:rsidRDefault="00BE6334">
    <w:pPr>
      <w:pStyle w:val="Footer"/>
      <w:rPr>
        <w:rFonts w:ascii="Sylfaen" w:hAnsi="Sylfaen"/>
        <w:sz w:val="20"/>
        <w:szCs w:val="20"/>
      </w:rPr>
    </w:pPr>
    <w:r w:rsidRPr="00D529D0">
      <w:rPr>
        <w:rFonts w:ascii="Sylfaen" w:hAnsi="Sylfaen"/>
        <w:sz w:val="20"/>
        <w:szCs w:val="20"/>
      </w:rPr>
      <w:t xml:space="preserve">DOI: </w:t>
    </w:r>
    <w:hyperlink r:id="rId1" w:history="1">
      <w:r w:rsidR="004A1B0B" w:rsidRPr="00D529D0">
        <w:rPr>
          <w:rStyle w:val="Hyperlink"/>
          <w:rFonts w:ascii="Sylfaen" w:hAnsi="Sylfaen"/>
          <w:sz w:val="20"/>
          <w:szCs w:val="20"/>
        </w:rPr>
        <w:t>https://doi.org/10.5526/esj28</w:t>
      </w:r>
    </w:hyperlink>
    <w:r w:rsidR="004A1B0B" w:rsidRPr="00D529D0">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13547379" w14:textId="77777777" w:rsidR="00D529D0" w:rsidRDefault="00D529D0" w:rsidP="00BE6334">
        <w:pPr>
          <w:pStyle w:val="Footer"/>
          <w:jc w:val="center"/>
        </w:pPr>
      </w:p>
      <w:p w14:paraId="5C71BC81" w14:textId="12597E14" w:rsidR="00D529D0" w:rsidRDefault="00BF3A88" w:rsidP="00BE6334">
        <w:pPr>
          <w:pStyle w:val="Footer"/>
          <w:jc w:val="center"/>
        </w:pPr>
        <w:r>
          <w:pict w14:anchorId="0E46773F">
            <v:rect id="_x0000_i1027" style="width:0;height:1.5pt" o:hralign="center" o:hrstd="t" o:hr="t" fillcolor="#a0a0a0" stroked="f"/>
          </w:pict>
        </w:r>
      </w:p>
      <w:p w14:paraId="17E0F48F" w14:textId="0CA66345" w:rsidR="00BE6334" w:rsidRPr="00D529D0" w:rsidRDefault="00BE6334" w:rsidP="00BE6334">
        <w:pPr>
          <w:pStyle w:val="Footer"/>
          <w:jc w:val="center"/>
          <w:rPr>
            <w:rFonts w:ascii="Sylfaen" w:hAnsi="Sylfaen"/>
            <w:noProof/>
          </w:rPr>
        </w:pPr>
        <w:r w:rsidRPr="00D529D0">
          <w:rPr>
            <w:rFonts w:ascii="Sylfaen" w:hAnsi="Sylfaen"/>
          </w:rPr>
          <w:fldChar w:fldCharType="begin"/>
        </w:r>
        <w:r w:rsidRPr="00D529D0">
          <w:rPr>
            <w:rFonts w:ascii="Sylfaen" w:hAnsi="Sylfaen"/>
          </w:rPr>
          <w:instrText xml:space="preserve"> PAGE   \* MERGEFORMAT </w:instrText>
        </w:r>
        <w:r w:rsidRPr="00D529D0">
          <w:rPr>
            <w:rFonts w:ascii="Sylfaen" w:hAnsi="Sylfaen"/>
          </w:rPr>
          <w:fldChar w:fldCharType="separate"/>
        </w:r>
        <w:r w:rsidR="000533B2">
          <w:rPr>
            <w:rFonts w:ascii="Sylfaen" w:hAnsi="Sylfaen"/>
            <w:noProof/>
          </w:rPr>
          <w:t>1</w:t>
        </w:r>
        <w:r w:rsidRPr="00D529D0">
          <w:rPr>
            <w:rFonts w:ascii="Sylfaen" w:hAnsi="Sylfaen"/>
            <w:noProof/>
          </w:rPr>
          <w:fldChar w:fldCharType="end"/>
        </w:r>
      </w:p>
      <w:p w14:paraId="2C12D576" w14:textId="68126530" w:rsidR="00BE6334" w:rsidRPr="00D529D0" w:rsidRDefault="00BE6334" w:rsidP="00BE6334">
        <w:pPr>
          <w:pStyle w:val="Footer"/>
          <w:jc w:val="center"/>
          <w:rPr>
            <w:rFonts w:ascii="Sylfaen" w:hAnsi="Sylfaen"/>
            <w:sz w:val="20"/>
            <w:szCs w:val="20"/>
          </w:rPr>
        </w:pPr>
        <w:r w:rsidRPr="00D529D0">
          <w:rPr>
            <w:rFonts w:ascii="Sylfaen" w:hAnsi="Sylfaen"/>
            <w:noProof/>
            <w:sz w:val="20"/>
            <w:szCs w:val="20"/>
          </w:rPr>
          <w:t>This article is CC BY</w:t>
        </w:r>
        <w:r w:rsidR="0020222F" w:rsidRPr="00D529D0">
          <w:rPr>
            <w:rFonts w:ascii="Sylfaen" w:hAnsi="Sylfaen"/>
            <w:noProof/>
            <w:sz w:val="20"/>
            <w:szCs w:val="20"/>
          </w:rPr>
          <w:t xml:space="preserve"> </w:t>
        </w:r>
        <w:r w:rsidR="004A1B0B" w:rsidRPr="00D529D0">
          <w:rPr>
            <w:rFonts w:ascii="Sylfaen" w:hAnsi="Sylfaen"/>
            <w:noProof/>
            <w:sz w:val="20"/>
            <w:szCs w:val="20"/>
          </w:rPr>
          <w:t>Valentinas Civinskas</w:t>
        </w:r>
        <w:r w:rsidRPr="00D529D0">
          <w:rPr>
            <w:rFonts w:ascii="Sylfaen" w:hAnsi="Sylfaen"/>
            <w:noProof/>
            <w:sz w:val="20"/>
            <w:szCs w:val="20"/>
          </w:rPr>
          <w:tab/>
        </w:r>
        <w:r w:rsidRPr="00D529D0">
          <w:rPr>
            <w:rFonts w:ascii="Sylfaen" w:hAnsi="Sylfaen"/>
            <w:noProof/>
            <w:sz w:val="20"/>
            <w:szCs w:val="20"/>
          </w:rPr>
          <w:tab/>
          <w:t>Essex Student Journal, 201</w:t>
        </w:r>
        <w:r w:rsidR="006D67F4" w:rsidRPr="00D529D0">
          <w:rPr>
            <w:rFonts w:ascii="Sylfaen" w:hAnsi="Sylfaen"/>
            <w:noProof/>
            <w:sz w:val="20"/>
            <w:szCs w:val="20"/>
          </w:rPr>
          <w:t>6</w:t>
        </w:r>
        <w:r w:rsidRPr="00D529D0">
          <w:rPr>
            <w:rFonts w:ascii="Sylfaen" w:hAnsi="Sylfaen"/>
            <w:noProof/>
            <w:sz w:val="20"/>
            <w:szCs w:val="20"/>
          </w:rPr>
          <w:t xml:space="preserve">, Vol </w:t>
        </w:r>
        <w:r w:rsidR="006D67F4" w:rsidRPr="00D529D0">
          <w:rPr>
            <w:rFonts w:ascii="Sylfaen" w:hAnsi="Sylfaen"/>
            <w:noProof/>
            <w:sz w:val="20"/>
            <w:szCs w:val="20"/>
          </w:rPr>
          <w:t>8</w:t>
        </w:r>
        <w:r w:rsidRPr="00D529D0">
          <w:rPr>
            <w:rFonts w:ascii="Sylfaen" w:hAnsi="Sylfaen"/>
            <w:noProof/>
            <w:sz w:val="20"/>
            <w:szCs w:val="20"/>
          </w:rPr>
          <w:t>.</w:t>
        </w:r>
      </w:p>
    </w:sdtContent>
  </w:sdt>
  <w:p w14:paraId="6519B2B9" w14:textId="0073D922" w:rsidR="001E5540" w:rsidRPr="00D529D0" w:rsidRDefault="00BE6334">
    <w:pPr>
      <w:pStyle w:val="Footer"/>
      <w:rPr>
        <w:rFonts w:ascii="Sylfaen" w:hAnsi="Sylfaen"/>
        <w:sz w:val="20"/>
        <w:szCs w:val="20"/>
      </w:rPr>
    </w:pPr>
    <w:r w:rsidRPr="00D529D0">
      <w:rPr>
        <w:rFonts w:ascii="Sylfaen" w:hAnsi="Sylfaen"/>
        <w:sz w:val="20"/>
        <w:szCs w:val="20"/>
      </w:rPr>
      <w:t xml:space="preserve">DOI: </w:t>
    </w:r>
    <w:hyperlink r:id="rId1" w:history="1">
      <w:r w:rsidR="004A1B0B" w:rsidRPr="00D529D0">
        <w:rPr>
          <w:rStyle w:val="Hyperlink"/>
          <w:rFonts w:ascii="Sylfaen" w:hAnsi="Sylfaen"/>
          <w:sz w:val="20"/>
          <w:szCs w:val="20"/>
        </w:rPr>
        <w:t>https://doi.org/10.5526/esj28</w:t>
      </w:r>
    </w:hyperlink>
    <w:r w:rsidR="004A1B0B" w:rsidRPr="00D529D0">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5D28E" w14:textId="77777777" w:rsidR="00BF3A88" w:rsidRDefault="00BF3A88" w:rsidP="002B247D">
      <w:pPr>
        <w:spacing w:after="0" w:line="240" w:lineRule="auto"/>
      </w:pPr>
      <w:r>
        <w:separator/>
      </w:r>
    </w:p>
  </w:footnote>
  <w:footnote w:type="continuationSeparator" w:id="0">
    <w:p w14:paraId="22F0E72D" w14:textId="77777777" w:rsidR="00BF3A88" w:rsidRDefault="00BF3A8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4683A284" w:rsidR="002B247D" w:rsidRPr="00D529D0" w:rsidRDefault="004A1B0B">
    <w:pPr>
      <w:pStyle w:val="Header"/>
      <w:rPr>
        <w:rFonts w:ascii="Sylfaen" w:hAnsi="Sylfaen"/>
      </w:rPr>
    </w:pPr>
    <w:r w:rsidRPr="00D529D0">
      <w:rPr>
        <w:rFonts w:ascii="Sylfaen" w:hAnsi="Sylfaen"/>
      </w:rPr>
      <w:t>An Assessment of the Problems Affecting Money Markets during the Financial Crisis of 2007-08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0"/>
  </w:num>
  <w:num w:numId="3">
    <w:abstractNumId w:val="9"/>
  </w:num>
  <w:num w:numId="4">
    <w:abstractNumId w:val="10"/>
  </w:num>
  <w:num w:numId="5">
    <w:abstractNumId w:val="3"/>
  </w:num>
  <w:num w:numId="6">
    <w:abstractNumId w:val="2"/>
  </w:num>
  <w:num w:numId="7">
    <w:abstractNumId w:val="1"/>
  </w:num>
  <w:num w:numId="8">
    <w:abstractNumId w:val="4"/>
  </w:num>
  <w:num w:numId="9">
    <w:abstractNumId w:val="5"/>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331DC"/>
    <w:rsid w:val="000533B2"/>
    <w:rsid w:val="00090918"/>
    <w:rsid w:val="000C6DCF"/>
    <w:rsid w:val="001079A6"/>
    <w:rsid w:val="001232EB"/>
    <w:rsid w:val="001E5540"/>
    <w:rsid w:val="0020222F"/>
    <w:rsid w:val="00240FC1"/>
    <w:rsid w:val="002B247D"/>
    <w:rsid w:val="00331418"/>
    <w:rsid w:val="00355BD8"/>
    <w:rsid w:val="00374289"/>
    <w:rsid w:val="00396A37"/>
    <w:rsid w:val="003D7268"/>
    <w:rsid w:val="003F50AE"/>
    <w:rsid w:val="00411F5B"/>
    <w:rsid w:val="00435FEC"/>
    <w:rsid w:val="004478BA"/>
    <w:rsid w:val="00480ACF"/>
    <w:rsid w:val="004A1B0B"/>
    <w:rsid w:val="004E77C0"/>
    <w:rsid w:val="004F04C9"/>
    <w:rsid w:val="005364B0"/>
    <w:rsid w:val="00566096"/>
    <w:rsid w:val="005D15F2"/>
    <w:rsid w:val="005D3746"/>
    <w:rsid w:val="006A5FB2"/>
    <w:rsid w:val="006D67F4"/>
    <w:rsid w:val="00746B7C"/>
    <w:rsid w:val="007E0A75"/>
    <w:rsid w:val="008A7262"/>
    <w:rsid w:val="008D7050"/>
    <w:rsid w:val="008F2E1E"/>
    <w:rsid w:val="00950560"/>
    <w:rsid w:val="0098154C"/>
    <w:rsid w:val="009A0883"/>
    <w:rsid w:val="009E018C"/>
    <w:rsid w:val="009F4888"/>
    <w:rsid w:val="00A10993"/>
    <w:rsid w:val="00A24878"/>
    <w:rsid w:val="00A538B5"/>
    <w:rsid w:val="00AD3DCB"/>
    <w:rsid w:val="00AE7E62"/>
    <w:rsid w:val="00B322FB"/>
    <w:rsid w:val="00B7208F"/>
    <w:rsid w:val="00B76FF5"/>
    <w:rsid w:val="00B77266"/>
    <w:rsid w:val="00B8791F"/>
    <w:rsid w:val="00BA4AF7"/>
    <w:rsid w:val="00BC0C64"/>
    <w:rsid w:val="00BC6A04"/>
    <w:rsid w:val="00BE6334"/>
    <w:rsid w:val="00BF3A88"/>
    <w:rsid w:val="00C2271C"/>
    <w:rsid w:val="00C34E81"/>
    <w:rsid w:val="00C4128C"/>
    <w:rsid w:val="00C71792"/>
    <w:rsid w:val="00C73221"/>
    <w:rsid w:val="00CC529E"/>
    <w:rsid w:val="00D20F30"/>
    <w:rsid w:val="00D529D0"/>
    <w:rsid w:val="00DA56DE"/>
    <w:rsid w:val="00E355F6"/>
    <w:rsid w:val="00E837BC"/>
    <w:rsid w:val="00EA7662"/>
    <w:rsid w:val="00EB0574"/>
    <w:rsid w:val="00ED039A"/>
    <w:rsid w:val="00FA4501"/>
    <w:rsid w:val="00FA5694"/>
    <w:rsid w:val="00FE5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paragraph" w:styleId="Caption">
    <w:name w:val="caption"/>
    <w:basedOn w:val="Normal"/>
    <w:next w:val="Normal"/>
    <w:uiPriority w:val="35"/>
    <w:unhideWhenUsed/>
    <w:qFormat/>
    <w:rsid w:val="009E018C"/>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ustreas.gov/press/releases/hp1147.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reuters.com/article/idUSN1416157520100414"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EEF1BC1B-8C7F-41C9-93D1-8BC7C1B8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An Assessment of the Problems Affecting Money Markets during the Financial Crisis of 2007-08</vt:lpstr>
    </vt:vector>
  </TitlesOfParts>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Assessment of the Problems Affecting Money Markets during the Financial Crisis of 2007-08</dc:title>
  <dc:subject/>
  <dc:creator>Sundsbo, Katrine</dc:creator>
  <cp:keywords/>
  <dc:description/>
  <cp:lastModifiedBy>Pyman, Hannah R</cp:lastModifiedBy>
  <cp:revision>19</cp:revision>
  <cp:lastPrinted>2020-03-31T15:29:00Z</cp:lastPrinted>
  <dcterms:created xsi:type="dcterms:W3CDTF">2020-03-19T10:08:00Z</dcterms:created>
  <dcterms:modified xsi:type="dcterms:W3CDTF">2020-03-31T15:29:00Z</dcterms:modified>
</cp:coreProperties>
</file>