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1D5ACAD9" w:rsidR="00A538B5" w:rsidRPr="00A538B5" w:rsidRDefault="00AD37FD"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406C0E9A" w14:textId="019311F3" w:rsidR="0020222F" w:rsidRPr="004260B0" w:rsidRDefault="00FA764B" w:rsidP="00B322FB">
      <w:pPr>
        <w:spacing w:after="160" w:line="360" w:lineRule="auto"/>
        <w:rPr>
          <w:rFonts w:ascii="Sylfaen" w:eastAsiaTheme="majorEastAsia" w:hAnsi="Sylfaen" w:cstheme="majorBidi"/>
          <w:spacing w:val="-10"/>
          <w:kern w:val="28"/>
          <w:sz w:val="48"/>
          <w:szCs w:val="56"/>
        </w:rPr>
      </w:pPr>
      <w:r w:rsidRPr="004260B0">
        <w:rPr>
          <w:rFonts w:ascii="Sylfaen" w:eastAsiaTheme="majorEastAsia" w:hAnsi="Sylfaen" w:cstheme="majorBidi"/>
          <w:spacing w:val="-10"/>
          <w:kern w:val="28"/>
          <w:sz w:val="48"/>
          <w:szCs w:val="56"/>
        </w:rPr>
        <w:t>Deixis in Modern Linguistics</w:t>
      </w:r>
    </w:p>
    <w:p w14:paraId="0736152B" w14:textId="2FB3A862" w:rsidR="00240FC1" w:rsidRPr="00331418" w:rsidRDefault="00FA764B" w:rsidP="00B322FB">
      <w:pPr>
        <w:spacing w:after="160" w:line="360" w:lineRule="auto"/>
        <w:rPr>
          <w:rFonts w:ascii="Sylfaen" w:hAnsi="Sylfaen"/>
        </w:rPr>
      </w:pPr>
      <w:proofErr w:type="spellStart"/>
      <w:r>
        <w:rPr>
          <w:rFonts w:ascii="Sylfaen" w:hAnsi="Sylfaen"/>
        </w:rPr>
        <w:t>Andreea</w:t>
      </w:r>
      <w:proofErr w:type="spellEnd"/>
      <w:r>
        <w:rPr>
          <w:rFonts w:ascii="Sylfaen" w:hAnsi="Sylfaen"/>
        </w:rPr>
        <w:t xml:space="preserve"> Stapleton</w:t>
      </w:r>
      <w:bookmarkStart w:id="0" w:name="_GoBack"/>
      <w:bookmarkEnd w:id="0"/>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542268">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25C84631" w14:textId="77777777" w:rsidR="00FA764B" w:rsidRPr="00FA764B" w:rsidRDefault="00FA764B" w:rsidP="00FA764B">
      <w:pPr>
        <w:spacing w:line="360" w:lineRule="auto"/>
        <w:ind w:left="567" w:right="662"/>
        <w:jc w:val="both"/>
        <w:rPr>
          <w:rFonts w:ascii="Sylfaen" w:hAnsi="Sylfaen" w:cs="Times New Roman"/>
        </w:rPr>
      </w:pPr>
      <w:r w:rsidRPr="00FA764B">
        <w:rPr>
          <w:rFonts w:ascii="Sylfaen" w:hAnsi="Sylfaen" w:cs="Times New Roman"/>
        </w:rPr>
        <w:t xml:space="preserve">Modern linguistics is one of the most exceptional scientific revolutions of the twentieth century. It </w:t>
      </w:r>
      <w:proofErr w:type="gramStart"/>
      <w:r w:rsidRPr="00FA764B">
        <w:rPr>
          <w:rFonts w:ascii="Sylfaen" w:hAnsi="Sylfaen" w:cs="Times New Roman"/>
        </w:rPr>
        <w:t>is related</w:t>
      </w:r>
      <w:proofErr w:type="gramEnd"/>
      <w:r w:rsidRPr="00FA764B">
        <w:rPr>
          <w:rFonts w:ascii="Sylfaen" w:hAnsi="Sylfaen" w:cs="Times New Roman"/>
        </w:rPr>
        <w:t xml:space="preserve"> to linguistic studies where the original focus from prescriptive grammar and the purpose of improving how people write and speak shifted to the idea that a language can be viewed as a self-contained and structured system situated at a particular point in time. Pragmatics, a subfield of linguistics, studies how people understand and produce a speech act in a concrete speech situation. Deixis belongs to the area of pragmatics because it directly involves the relationship between the structure of language and the context in which it is used (Levinson 83:55). This essay will discuss deictic expressions, firstly by giving various definitions by different linguists, secondly by presenting and discussing the different deictic categories and finally by commenting on the different types of uses of deictic expressions such as deictic and anaphoric.</w:t>
      </w:r>
    </w:p>
    <w:p w14:paraId="62CC3F7B" w14:textId="11F07408" w:rsidR="00EA7662" w:rsidRDefault="00240FC1" w:rsidP="006B45AF">
      <w:pPr>
        <w:spacing w:after="160" w:line="360" w:lineRule="auto"/>
        <w:rPr>
          <w:rFonts w:ascii="Sylfaen" w:hAnsi="Sylfaen"/>
        </w:rPr>
      </w:pPr>
      <w:r w:rsidRPr="00ED039A">
        <w:rPr>
          <w:rStyle w:val="Heading1Char"/>
        </w:rPr>
        <w:t>Keywords:</w:t>
      </w:r>
      <w:r w:rsidRPr="00331418">
        <w:rPr>
          <w:rFonts w:ascii="Sylfaen" w:hAnsi="Sylfaen"/>
        </w:rPr>
        <w:t xml:space="preserve">  </w:t>
      </w:r>
      <w:r w:rsidR="00FA764B" w:rsidRPr="00FA764B">
        <w:rPr>
          <w:rFonts w:ascii="Sylfaen" w:hAnsi="Sylfaen"/>
        </w:rPr>
        <w:t>Modern Linguistics, Deixis, Deictic Expressions, Anaphoric, Pragmatics</w:t>
      </w:r>
    </w:p>
    <w:p w14:paraId="16DC3AAC" w14:textId="2FD667DE" w:rsidR="00FA764B" w:rsidRPr="00FA764B" w:rsidRDefault="00FA764B" w:rsidP="00FA764B">
      <w:pPr>
        <w:pStyle w:val="Heading1"/>
        <w:rPr>
          <w:rFonts w:eastAsia="Times New Roman"/>
        </w:rPr>
      </w:pPr>
      <w:r w:rsidRPr="00FA764B">
        <w:rPr>
          <w:rFonts w:eastAsia="Times New Roman"/>
        </w:rPr>
        <w:t>Introduction</w:t>
      </w:r>
    </w:p>
    <w:p w14:paraId="19C38C6A" w14:textId="77777777" w:rsidR="00FA764B" w:rsidRPr="00FA764B" w:rsidRDefault="00FA764B" w:rsidP="004260B0">
      <w:pPr>
        <w:spacing w:after="16" w:line="360" w:lineRule="auto"/>
        <w:ind w:right="-45"/>
        <w:contextualSpacing/>
        <w:jc w:val="both"/>
        <w:rPr>
          <w:rFonts w:ascii="Sylfaen" w:eastAsia="Calibri" w:hAnsi="Sylfaen" w:cs="Times New Roman"/>
        </w:rPr>
      </w:pPr>
      <w:r w:rsidRPr="00FA764B">
        <w:rPr>
          <w:rFonts w:ascii="Sylfaen" w:eastAsia="Calibri" w:hAnsi="Sylfaen" w:cs="Times New Roman"/>
        </w:rPr>
        <w:t xml:space="preserve">The linguistic subfields of semantics and pragmatics are both related to the study of meaning. Semantics studies the relation between word meanings. On the other hand, pragmatics studies the way in which the context shapes meaning. Pragmatics show that the interpretation of utterances not only depends on linguistic knowledge, but also depends on knowledge about the context of the utterance, knowledge about the status of those involved, such as the social information that is encoded with various expressions regarding the relative social status and familiarity, the intent of the speaker, the place and time of the utterance. Pragmatic awareness is regarded as one of the most </w:t>
      </w:r>
      <w:r w:rsidRPr="00FA764B">
        <w:rPr>
          <w:rFonts w:ascii="Sylfaen" w:eastAsia="Calibri" w:hAnsi="Sylfaen" w:cs="Times New Roman"/>
        </w:rPr>
        <w:lastRenderedPageBreak/>
        <w:t>challenging aspects of language learning, and it often comes through experience. Deictic expressions fall into the following categories: person deixis, spatial deixis, temporal deixis, social deixis, and discourse deixis.</w:t>
      </w:r>
    </w:p>
    <w:p w14:paraId="7DEE6D42" w14:textId="77777777" w:rsidR="00FA764B" w:rsidRPr="00FA764B" w:rsidRDefault="00FA764B" w:rsidP="004260B0">
      <w:pPr>
        <w:spacing w:after="16" w:line="360" w:lineRule="auto"/>
        <w:ind w:right="-46"/>
        <w:contextualSpacing/>
        <w:rPr>
          <w:rFonts w:ascii="Sylfaen" w:eastAsia="Calibri" w:hAnsi="Sylfaen" w:cs="Times New Roman"/>
          <w:b/>
        </w:rPr>
      </w:pPr>
    </w:p>
    <w:p w14:paraId="13E308B3" w14:textId="03DEA2EF" w:rsidR="00FA764B" w:rsidRPr="00FA764B" w:rsidRDefault="00FA764B" w:rsidP="004260B0">
      <w:pPr>
        <w:pStyle w:val="Heading1"/>
        <w:spacing w:before="0" w:after="16"/>
        <w:contextualSpacing/>
        <w:rPr>
          <w:rFonts w:eastAsia="Calibri"/>
        </w:rPr>
      </w:pPr>
      <w:r w:rsidRPr="00FA764B">
        <w:rPr>
          <w:rFonts w:eastAsia="Calibri"/>
        </w:rPr>
        <w:t xml:space="preserve">Deictic expressions – definitions, categories and types of uses </w:t>
      </w:r>
    </w:p>
    <w:p w14:paraId="5F676227" w14:textId="4AC6F980" w:rsidR="004260B0" w:rsidRPr="00FA764B" w:rsidRDefault="00FA764B" w:rsidP="004260B0">
      <w:pPr>
        <w:spacing w:after="16" w:line="360" w:lineRule="auto"/>
        <w:ind w:right="-45"/>
        <w:contextualSpacing/>
        <w:jc w:val="both"/>
        <w:rPr>
          <w:rFonts w:ascii="Sylfaen" w:eastAsia="Calibri" w:hAnsi="Sylfaen" w:cs="Times New Roman"/>
        </w:rPr>
      </w:pPr>
      <w:r w:rsidRPr="00FA764B">
        <w:rPr>
          <w:rFonts w:ascii="Sylfaen" w:eastAsia="Calibri" w:hAnsi="Sylfaen" w:cs="Times New Roman"/>
        </w:rPr>
        <w:t>Deictic expressions represent a key connection between the time frame, space, and people involved. The word deictic has its roots in the Greek word “</w:t>
      </w:r>
      <w:proofErr w:type="spellStart"/>
      <w:r w:rsidRPr="00FA764B">
        <w:rPr>
          <w:rFonts w:ascii="Sylfaen" w:eastAsia="Calibri" w:hAnsi="Sylfaen" w:cs="Times New Roman"/>
        </w:rPr>
        <w:t>deiknynai</w:t>
      </w:r>
      <w:proofErr w:type="spellEnd"/>
      <w:r w:rsidRPr="00FA764B">
        <w:rPr>
          <w:rFonts w:ascii="Sylfaen" w:eastAsia="Calibri" w:hAnsi="Sylfaen" w:cs="Times New Roman"/>
        </w:rPr>
        <w:t xml:space="preserve">”, meaning “to show”. A related word, “deixis”, is used in pragmatics and linguistics and it refers to a process whereby either words or expressions are seen to rely utterly on context. Levinson (1983) accentuates the role of the context; he argues that deixis is the reflection of the relationship between language and context and defines deixis as follows: </w:t>
      </w:r>
    </w:p>
    <w:p w14:paraId="79BA292C" w14:textId="5913C42D" w:rsidR="004260B0" w:rsidRDefault="00FA764B" w:rsidP="004260B0">
      <w:pPr>
        <w:spacing w:after="16" w:line="360" w:lineRule="auto"/>
        <w:ind w:left="567" w:right="662"/>
        <w:contextualSpacing/>
        <w:jc w:val="both"/>
        <w:rPr>
          <w:rFonts w:ascii="Sylfaen" w:eastAsia="Calibri" w:hAnsi="Sylfaen" w:cs="Times New Roman"/>
        </w:rPr>
      </w:pPr>
      <w:r w:rsidRPr="00FA764B">
        <w:rPr>
          <w:rFonts w:ascii="Sylfaen" w:eastAsia="Calibri" w:hAnsi="Sylfaen" w:cs="Times New Roman"/>
        </w:rPr>
        <w:t>Deixis is an important field studied in pragmatics, semantics and linguistics. Deixis refers to the phenomenon wherein understanding the meaning of certain words and phrases in an utterance requires contextual information. Words or phrases that require contextual information to convey meaning are deictic. (Levinson, 1983:54)</w:t>
      </w:r>
    </w:p>
    <w:p w14:paraId="6659E104" w14:textId="77777777" w:rsidR="004260B0" w:rsidRPr="00FA764B" w:rsidRDefault="004260B0" w:rsidP="004260B0">
      <w:pPr>
        <w:spacing w:after="16" w:line="360" w:lineRule="auto"/>
        <w:ind w:left="567" w:right="662"/>
        <w:contextualSpacing/>
        <w:jc w:val="both"/>
        <w:rPr>
          <w:rFonts w:ascii="Sylfaen" w:eastAsia="Calibri" w:hAnsi="Sylfaen" w:cs="Times New Roman"/>
        </w:rPr>
      </w:pPr>
    </w:p>
    <w:p w14:paraId="363A6466" w14:textId="2BF12117"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The contextual information of the utterance mentioned by Levinson (1983) consists of information about the speaker, the addressee, the time and the place. For example, if we take a close look on the sentence</w:t>
      </w:r>
      <w:r w:rsidRPr="00FA764B">
        <w:rPr>
          <w:rFonts w:ascii="Sylfaen" w:eastAsia="Calibri" w:hAnsi="Sylfaen" w:cs="Times New Roman"/>
          <w:i/>
        </w:rPr>
        <w:t xml:space="preserve"> I am leaving tomorrow, </w:t>
      </w:r>
      <w:r w:rsidRPr="00FA764B">
        <w:rPr>
          <w:rFonts w:ascii="Sylfaen" w:eastAsia="Calibri" w:hAnsi="Sylfaen" w:cs="Times New Roman"/>
        </w:rPr>
        <w:t xml:space="preserve">who does </w:t>
      </w:r>
      <w:r w:rsidRPr="00FA764B">
        <w:rPr>
          <w:rFonts w:ascii="Sylfaen" w:eastAsia="Calibri" w:hAnsi="Sylfaen" w:cs="Times New Roman"/>
          <w:i/>
        </w:rPr>
        <w:t>I, am</w:t>
      </w:r>
      <w:r w:rsidRPr="00FA764B">
        <w:rPr>
          <w:rFonts w:ascii="Sylfaen" w:eastAsia="Calibri" w:hAnsi="Sylfaen" w:cs="Times New Roman"/>
        </w:rPr>
        <w:t xml:space="preserve">, and </w:t>
      </w:r>
      <w:r w:rsidRPr="00FA764B">
        <w:rPr>
          <w:rFonts w:ascii="Sylfaen" w:eastAsia="Calibri" w:hAnsi="Sylfaen" w:cs="Times New Roman"/>
          <w:i/>
        </w:rPr>
        <w:t>tomorrow</w:t>
      </w:r>
      <w:r w:rsidRPr="00FA764B">
        <w:rPr>
          <w:rFonts w:ascii="Sylfaen" w:eastAsia="Calibri" w:hAnsi="Sylfaen" w:cs="Times New Roman"/>
        </w:rPr>
        <w:t xml:space="preserve"> refer to? We cannot identify the meaning of this utterance, unless we know the time of the utterance, the place, and who the speaker is, in other words the context of the utterance. Expressions like </w:t>
      </w:r>
      <w:r w:rsidRPr="00FA764B">
        <w:rPr>
          <w:rFonts w:ascii="Sylfaen" w:eastAsia="Calibri" w:hAnsi="Sylfaen" w:cs="Times New Roman"/>
          <w:i/>
        </w:rPr>
        <w:t xml:space="preserve">I, you, we, this, that, here, there, today, tomorrow, </w:t>
      </w:r>
      <w:r w:rsidRPr="00FA764B">
        <w:rPr>
          <w:rFonts w:ascii="Sylfaen" w:eastAsia="Calibri" w:hAnsi="Sylfaen" w:cs="Times New Roman"/>
        </w:rPr>
        <w:t xml:space="preserve">are all indexed, and the listener needs to identify the speaker, the time and the place of the utterance to fully understand what is being said and meant. There are three deictic categories identified in the literature. These are: </w:t>
      </w:r>
      <w:r w:rsidRPr="00FA764B">
        <w:rPr>
          <w:rFonts w:ascii="Sylfaen" w:eastAsia="Calibri" w:hAnsi="Sylfaen" w:cs="Times New Roman"/>
          <w:b/>
        </w:rPr>
        <w:t>personal deixis</w:t>
      </w:r>
      <w:r w:rsidRPr="00FA764B">
        <w:rPr>
          <w:rFonts w:ascii="Sylfaen" w:eastAsia="Calibri" w:hAnsi="Sylfaen" w:cs="Times New Roman"/>
        </w:rPr>
        <w:t xml:space="preserve"> (</w:t>
      </w:r>
      <w:r w:rsidRPr="00FA764B">
        <w:rPr>
          <w:rFonts w:ascii="Sylfaen" w:eastAsia="Calibri" w:hAnsi="Sylfaen" w:cs="Times New Roman"/>
          <w:i/>
        </w:rPr>
        <w:t>I, you, we</w:t>
      </w:r>
      <w:r w:rsidRPr="00FA764B">
        <w:rPr>
          <w:rFonts w:ascii="Sylfaen" w:eastAsia="Calibri" w:hAnsi="Sylfaen" w:cs="Times New Roman"/>
        </w:rPr>
        <w:t xml:space="preserve">), </w:t>
      </w:r>
      <w:r w:rsidRPr="00FA764B">
        <w:rPr>
          <w:rFonts w:ascii="Sylfaen" w:eastAsia="Calibri" w:hAnsi="Sylfaen" w:cs="Times New Roman"/>
          <w:b/>
        </w:rPr>
        <w:t>spatial deixis</w:t>
      </w:r>
      <w:r w:rsidRPr="00FA764B">
        <w:rPr>
          <w:rFonts w:ascii="Sylfaen" w:eastAsia="Calibri" w:hAnsi="Sylfaen" w:cs="Times New Roman"/>
        </w:rPr>
        <w:t xml:space="preserve"> </w:t>
      </w:r>
      <w:r w:rsidRPr="00FA764B">
        <w:rPr>
          <w:rFonts w:ascii="Sylfaen" w:eastAsia="Calibri" w:hAnsi="Sylfaen" w:cs="Times New Roman"/>
          <w:i/>
        </w:rPr>
        <w:t>(this, that, here, there</w:t>
      </w:r>
      <w:r w:rsidRPr="00FA764B">
        <w:rPr>
          <w:rFonts w:ascii="Sylfaen" w:eastAsia="Calibri" w:hAnsi="Sylfaen" w:cs="Times New Roman"/>
        </w:rPr>
        <w:t xml:space="preserve">), and </w:t>
      </w:r>
      <w:r w:rsidRPr="00FA764B">
        <w:rPr>
          <w:rFonts w:ascii="Sylfaen" w:eastAsia="Calibri" w:hAnsi="Sylfaen" w:cs="Times New Roman"/>
          <w:b/>
        </w:rPr>
        <w:t>temporal deixis</w:t>
      </w:r>
      <w:r w:rsidRPr="00FA764B">
        <w:rPr>
          <w:rFonts w:ascii="Sylfaen" w:eastAsia="Calibri" w:hAnsi="Sylfaen" w:cs="Times New Roman"/>
        </w:rPr>
        <w:t xml:space="preserve"> (</w:t>
      </w:r>
      <w:r w:rsidRPr="00FA764B">
        <w:rPr>
          <w:rFonts w:ascii="Sylfaen" w:eastAsia="Calibri" w:hAnsi="Sylfaen" w:cs="Times New Roman"/>
          <w:i/>
        </w:rPr>
        <w:t>now, today, yesterday</w:t>
      </w:r>
      <w:r w:rsidRPr="00FA764B">
        <w:rPr>
          <w:rFonts w:ascii="Sylfaen" w:eastAsia="Calibri" w:hAnsi="Sylfaen" w:cs="Times New Roman"/>
        </w:rPr>
        <w:t xml:space="preserve">). In addition to person, place and time deixis, Levinson (1983), following Lyons (1977) and Filmore (1977), adds two other deictic categories. These </w:t>
      </w:r>
      <w:proofErr w:type="gramStart"/>
      <w:r w:rsidRPr="00FA764B">
        <w:rPr>
          <w:rFonts w:ascii="Sylfaen" w:eastAsia="Calibri" w:hAnsi="Sylfaen" w:cs="Times New Roman"/>
        </w:rPr>
        <w:t>are:</w:t>
      </w:r>
      <w:proofErr w:type="gramEnd"/>
      <w:r w:rsidRPr="00FA764B">
        <w:rPr>
          <w:rFonts w:ascii="Sylfaen" w:eastAsia="Calibri" w:hAnsi="Sylfaen" w:cs="Times New Roman"/>
        </w:rPr>
        <w:t xml:space="preserve"> </w:t>
      </w:r>
      <w:r w:rsidRPr="00FA764B">
        <w:rPr>
          <w:rFonts w:ascii="Sylfaen" w:eastAsia="Calibri" w:hAnsi="Sylfaen" w:cs="Times New Roman"/>
          <w:b/>
        </w:rPr>
        <w:t>social deixis</w:t>
      </w:r>
      <w:r w:rsidRPr="00FA764B">
        <w:rPr>
          <w:rFonts w:ascii="Sylfaen" w:eastAsia="Calibri" w:hAnsi="Sylfaen" w:cs="Times New Roman"/>
        </w:rPr>
        <w:t xml:space="preserve"> which covers the encoding of social distinctions that are relative to participant-roles, particularly aspects of the social relationship holding between speaker and addressee(s) or speaker and some referents, and </w:t>
      </w:r>
      <w:r w:rsidRPr="00FA764B">
        <w:rPr>
          <w:rFonts w:ascii="Sylfaen" w:eastAsia="Calibri" w:hAnsi="Sylfaen" w:cs="Times New Roman"/>
          <w:b/>
        </w:rPr>
        <w:t xml:space="preserve">discourse deixis </w:t>
      </w:r>
      <w:r w:rsidRPr="00FA764B">
        <w:rPr>
          <w:rFonts w:ascii="Sylfaen" w:eastAsia="Calibri" w:hAnsi="Sylfaen" w:cs="Times New Roman"/>
        </w:rPr>
        <w:t xml:space="preserve">which involves the encoding of reference to portions of the unfolding discourse in which the utterance is located. </w:t>
      </w:r>
    </w:p>
    <w:p w14:paraId="5C8F3689"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7370D66E" w14:textId="3A4F264A" w:rsidR="004260B0"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As opposed to Levinson, Yule (1996:9) describes deixis as a way of “pointing through language”, </w:t>
      </w:r>
      <w:proofErr w:type="gramStart"/>
      <w:r w:rsidRPr="00FA764B">
        <w:rPr>
          <w:rFonts w:ascii="Sylfaen" w:eastAsia="Calibri" w:hAnsi="Sylfaen" w:cs="Times New Roman"/>
        </w:rPr>
        <w:t>and also</w:t>
      </w:r>
      <w:proofErr w:type="gramEnd"/>
      <w:r w:rsidRPr="00FA764B">
        <w:rPr>
          <w:rFonts w:ascii="Sylfaen" w:eastAsia="Calibri" w:hAnsi="Sylfaen" w:cs="Times New Roman"/>
        </w:rPr>
        <w:t xml:space="preserve"> refers to deixis as a technical word that comes from Greek. Yule (1996) also admits that deictic expressions have their most basic uses in face-to-face spoken utterances. In addition, Lyons (1977:377) has defined </w:t>
      </w:r>
      <w:proofErr w:type="spellStart"/>
      <w:r w:rsidRPr="00FA764B">
        <w:rPr>
          <w:rFonts w:ascii="Sylfaen" w:eastAsia="Calibri" w:hAnsi="Sylfaen" w:cs="Times New Roman"/>
        </w:rPr>
        <w:t>deixis</w:t>
      </w:r>
      <w:proofErr w:type="spellEnd"/>
      <w:r w:rsidRPr="00FA764B">
        <w:rPr>
          <w:rFonts w:ascii="Sylfaen" w:eastAsia="Calibri" w:hAnsi="Sylfaen" w:cs="Times New Roman"/>
        </w:rPr>
        <w:t xml:space="preserve"> as follows:</w:t>
      </w:r>
    </w:p>
    <w:p w14:paraId="6D36FFD4" w14:textId="2D1C4549" w:rsidR="00FA764B" w:rsidRDefault="00FA764B" w:rsidP="004260B0">
      <w:pPr>
        <w:spacing w:after="16" w:line="360" w:lineRule="auto"/>
        <w:ind w:left="720" w:right="-46"/>
        <w:contextualSpacing/>
        <w:jc w:val="both"/>
        <w:rPr>
          <w:rFonts w:ascii="Sylfaen" w:eastAsia="Calibri" w:hAnsi="Sylfaen" w:cs="Times New Roman"/>
        </w:rPr>
      </w:pPr>
      <w:r w:rsidRPr="00FA764B">
        <w:rPr>
          <w:rFonts w:ascii="Sylfaen" w:eastAsia="Calibri" w:hAnsi="Sylfaen" w:cs="Times New Roman"/>
        </w:rPr>
        <w:t xml:space="preserve">By deixis is meant the location and identification of persons, objects, events, processes and activities talked about, or referred to, in relation to the </w:t>
      </w:r>
      <w:proofErr w:type="spellStart"/>
      <w:r w:rsidRPr="00FA764B">
        <w:rPr>
          <w:rFonts w:ascii="Sylfaen" w:eastAsia="Calibri" w:hAnsi="Sylfaen" w:cs="Times New Roman"/>
        </w:rPr>
        <w:t>spatio</w:t>
      </w:r>
      <w:proofErr w:type="spellEnd"/>
      <w:r w:rsidRPr="00FA764B">
        <w:rPr>
          <w:rFonts w:ascii="Sylfaen" w:eastAsia="Calibri" w:hAnsi="Sylfaen" w:cs="Times New Roman"/>
        </w:rPr>
        <w:t xml:space="preserve">-temporal context created and sustained by the act of utterance and the participation in it, typically, of a single speaker and a least one addressee (Lyons 1997:377). </w:t>
      </w:r>
    </w:p>
    <w:p w14:paraId="309ABE10"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720146F2" w14:textId="58A8C8D2"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In other words, an utterance containing deictic expressions such as </w:t>
      </w:r>
      <w:r w:rsidRPr="00FA764B">
        <w:rPr>
          <w:rFonts w:ascii="Sylfaen" w:eastAsia="Calibri" w:hAnsi="Sylfaen" w:cs="Times New Roman"/>
          <w:i/>
        </w:rPr>
        <w:t>I will move this chair over here</w:t>
      </w:r>
      <w:r w:rsidRPr="00FA764B">
        <w:rPr>
          <w:rFonts w:ascii="Sylfaen" w:eastAsia="Calibri" w:hAnsi="Sylfaen" w:cs="Times New Roman"/>
        </w:rPr>
        <w:t xml:space="preserve"> requires contextual information for an accurate meaning: which chair </w:t>
      </w:r>
      <w:proofErr w:type="gramStart"/>
      <w:r w:rsidRPr="00FA764B">
        <w:rPr>
          <w:rFonts w:ascii="Sylfaen" w:eastAsia="Calibri" w:hAnsi="Sylfaen" w:cs="Times New Roman"/>
        </w:rPr>
        <w:t>is being referred</w:t>
      </w:r>
      <w:proofErr w:type="gramEnd"/>
      <w:r w:rsidRPr="00FA764B">
        <w:rPr>
          <w:rFonts w:ascii="Sylfaen" w:eastAsia="Calibri" w:hAnsi="Sylfaen" w:cs="Times New Roman"/>
        </w:rPr>
        <w:t xml:space="preserve"> to, knowledge about space – knowing where here is, and who the speaker is. Levinson (1983) states that an utterance can be tested as being deictic or not in terms of its truth conditions. For example, if we say </w:t>
      </w:r>
      <w:r w:rsidRPr="00FA764B">
        <w:rPr>
          <w:rFonts w:ascii="Sylfaen" w:eastAsia="Calibri" w:hAnsi="Sylfaen" w:cs="Times New Roman"/>
          <w:i/>
        </w:rPr>
        <w:t xml:space="preserve">George is the husband of Maria, </w:t>
      </w:r>
      <w:r w:rsidRPr="00FA764B">
        <w:rPr>
          <w:rFonts w:ascii="Sylfaen" w:eastAsia="Calibri" w:hAnsi="Sylfaen" w:cs="Times New Roman"/>
        </w:rPr>
        <w:t>the utterance</w:t>
      </w:r>
      <w:r w:rsidRPr="00FA764B">
        <w:rPr>
          <w:rFonts w:ascii="Sylfaen" w:eastAsia="Calibri" w:hAnsi="Sylfaen" w:cs="Times New Roman"/>
          <w:i/>
        </w:rPr>
        <w:t xml:space="preserve"> </w:t>
      </w:r>
      <w:r w:rsidRPr="00FA764B">
        <w:rPr>
          <w:rFonts w:ascii="Sylfaen" w:eastAsia="Calibri" w:hAnsi="Sylfaen" w:cs="Times New Roman"/>
        </w:rPr>
        <w:t xml:space="preserve">can be either true or false, however if we say </w:t>
      </w:r>
      <w:r w:rsidRPr="00FA764B">
        <w:rPr>
          <w:rFonts w:ascii="Sylfaen" w:eastAsia="Calibri" w:hAnsi="Sylfaen" w:cs="Times New Roman"/>
          <w:i/>
        </w:rPr>
        <w:t>He is the husband of Maria</w:t>
      </w:r>
      <w:r w:rsidRPr="00FA764B">
        <w:rPr>
          <w:rFonts w:ascii="Sylfaen" w:eastAsia="Calibri" w:hAnsi="Sylfaen" w:cs="Times New Roman"/>
        </w:rPr>
        <w:t xml:space="preserve">, we cannot assess whether the sentence is true or false because it depends who the </w:t>
      </w:r>
      <w:r w:rsidRPr="00FA764B">
        <w:rPr>
          <w:rFonts w:ascii="Sylfaen" w:eastAsia="Calibri" w:hAnsi="Sylfaen" w:cs="Times New Roman"/>
          <w:i/>
        </w:rPr>
        <w:t>he</w:t>
      </w:r>
      <w:r w:rsidRPr="00FA764B">
        <w:rPr>
          <w:rFonts w:ascii="Sylfaen" w:eastAsia="Calibri" w:hAnsi="Sylfaen" w:cs="Times New Roman"/>
        </w:rPr>
        <w:t xml:space="preserve"> is. If we take another example, such as </w:t>
      </w:r>
      <w:r w:rsidRPr="00FA764B">
        <w:rPr>
          <w:rFonts w:ascii="Sylfaen" w:eastAsia="Calibri" w:hAnsi="Sylfaen" w:cs="Times New Roman"/>
          <w:i/>
        </w:rPr>
        <w:t>I’ll come and see you tomorrow</w:t>
      </w:r>
      <w:r w:rsidRPr="00FA764B">
        <w:rPr>
          <w:rFonts w:ascii="Sylfaen" w:eastAsia="Calibri" w:hAnsi="Sylfaen" w:cs="Times New Roman"/>
        </w:rPr>
        <w:t xml:space="preserve">, we cannot assess whether this sentence is true or false because we are not aware of when the sentence was written, therefore we do not know when </w:t>
      </w:r>
      <w:r w:rsidRPr="00FA764B">
        <w:rPr>
          <w:rFonts w:ascii="Sylfaen" w:eastAsia="Calibri" w:hAnsi="Sylfaen" w:cs="Times New Roman"/>
          <w:i/>
        </w:rPr>
        <w:t>tomorrow</w:t>
      </w:r>
      <w:r w:rsidRPr="00FA764B">
        <w:rPr>
          <w:rFonts w:ascii="Sylfaen" w:eastAsia="Calibri" w:hAnsi="Sylfaen" w:cs="Times New Roman"/>
        </w:rPr>
        <w:t xml:space="preserve"> is. Thus, knowledge about the context in the interpretation of utterances containing deictic expressions is crucial.</w:t>
      </w:r>
    </w:p>
    <w:p w14:paraId="5E2D109B"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360BB783" w14:textId="66403D6C"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For Levinson (1983:64), deixis is organised in an egocentric way, with the deictic centre constituting the reference point in relation to which a deictic expression is to </w:t>
      </w:r>
      <w:proofErr w:type="gramStart"/>
      <w:r w:rsidRPr="00FA764B">
        <w:rPr>
          <w:rFonts w:ascii="Sylfaen" w:eastAsia="Calibri" w:hAnsi="Sylfaen" w:cs="Times New Roman"/>
        </w:rPr>
        <w:t>be interpreted</w:t>
      </w:r>
      <w:proofErr w:type="gramEnd"/>
      <w:r w:rsidRPr="00FA764B">
        <w:rPr>
          <w:rFonts w:ascii="Sylfaen" w:eastAsia="Calibri" w:hAnsi="Sylfaen" w:cs="Times New Roman"/>
        </w:rPr>
        <w:t xml:space="preserve">. For example, in an utterance such </w:t>
      </w:r>
      <w:r w:rsidRPr="00FA764B">
        <w:rPr>
          <w:rFonts w:ascii="Sylfaen" w:eastAsia="Calibri" w:hAnsi="Sylfaen" w:cs="Times New Roman"/>
          <w:i/>
        </w:rPr>
        <w:t>as I’m over here now</w:t>
      </w:r>
      <w:r w:rsidRPr="00FA764B">
        <w:rPr>
          <w:rFonts w:ascii="Sylfaen" w:eastAsia="Calibri" w:hAnsi="Sylfaen" w:cs="Times New Roman"/>
        </w:rPr>
        <w:t xml:space="preserve">, the speaker, the actual location and the actual time of the utterance are respectively the deictic centres. The term deictic centre underlines that the deictic term has to relate to the situation exactly at the point where the utterance </w:t>
      </w:r>
      <w:proofErr w:type="gramStart"/>
      <w:r w:rsidRPr="00FA764B">
        <w:rPr>
          <w:rFonts w:ascii="Sylfaen" w:eastAsia="Calibri" w:hAnsi="Sylfaen" w:cs="Times New Roman"/>
        </w:rPr>
        <w:t>is made</w:t>
      </w:r>
      <w:proofErr w:type="gramEnd"/>
      <w:r w:rsidRPr="00FA764B">
        <w:rPr>
          <w:rFonts w:ascii="Sylfaen" w:eastAsia="Calibri" w:hAnsi="Sylfaen" w:cs="Times New Roman"/>
        </w:rPr>
        <w:t xml:space="preserve"> or the text is written, in other words it has to relate to the position from which the deictic terms are understood. In conversations, the deictic centre is constantly changing between the partners; the speech event is conceptualised from a different point of view. </w:t>
      </w:r>
    </w:p>
    <w:p w14:paraId="49814421"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7A8BF155" w14:textId="7F3B4CC8"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lastRenderedPageBreak/>
        <w:t xml:space="preserve">A deictic expression is a word or phrase </w:t>
      </w:r>
      <w:proofErr w:type="gramStart"/>
      <w:r w:rsidRPr="00FA764B">
        <w:rPr>
          <w:rFonts w:ascii="Sylfaen" w:eastAsia="Calibri" w:hAnsi="Sylfaen" w:cs="Times New Roman"/>
        </w:rPr>
        <w:t>that points</w:t>
      </w:r>
      <w:proofErr w:type="gramEnd"/>
      <w:r w:rsidRPr="00FA764B">
        <w:rPr>
          <w:rFonts w:ascii="Sylfaen" w:eastAsia="Calibri" w:hAnsi="Sylfaen" w:cs="Times New Roman"/>
        </w:rPr>
        <w:t xml:space="preserve"> out the different meaning the words have in various situations. Without a pragmatic approach, the interpretation of an utterance would be impossible to understand, therefore deictic expressions are crucial and it involves the relationship between the structure of languages and the contexts in which they are used. A word that depends on deictic indicators </w:t>
      </w:r>
      <w:proofErr w:type="gramStart"/>
      <w:r w:rsidRPr="00FA764B">
        <w:rPr>
          <w:rFonts w:ascii="Sylfaen" w:eastAsia="Calibri" w:hAnsi="Sylfaen" w:cs="Times New Roman"/>
        </w:rPr>
        <w:t>is called</w:t>
      </w:r>
      <w:proofErr w:type="gramEnd"/>
      <w:r w:rsidRPr="00FA764B">
        <w:rPr>
          <w:rFonts w:ascii="Sylfaen" w:eastAsia="Calibri" w:hAnsi="Sylfaen" w:cs="Times New Roman"/>
        </w:rPr>
        <w:t xml:space="preserve"> a </w:t>
      </w:r>
      <w:r w:rsidRPr="00FA764B">
        <w:rPr>
          <w:rFonts w:ascii="Sylfaen" w:eastAsia="Calibri" w:hAnsi="Sylfaen" w:cs="Times New Roman"/>
          <w:b/>
        </w:rPr>
        <w:t>deictic word</w:t>
      </w:r>
      <w:r w:rsidRPr="00FA764B">
        <w:rPr>
          <w:rFonts w:ascii="Sylfaen" w:eastAsia="Calibri" w:hAnsi="Sylfaen" w:cs="Times New Roman"/>
        </w:rPr>
        <w:t xml:space="preserve">, and is bound to a context. Hence, words that are deictic hold a denotational </w:t>
      </w:r>
      <w:proofErr w:type="gramStart"/>
      <w:r w:rsidRPr="00FA764B">
        <w:rPr>
          <w:rFonts w:ascii="Sylfaen" w:eastAsia="Calibri" w:hAnsi="Sylfaen" w:cs="Times New Roman"/>
        </w:rPr>
        <w:t>meaning which</w:t>
      </w:r>
      <w:proofErr w:type="gramEnd"/>
      <w:r w:rsidRPr="00FA764B">
        <w:rPr>
          <w:rFonts w:ascii="Sylfaen" w:eastAsia="Calibri" w:hAnsi="Sylfaen" w:cs="Times New Roman"/>
        </w:rPr>
        <w:t xml:space="preserve"> varies depending on time and/or place, and a fixed semantic meaning (Levinson, 1983). </w:t>
      </w:r>
    </w:p>
    <w:p w14:paraId="20FD904A"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65B6346D" w14:textId="2486BA6A"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In addition to knowing the time, place and the speaker and addressee, deictic expressions help us realise what is close to the speaker and what is not. This is defined by the following two terms: </w:t>
      </w:r>
      <w:r w:rsidRPr="00FA764B">
        <w:rPr>
          <w:rFonts w:ascii="Sylfaen" w:eastAsia="Calibri" w:hAnsi="Sylfaen" w:cs="Times New Roman"/>
          <w:b/>
        </w:rPr>
        <w:t>proximal</w:t>
      </w:r>
      <w:r w:rsidRPr="00FA764B">
        <w:rPr>
          <w:rFonts w:ascii="Sylfaen" w:eastAsia="Calibri" w:hAnsi="Sylfaen" w:cs="Times New Roman"/>
        </w:rPr>
        <w:t xml:space="preserve"> (near the speaker), such as </w:t>
      </w:r>
      <w:r w:rsidRPr="00FA764B">
        <w:rPr>
          <w:rFonts w:ascii="Sylfaen" w:eastAsia="Calibri" w:hAnsi="Sylfaen" w:cs="Times New Roman"/>
          <w:i/>
        </w:rPr>
        <w:t>this, here, now</w:t>
      </w:r>
      <w:r w:rsidRPr="00FA764B">
        <w:rPr>
          <w:rFonts w:ascii="Sylfaen" w:eastAsia="Calibri" w:hAnsi="Sylfaen" w:cs="Times New Roman"/>
        </w:rPr>
        <w:t xml:space="preserve">, and </w:t>
      </w:r>
      <w:r w:rsidRPr="00FA764B">
        <w:rPr>
          <w:rFonts w:ascii="Sylfaen" w:eastAsia="Calibri" w:hAnsi="Sylfaen" w:cs="Times New Roman"/>
          <w:b/>
        </w:rPr>
        <w:t>distal</w:t>
      </w:r>
      <w:r w:rsidRPr="00FA764B">
        <w:rPr>
          <w:rFonts w:ascii="Sylfaen" w:eastAsia="Calibri" w:hAnsi="Sylfaen" w:cs="Times New Roman"/>
        </w:rPr>
        <w:t xml:space="preserve"> (away from the speaker) such as </w:t>
      </w:r>
      <w:r w:rsidRPr="00FA764B">
        <w:rPr>
          <w:rFonts w:ascii="Sylfaen" w:eastAsia="Calibri" w:hAnsi="Sylfaen" w:cs="Times New Roman"/>
          <w:i/>
        </w:rPr>
        <w:t>that, there, then</w:t>
      </w:r>
      <w:r w:rsidRPr="00FA764B">
        <w:rPr>
          <w:rFonts w:ascii="Sylfaen" w:eastAsia="Calibri" w:hAnsi="Sylfaen" w:cs="Times New Roman"/>
        </w:rPr>
        <w:t xml:space="preserve"> (Levinson, 1983). This concept of distance is more relevant to the study of spatial deixis. Deictic expressions also help us realise if the movement is away from the speaker or towards the speaker (</w:t>
      </w:r>
      <w:r w:rsidRPr="00FA764B">
        <w:rPr>
          <w:rFonts w:ascii="Sylfaen" w:eastAsia="Calibri" w:hAnsi="Sylfaen" w:cs="Times New Roman"/>
          <w:i/>
        </w:rPr>
        <w:t>go vs come</w:t>
      </w:r>
      <w:r w:rsidRPr="00FA764B">
        <w:rPr>
          <w:rFonts w:ascii="Sylfaen" w:eastAsia="Calibri" w:hAnsi="Sylfaen" w:cs="Times New Roman"/>
        </w:rPr>
        <w:t xml:space="preserve">). According to Fillmore (1977), the most obvious manifestations of deictic categories in languages are to </w:t>
      </w:r>
      <w:proofErr w:type="gramStart"/>
      <w:r w:rsidRPr="00FA764B">
        <w:rPr>
          <w:rFonts w:ascii="Sylfaen" w:eastAsia="Calibri" w:hAnsi="Sylfaen" w:cs="Times New Roman"/>
        </w:rPr>
        <w:t>be found</w:t>
      </w:r>
      <w:proofErr w:type="gramEnd"/>
      <w:r w:rsidRPr="00FA764B">
        <w:rPr>
          <w:rFonts w:ascii="Sylfaen" w:eastAsia="Calibri" w:hAnsi="Sylfaen" w:cs="Times New Roman"/>
        </w:rPr>
        <w:t xml:space="preserve"> in the systems of pronouns </w:t>
      </w:r>
      <w:proofErr w:type="spellStart"/>
      <w:r w:rsidRPr="00FA764B">
        <w:rPr>
          <w:rFonts w:ascii="Sylfaen" w:eastAsia="Calibri" w:hAnsi="Sylfaen" w:cs="Times New Roman"/>
        </w:rPr>
        <w:t>i.e</w:t>
      </w:r>
      <w:proofErr w:type="spellEnd"/>
      <w:r w:rsidRPr="00FA764B">
        <w:rPr>
          <w:rFonts w:ascii="Sylfaen" w:eastAsia="Calibri" w:hAnsi="Sylfaen" w:cs="Times New Roman"/>
        </w:rPr>
        <w:t xml:space="preserve"> </w:t>
      </w:r>
      <w:r w:rsidRPr="00FA764B">
        <w:rPr>
          <w:rFonts w:ascii="Sylfaen" w:eastAsia="Calibri" w:hAnsi="Sylfaen" w:cs="Times New Roman"/>
          <w:i/>
        </w:rPr>
        <w:t>I, we, she</w:t>
      </w:r>
      <w:r w:rsidRPr="00FA764B">
        <w:rPr>
          <w:rFonts w:ascii="Sylfaen" w:eastAsia="Calibri" w:hAnsi="Sylfaen" w:cs="Times New Roman"/>
        </w:rPr>
        <w:t xml:space="preserve">, demonstratives </w:t>
      </w:r>
      <w:proofErr w:type="spellStart"/>
      <w:r w:rsidRPr="00FA764B">
        <w:rPr>
          <w:rFonts w:ascii="Sylfaen" w:eastAsia="Calibri" w:hAnsi="Sylfaen" w:cs="Times New Roman"/>
        </w:rPr>
        <w:t>i.e</w:t>
      </w:r>
      <w:proofErr w:type="spellEnd"/>
      <w:r w:rsidRPr="00FA764B">
        <w:rPr>
          <w:rFonts w:ascii="Sylfaen" w:eastAsia="Calibri" w:hAnsi="Sylfaen" w:cs="Times New Roman"/>
        </w:rPr>
        <w:t xml:space="preserve"> </w:t>
      </w:r>
      <w:r w:rsidRPr="00FA764B">
        <w:rPr>
          <w:rFonts w:ascii="Sylfaen" w:eastAsia="Calibri" w:hAnsi="Sylfaen" w:cs="Times New Roman"/>
          <w:i/>
        </w:rPr>
        <w:t>this, these</w:t>
      </w:r>
      <w:r w:rsidRPr="00FA764B">
        <w:rPr>
          <w:rFonts w:ascii="Sylfaen" w:eastAsia="Calibri" w:hAnsi="Sylfaen" w:cs="Times New Roman"/>
        </w:rPr>
        <w:t xml:space="preserve">; and tenses </w:t>
      </w:r>
      <w:proofErr w:type="spellStart"/>
      <w:r w:rsidRPr="00FA764B">
        <w:rPr>
          <w:rFonts w:ascii="Sylfaen" w:eastAsia="Calibri" w:hAnsi="Sylfaen" w:cs="Times New Roman"/>
        </w:rPr>
        <w:t>i.e</w:t>
      </w:r>
      <w:proofErr w:type="spellEnd"/>
      <w:r w:rsidRPr="00FA764B">
        <w:rPr>
          <w:rFonts w:ascii="Sylfaen" w:eastAsia="Calibri" w:hAnsi="Sylfaen" w:cs="Times New Roman"/>
        </w:rPr>
        <w:t xml:space="preserve"> </w:t>
      </w:r>
      <w:r w:rsidRPr="00FA764B">
        <w:rPr>
          <w:rFonts w:ascii="Sylfaen" w:eastAsia="Calibri" w:hAnsi="Sylfaen" w:cs="Times New Roman"/>
          <w:i/>
        </w:rPr>
        <w:t>walk, walked</w:t>
      </w:r>
      <w:r w:rsidRPr="00FA764B">
        <w:rPr>
          <w:rFonts w:ascii="Sylfaen" w:eastAsia="Calibri" w:hAnsi="Sylfaen" w:cs="Times New Roman"/>
        </w:rPr>
        <w:t>.</w:t>
      </w:r>
    </w:p>
    <w:p w14:paraId="5FAA37DE"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1A061ED4" w14:textId="6758192C"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b/>
        </w:rPr>
        <w:t xml:space="preserve">Person deixis </w:t>
      </w:r>
      <w:r w:rsidRPr="00FA764B">
        <w:rPr>
          <w:rFonts w:ascii="Sylfaen" w:eastAsia="Calibri" w:hAnsi="Sylfaen" w:cs="Times New Roman"/>
        </w:rPr>
        <w:t>localises an entity in relation to the position of the speaker and/or hearer (Green, 2008). First and second person pronouns typically refer to the speaking and hearing speech participants, whereas third person pronouns designate the non-speech or narrated participant. According to Lyons (</w:t>
      </w:r>
      <w:proofErr w:type="gramStart"/>
      <w:r w:rsidRPr="00FA764B">
        <w:rPr>
          <w:rFonts w:ascii="Sylfaen" w:eastAsia="Calibri" w:hAnsi="Sylfaen" w:cs="Times New Roman"/>
        </w:rPr>
        <w:t>1983)</w:t>
      </w:r>
      <w:proofErr w:type="gramEnd"/>
      <w:r w:rsidRPr="00FA764B">
        <w:rPr>
          <w:rFonts w:ascii="Sylfaen" w:eastAsia="Calibri" w:hAnsi="Sylfaen" w:cs="Times New Roman"/>
        </w:rPr>
        <w:t xml:space="preserve"> the active participants are the speaker and the addressee, whereas the third person is not an active participant in the speech act.</w:t>
      </w:r>
    </w:p>
    <w:p w14:paraId="39CAA266"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77D96DB3" w14:textId="77777777" w:rsidR="00FA764B" w:rsidRPr="00FA764B" w:rsidRDefault="00FA764B" w:rsidP="004260B0">
      <w:pPr>
        <w:spacing w:after="16" w:line="360" w:lineRule="auto"/>
        <w:ind w:left="142" w:right="-46"/>
        <w:contextualSpacing/>
        <w:rPr>
          <w:rFonts w:ascii="Sylfaen" w:eastAsia="Calibri" w:hAnsi="Sylfaen" w:cs="Times New Roman"/>
        </w:rPr>
      </w:pPr>
      <w:r w:rsidRPr="00FA764B">
        <w:rPr>
          <w:rFonts w:ascii="Sylfaen" w:eastAsia="Calibri" w:hAnsi="Sylfaen" w:cs="Times New Roman"/>
        </w:rPr>
        <w:t>To give an illustration of what I mean let us look at the following examples:</w:t>
      </w:r>
    </w:p>
    <w:p w14:paraId="6B525F31" w14:textId="77777777" w:rsidR="00FA764B" w:rsidRPr="00FA764B" w:rsidRDefault="00FA764B" w:rsidP="004260B0">
      <w:pPr>
        <w:numPr>
          <w:ilvl w:val="0"/>
          <w:numId w:val="14"/>
        </w:numPr>
        <w:spacing w:after="16" w:line="360" w:lineRule="auto"/>
        <w:ind w:left="142" w:right="-46" w:firstLine="0"/>
        <w:contextualSpacing/>
        <w:rPr>
          <w:rFonts w:ascii="Sylfaen" w:eastAsia="Calibri" w:hAnsi="Sylfaen" w:cs="Times New Roman"/>
        </w:rPr>
      </w:pPr>
      <w:r w:rsidRPr="00FA764B">
        <w:rPr>
          <w:rFonts w:ascii="Sylfaen" w:eastAsia="Calibri" w:hAnsi="Sylfaen" w:cs="Times New Roman"/>
          <w:i/>
        </w:rPr>
        <w:t>I</w:t>
      </w:r>
      <w:r w:rsidRPr="00FA764B">
        <w:rPr>
          <w:rFonts w:ascii="Sylfaen" w:eastAsia="Calibri" w:hAnsi="Sylfaen" w:cs="Times New Roman"/>
        </w:rPr>
        <w:t xml:space="preserve"> was late.</w:t>
      </w:r>
    </w:p>
    <w:p w14:paraId="521ABBAF" w14:textId="77777777" w:rsidR="00FA764B" w:rsidRPr="00FA764B" w:rsidRDefault="00FA764B" w:rsidP="004260B0">
      <w:pPr>
        <w:numPr>
          <w:ilvl w:val="0"/>
          <w:numId w:val="14"/>
        </w:numPr>
        <w:spacing w:after="16" w:line="360" w:lineRule="auto"/>
        <w:ind w:left="142" w:right="-46" w:firstLine="0"/>
        <w:contextualSpacing/>
        <w:rPr>
          <w:rFonts w:ascii="Sylfaen" w:eastAsia="Calibri" w:hAnsi="Sylfaen" w:cs="Times New Roman"/>
        </w:rPr>
      </w:pPr>
      <w:r w:rsidRPr="00FA764B">
        <w:rPr>
          <w:rFonts w:ascii="Sylfaen" w:eastAsia="Calibri" w:hAnsi="Sylfaen" w:cs="Times New Roman"/>
          <w:i/>
        </w:rPr>
        <w:t>You</w:t>
      </w:r>
      <w:r w:rsidRPr="00FA764B">
        <w:rPr>
          <w:rFonts w:ascii="Sylfaen" w:eastAsia="Calibri" w:hAnsi="Sylfaen" w:cs="Times New Roman"/>
        </w:rPr>
        <w:t xml:space="preserve"> arrived early.</w:t>
      </w:r>
    </w:p>
    <w:p w14:paraId="669EFD2B" w14:textId="77777777" w:rsidR="00FA764B" w:rsidRPr="00FA764B" w:rsidRDefault="00FA764B" w:rsidP="004260B0">
      <w:pPr>
        <w:numPr>
          <w:ilvl w:val="0"/>
          <w:numId w:val="14"/>
        </w:numPr>
        <w:spacing w:after="16" w:line="360" w:lineRule="auto"/>
        <w:ind w:left="142" w:right="-46" w:firstLine="0"/>
        <w:contextualSpacing/>
        <w:rPr>
          <w:rFonts w:ascii="Sylfaen" w:eastAsia="Calibri" w:hAnsi="Sylfaen" w:cs="Times New Roman"/>
        </w:rPr>
      </w:pPr>
      <w:r w:rsidRPr="00FA764B">
        <w:rPr>
          <w:rFonts w:ascii="Sylfaen" w:eastAsia="Calibri" w:hAnsi="Sylfaen" w:cs="Times New Roman"/>
          <w:i/>
        </w:rPr>
        <w:t>I</w:t>
      </w:r>
      <w:r w:rsidRPr="00FA764B">
        <w:rPr>
          <w:rFonts w:ascii="Sylfaen" w:eastAsia="Calibri" w:hAnsi="Sylfaen" w:cs="Times New Roman"/>
        </w:rPr>
        <w:t xml:space="preserve"> saw </w:t>
      </w:r>
      <w:r w:rsidRPr="00FA764B">
        <w:rPr>
          <w:rFonts w:ascii="Sylfaen" w:eastAsia="Calibri" w:hAnsi="Sylfaen" w:cs="Times New Roman"/>
          <w:i/>
        </w:rPr>
        <w:t>them</w:t>
      </w:r>
      <w:r w:rsidRPr="00FA764B">
        <w:rPr>
          <w:rFonts w:ascii="Sylfaen" w:eastAsia="Calibri" w:hAnsi="Sylfaen" w:cs="Times New Roman"/>
          <w:b/>
        </w:rPr>
        <w:t>.</w:t>
      </w:r>
    </w:p>
    <w:p w14:paraId="2FFF5A82" w14:textId="557E2E91" w:rsidR="004260B0" w:rsidRPr="00FA764B" w:rsidRDefault="00FA764B" w:rsidP="004260B0">
      <w:pPr>
        <w:spacing w:after="16" w:line="360" w:lineRule="auto"/>
        <w:ind w:left="142" w:right="-46"/>
        <w:contextualSpacing/>
        <w:jc w:val="both"/>
        <w:rPr>
          <w:rFonts w:ascii="Sylfaen" w:eastAsia="Calibri" w:hAnsi="Sylfaen" w:cs="Times New Roman"/>
        </w:rPr>
      </w:pPr>
      <w:r w:rsidRPr="00FA764B">
        <w:rPr>
          <w:rFonts w:ascii="Sylfaen" w:eastAsia="Calibri" w:hAnsi="Sylfaen" w:cs="Times New Roman"/>
        </w:rPr>
        <w:t xml:space="preserve">Third person pronouns may be used deictically or anaphorically. An anaphoric use of a deictic expression occurs when reference </w:t>
      </w:r>
      <w:proofErr w:type="gramStart"/>
      <w:r w:rsidRPr="00FA764B">
        <w:rPr>
          <w:rFonts w:ascii="Sylfaen" w:eastAsia="Calibri" w:hAnsi="Sylfaen" w:cs="Times New Roman"/>
        </w:rPr>
        <w:t>is being made</w:t>
      </w:r>
      <w:proofErr w:type="gramEnd"/>
      <w:r w:rsidRPr="00FA764B">
        <w:rPr>
          <w:rFonts w:ascii="Sylfaen" w:eastAsia="Calibri" w:hAnsi="Sylfaen" w:cs="Times New Roman"/>
        </w:rPr>
        <w:t xml:space="preserve"> to another entity that was introduced earlier in the text/speech. </w:t>
      </w:r>
    </w:p>
    <w:p w14:paraId="054ABFC2" w14:textId="77777777" w:rsidR="00FA764B" w:rsidRPr="00FA764B" w:rsidRDefault="00FA764B" w:rsidP="004260B0">
      <w:pPr>
        <w:spacing w:after="16" w:line="360" w:lineRule="auto"/>
        <w:ind w:left="142" w:right="-46"/>
        <w:contextualSpacing/>
        <w:jc w:val="both"/>
        <w:rPr>
          <w:rFonts w:ascii="Sylfaen" w:eastAsia="Calibri" w:hAnsi="Sylfaen" w:cs="Times New Roman"/>
        </w:rPr>
      </w:pPr>
      <w:r w:rsidRPr="00FA764B">
        <w:rPr>
          <w:rFonts w:ascii="Sylfaen" w:eastAsia="Calibri" w:hAnsi="Sylfaen" w:cs="Times New Roman"/>
        </w:rPr>
        <w:t>Examples:</w:t>
      </w:r>
    </w:p>
    <w:p w14:paraId="1FAB298E" w14:textId="77777777" w:rsidR="00FA764B" w:rsidRPr="00FA764B" w:rsidRDefault="00FA764B" w:rsidP="004260B0">
      <w:pPr>
        <w:numPr>
          <w:ilvl w:val="0"/>
          <w:numId w:val="14"/>
        </w:numPr>
        <w:spacing w:after="16" w:line="360" w:lineRule="auto"/>
        <w:ind w:left="142" w:right="-46" w:firstLine="0"/>
        <w:contextualSpacing/>
        <w:jc w:val="both"/>
        <w:rPr>
          <w:rFonts w:ascii="Sylfaen" w:eastAsia="Calibri" w:hAnsi="Sylfaen" w:cs="Times New Roman"/>
        </w:rPr>
      </w:pPr>
      <w:r w:rsidRPr="00FA764B">
        <w:rPr>
          <w:rFonts w:ascii="Sylfaen" w:eastAsia="Calibri" w:hAnsi="Sylfaen" w:cs="Times New Roman"/>
        </w:rPr>
        <w:lastRenderedPageBreak/>
        <w:t xml:space="preserve">John believes </w:t>
      </w:r>
      <w:r w:rsidRPr="00FA764B">
        <w:rPr>
          <w:rFonts w:ascii="Sylfaen" w:eastAsia="Calibri" w:hAnsi="Sylfaen" w:cs="Times New Roman"/>
          <w:i/>
        </w:rPr>
        <w:t>she</w:t>
      </w:r>
      <w:r w:rsidRPr="00FA764B">
        <w:rPr>
          <w:rFonts w:ascii="Sylfaen" w:eastAsia="Calibri" w:hAnsi="Sylfaen" w:cs="Times New Roman"/>
        </w:rPr>
        <w:t xml:space="preserve"> is beautiful. (deictic use)</w:t>
      </w:r>
    </w:p>
    <w:p w14:paraId="0465E948" w14:textId="1872FDC4" w:rsidR="00FA764B" w:rsidRDefault="00FA764B" w:rsidP="004260B0">
      <w:pPr>
        <w:numPr>
          <w:ilvl w:val="0"/>
          <w:numId w:val="14"/>
        </w:numPr>
        <w:spacing w:after="16" w:line="360" w:lineRule="auto"/>
        <w:ind w:left="142" w:right="-46" w:firstLine="0"/>
        <w:contextualSpacing/>
        <w:jc w:val="both"/>
        <w:rPr>
          <w:rFonts w:ascii="Sylfaen" w:eastAsia="Calibri" w:hAnsi="Sylfaen" w:cs="Times New Roman"/>
        </w:rPr>
      </w:pPr>
      <w:r w:rsidRPr="00FA764B">
        <w:rPr>
          <w:rFonts w:ascii="Sylfaen" w:eastAsia="Calibri" w:hAnsi="Sylfaen" w:cs="Times New Roman"/>
        </w:rPr>
        <w:t xml:space="preserve">John thinks I heard </w:t>
      </w:r>
      <w:r w:rsidRPr="00FA764B">
        <w:rPr>
          <w:rFonts w:ascii="Sylfaen" w:eastAsia="Calibri" w:hAnsi="Sylfaen" w:cs="Times New Roman"/>
          <w:i/>
        </w:rPr>
        <w:t>him</w:t>
      </w:r>
      <w:r w:rsidRPr="00FA764B">
        <w:rPr>
          <w:rFonts w:ascii="Sylfaen" w:eastAsia="Calibri" w:hAnsi="Sylfaen" w:cs="Times New Roman"/>
        </w:rPr>
        <w:t>. (anaphoric use)</w:t>
      </w:r>
    </w:p>
    <w:p w14:paraId="54B32794" w14:textId="05885428" w:rsidR="00FA764B" w:rsidRDefault="00FA764B" w:rsidP="004260B0">
      <w:pPr>
        <w:spacing w:after="16" w:line="360" w:lineRule="auto"/>
        <w:ind w:left="142" w:right="-46"/>
        <w:contextualSpacing/>
        <w:jc w:val="both"/>
        <w:rPr>
          <w:rFonts w:ascii="Sylfaen" w:eastAsia="Calibri" w:hAnsi="Sylfaen" w:cs="Times New Roman"/>
        </w:rPr>
      </w:pPr>
      <w:r w:rsidRPr="00FA764B">
        <w:rPr>
          <w:rFonts w:ascii="Sylfaen" w:eastAsia="Calibri" w:hAnsi="Sylfaen" w:cs="Times New Roman"/>
        </w:rPr>
        <w:t xml:space="preserve">In English, pronouns come in singular and plural forms, several are marked for case, and the third person singular forms encode gender. This </w:t>
      </w:r>
      <w:proofErr w:type="gramStart"/>
      <w:r w:rsidRPr="00FA764B">
        <w:rPr>
          <w:rFonts w:ascii="Sylfaen" w:eastAsia="Calibri" w:hAnsi="Sylfaen" w:cs="Times New Roman"/>
        </w:rPr>
        <w:t>is shown</w:t>
      </w:r>
      <w:proofErr w:type="gramEnd"/>
      <w:r w:rsidRPr="00FA764B">
        <w:rPr>
          <w:rFonts w:ascii="Sylfaen" w:eastAsia="Calibri" w:hAnsi="Sylfaen" w:cs="Times New Roman"/>
        </w:rPr>
        <w:t xml:space="preserve"> in Table 1.</w:t>
      </w:r>
    </w:p>
    <w:p w14:paraId="780229FC" w14:textId="07CF38BD" w:rsidR="00FA764B" w:rsidRPr="00FA764B" w:rsidRDefault="00FA764B" w:rsidP="002102F3">
      <w:pPr>
        <w:spacing w:after="16" w:line="360" w:lineRule="auto"/>
        <w:ind w:right="-46"/>
        <w:contextualSpacing/>
        <w:rPr>
          <w:rFonts w:ascii="Sylfaen" w:eastAsia="Calibri" w:hAnsi="Sylfaen" w:cs="Times New Roman"/>
          <w:i/>
        </w:rPr>
      </w:pPr>
    </w:p>
    <w:p w14:paraId="15136F9D" w14:textId="3BB6486F" w:rsidR="002102F3" w:rsidRPr="002102F3" w:rsidRDefault="002102F3" w:rsidP="002102F3">
      <w:pPr>
        <w:pStyle w:val="Caption"/>
        <w:keepNext/>
        <w:rPr>
          <w:rFonts w:ascii="Sylfaen" w:hAnsi="Sylfaen"/>
          <w:color w:val="auto"/>
          <w:sz w:val="20"/>
        </w:rPr>
      </w:pPr>
      <w:r w:rsidRPr="002102F3">
        <w:rPr>
          <w:rFonts w:ascii="Sylfaen" w:hAnsi="Sylfaen"/>
          <w:color w:val="auto"/>
          <w:sz w:val="20"/>
        </w:rPr>
        <w:t xml:space="preserve">Table </w:t>
      </w:r>
      <w:r w:rsidRPr="002102F3">
        <w:rPr>
          <w:rFonts w:ascii="Sylfaen" w:hAnsi="Sylfaen"/>
          <w:color w:val="auto"/>
          <w:sz w:val="20"/>
        </w:rPr>
        <w:fldChar w:fldCharType="begin"/>
      </w:r>
      <w:r w:rsidRPr="002102F3">
        <w:rPr>
          <w:rFonts w:ascii="Sylfaen" w:hAnsi="Sylfaen"/>
          <w:color w:val="auto"/>
          <w:sz w:val="20"/>
        </w:rPr>
        <w:instrText xml:space="preserve"> SEQ Table \* ARABIC </w:instrText>
      </w:r>
      <w:r w:rsidRPr="002102F3">
        <w:rPr>
          <w:rFonts w:ascii="Sylfaen" w:hAnsi="Sylfaen"/>
          <w:color w:val="auto"/>
          <w:sz w:val="20"/>
        </w:rPr>
        <w:fldChar w:fldCharType="separate"/>
      </w:r>
      <w:r w:rsidR="00E828F3">
        <w:rPr>
          <w:rFonts w:ascii="Sylfaen" w:hAnsi="Sylfaen"/>
          <w:noProof/>
          <w:color w:val="auto"/>
          <w:sz w:val="20"/>
        </w:rPr>
        <w:t>1</w:t>
      </w:r>
      <w:r w:rsidRPr="002102F3">
        <w:rPr>
          <w:rFonts w:ascii="Sylfaen" w:hAnsi="Sylfaen"/>
          <w:color w:val="auto"/>
          <w:sz w:val="20"/>
        </w:rPr>
        <w:fldChar w:fldCharType="end"/>
      </w:r>
      <w:r w:rsidRPr="002102F3">
        <w:rPr>
          <w:rFonts w:ascii="Sylfaen" w:hAnsi="Sylfaen"/>
          <w:color w:val="auto"/>
          <w:sz w:val="20"/>
        </w:rPr>
        <w:t xml:space="preserve"> Personal Pronouns in English</w:t>
      </w:r>
    </w:p>
    <w:tbl>
      <w:tblPr>
        <w:tblStyle w:val="TableGrid"/>
        <w:tblW w:w="0" w:type="auto"/>
        <w:tblInd w:w="0" w:type="dxa"/>
        <w:tblLook w:val="04A0" w:firstRow="1" w:lastRow="0" w:firstColumn="1" w:lastColumn="0" w:noHBand="0" w:noVBand="1"/>
        <w:tblCaption w:val="Personal pronouns in English"/>
      </w:tblPr>
      <w:tblGrid>
        <w:gridCol w:w="1698"/>
        <w:gridCol w:w="1699"/>
        <w:gridCol w:w="1699"/>
        <w:gridCol w:w="1699"/>
        <w:gridCol w:w="1699"/>
      </w:tblGrid>
      <w:tr w:rsidR="00FA764B" w:rsidRPr="00FA764B" w14:paraId="148A42C6" w14:textId="77777777" w:rsidTr="002102F3">
        <w:trPr>
          <w:cantSplit/>
          <w:tblHeader/>
        </w:trPr>
        <w:tc>
          <w:tcPr>
            <w:tcW w:w="1698" w:type="dxa"/>
            <w:tcBorders>
              <w:top w:val="single" w:sz="4" w:space="0" w:color="auto"/>
              <w:left w:val="single" w:sz="4" w:space="0" w:color="auto"/>
              <w:bottom w:val="nil"/>
              <w:right w:val="single" w:sz="4" w:space="0" w:color="auto"/>
            </w:tcBorders>
          </w:tcPr>
          <w:p w14:paraId="0611A4DB" w14:textId="77777777" w:rsidR="00FA764B" w:rsidRPr="00FA764B" w:rsidRDefault="00FA764B" w:rsidP="004260B0">
            <w:pPr>
              <w:spacing w:after="16" w:line="360" w:lineRule="auto"/>
              <w:ind w:left="142" w:right="-46"/>
              <w:contextualSpacing/>
              <w:rPr>
                <w:rFonts w:ascii="Sylfaen" w:hAnsi="Sylfaen"/>
                <w:i/>
              </w:rPr>
            </w:pPr>
            <w:bookmarkStart w:id="1" w:name="Title_Personal_Pronouns_in_English"/>
            <w:bookmarkEnd w:id="1"/>
          </w:p>
        </w:tc>
        <w:tc>
          <w:tcPr>
            <w:tcW w:w="1699" w:type="dxa"/>
            <w:tcBorders>
              <w:top w:val="single" w:sz="4" w:space="0" w:color="auto"/>
              <w:left w:val="single" w:sz="4" w:space="0" w:color="auto"/>
              <w:bottom w:val="single" w:sz="4" w:space="0" w:color="auto"/>
              <w:right w:val="nil"/>
            </w:tcBorders>
          </w:tcPr>
          <w:p w14:paraId="6DEE2638" w14:textId="77777777" w:rsidR="00FA764B" w:rsidRPr="00FA764B" w:rsidRDefault="00FA764B" w:rsidP="004260B0">
            <w:pPr>
              <w:spacing w:after="16" w:line="360" w:lineRule="auto"/>
              <w:ind w:left="142" w:right="-46"/>
              <w:contextualSpacing/>
              <w:rPr>
                <w:rFonts w:ascii="Sylfaen" w:hAnsi="Sylfaen"/>
                <w:i/>
              </w:rPr>
            </w:pPr>
          </w:p>
        </w:tc>
        <w:tc>
          <w:tcPr>
            <w:tcW w:w="1699" w:type="dxa"/>
            <w:tcBorders>
              <w:top w:val="single" w:sz="4" w:space="0" w:color="auto"/>
              <w:left w:val="nil"/>
              <w:bottom w:val="single" w:sz="4" w:space="0" w:color="auto"/>
              <w:right w:val="single" w:sz="4" w:space="0" w:color="auto"/>
            </w:tcBorders>
            <w:hideMark/>
          </w:tcPr>
          <w:p w14:paraId="643D292E"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Singular</w:t>
            </w:r>
          </w:p>
        </w:tc>
        <w:tc>
          <w:tcPr>
            <w:tcW w:w="1699" w:type="dxa"/>
            <w:tcBorders>
              <w:top w:val="single" w:sz="4" w:space="0" w:color="auto"/>
              <w:left w:val="single" w:sz="4" w:space="0" w:color="auto"/>
              <w:bottom w:val="single" w:sz="4" w:space="0" w:color="auto"/>
              <w:right w:val="nil"/>
            </w:tcBorders>
            <w:hideMark/>
          </w:tcPr>
          <w:p w14:paraId="1961A6D9"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Plural</w:t>
            </w:r>
          </w:p>
        </w:tc>
        <w:tc>
          <w:tcPr>
            <w:tcW w:w="1699" w:type="dxa"/>
            <w:tcBorders>
              <w:top w:val="single" w:sz="4" w:space="0" w:color="auto"/>
              <w:left w:val="nil"/>
              <w:bottom w:val="single" w:sz="4" w:space="0" w:color="auto"/>
              <w:right w:val="single" w:sz="4" w:space="0" w:color="auto"/>
            </w:tcBorders>
          </w:tcPr>
          <w:p w14:paraId="524AA434" w14:textId="77777777" w:rsidR="00FA764B" w:rsidRPr="00FA764B" w:rsidRDefault="00FA764B" w:rsidP="004260B0">
            <w:pPr>
              <w:spacing w:after="16" w:line="360" w:lineRule="auto"/>
              <w:ind w:left="142" w:right="-46"/>
              <w:contextualSpacing/>
              <w:rPr>
                <w:rFonts w:ascii="Sylfaen" w:hAnsi="Sylfaen"/>
                <w:i/>
              </w:rPr>
            </w:pPr>
          </w:p>
        </w:tc>
      </w:tr>
      <w:tr w:rsidR="00FA764B" w:rsidRPr="00FA764B" w14:paraId="6570F726" w14:textId="77777777" w:rsidTr="002102F3">
        <w:trPr>
          <w:cantSplit/>
        </w:trPr>
        <w:tc>
          <w:tcPr>
            <w:tcW w:w="1698" w:type="dxa"/>
            <w:tcBorders>
              <w:top w:val="nil"/>
              <w:left w:val="single" w:sz="4" w:space="0" w:color="auto"/>
              <w:bottom w:val="single" w:sz="4" w:space="0" w:color="auto"/>
              <w:right w:val="single" w:sz="4" w:space="0" w:color="auto"/>
            </w:tcBorders>
          </w:tcPr>
          <w:p w14:paraId="17305E47" w14:textId="77777777" w:rsidR="00FA764B" w:rsidRPr="00FA764B" w:rsidRDefault="00FA764B" w:rsidP="004260B0">
            <w:pPr>
              <w:spacing w:after="16" w:line="360" w:lineRule="auto"/>
              <w:ind w:left="142" w:right="-46"/>
              <w:contextualSpacing/>
              <w:rPr>
                <w:rFonts w:ascii="Sylfaen" w:hAnsi="Sylfaen"/>
                <w:i/>
              </w:rPr>
            </w:pPr>
          </w:p>
        </w:tc>
        <w:tc>
          <w:tcPr>
            <w:tcW w:w="1699" w:type="dxa"/>
            <w:tcBorders>
              <w:top w:val="single" w:sz="4" w:space="0" w:color="auto"/>
              <w:left w:val="single" w:sz="4" w:space="0" w:color="auto"/>
              <w:bottom w:val="single" w:sz="4" w:space="0" w:color="auto"/>
              <w:right w:val="single" w:sz="4" w:space="0" w:color="auto"/>
            </w:tcBorders>
            <w:hideMark/>
          </w:tcPr>
          <w:p w14:paraId="359D940C"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Nominative</w:t>
            </w:r>
          </w:p>
        </w:tc>
        <w:tc>
          <w:tcPr>
            <w:tcW w:w="1699" w:type="dxa"/>
            <w:tcBorders>
              <w:top w:val="single" w:sz="4" w:space="0" w:color="auto"/>
              <w:left w:val="single" w:sz="4" w:space="0" w:color="auto"/>
              <w:bottom w:val="single" w:sz="4" w:space="0" w:color="auto"/>
              <w:right w:val="single" w:sz="4" w:space="0" w:color="auto"/>
            </w:tcBorders>
            <w:hideMark/>
          </w:tcPr>
          <w:p w14:paraId="79456A6C"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Accusative</w:t>
            </w:r>
          </w:p>
        </w:tc>
        <w:tc>
          <w:tcPr>
            <w:tcW w:w="1699" w:type="dxa"/>
            <w:tcBorders>
              <w:top w:val="single" w:sz="4" w:space="0" w:color="auto"/>
              <w:left w:val="single" w:sz="4" w:space="0" w:color="auto"/>
              <w:bottom w:val="single" w:sz="4" w:space="0" w:color="auto"/>
              <w:right w:val="single" w:sz="4" w:space="0" w:color="auto"/>
            </w:tcBorders>
            <w:hideMark/>
          </w:tcPr>
          <w:p w14:paraId="771097CF"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Nominative</w:t>
            </w:r>
          </w:p>
        </w:tc>
        <w:tc>
          <w:tcPr>
            <w:tcW w:w="1699" w:type="dxa"/>
            <w:tcBorders>
              <w:top w:val="single" w:sz="4" w:space="0" w:color="auto"/>
              <w:left w:val="single" w:sz="4" w:space="0" w:color="auto"/>
              <w:bottom w:val="single" w:sz="4" w:space="0" w:color="auto"/>
              <w:right w:val="single" w:sz="4" w:space="0" w:color="auto"/>
            </w:tcBorders>
            <w:hideMark/>
          </w:tcPr>
          <w:p w14:paraId="529CD3AA"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Accusative</w:t>
            </w:r>
          </w:p>
        </w:tc>
      </w:tr>
      <w:tr w:rsidR="00FA764B" w:rsidRPr="00FA764B" w14:paraId="5F3A4A15" w14:textId="77777777" w:rsidTr="002102F3">
        <w:trPr>
          <w:cantSplit/>
        </w:trPr>
        <w:tc>
          <w:tcPr>
            <w:tcW w:w="1698" w:type="dxa"/>
            <w:tcBorders>
              <w:top w:val="single" w:sz="4" w:space="0" w:color="auto"/>
              <w:left w:val="single" w:sz="4" w:space="0" w:color="auto"/>
              <w:bottom w:val="single" w:sz="4" w:space="0" w:color="auto"/>
              <w:right w:val="single" w:sz="4" w:space="0" w:color="auto"/>
            </w:tcBorders>
            <w:hideMark/>
          </w:tcPr>
          <w:p w14:paraId="39C65734"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1</w:t>
            </w:r>
            <w:r w:rsidRPr="00FA764B">
              <w:rPr>
                <w:rFonts w:ascii="Sylfaen" w:hAnsi="Sylfaen"/>
                <w:i/>
                <w:vertAlign w:val="superscript"/>
              </w:rPr>
              <w:t>st</w:t>
            </w:r>
            <w:r w:rsidRPr="00FA764B">
              <w:rPr>
                <w:rFonts w:ascii="Sylfaen" w:hAnsi="Sylfaen"/>
                <w:i/>
              </w:rPr>
              <w:t xml:space="preserve"> person </w:t>
            </w:r>
          </w:p>
        </w:tc>
        <w:tc>
          <w:tcPr>
            <w:tcW w:w="1699" w:type="dxa"/>
            <w:tcBorders>
              <w:top w:val="single" w:sz="4" w:space="0" w:color="auto"/>
              <w:left w:val="single" w:sz="4" w:space="0" w:color="auto"/>
              <w:bottom w:val="single" w:sz="4" w:space="0" w:color="auto"/>
              <w:right w:val="single" w:sz="4" w:space="0" w:color="auto"/>
            </w:tcBorders>
            <w:hideMark/>
          </w:tcPr>
          <w:p w14:paraId="090C3D09"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 xml:space="preserve">I </w:t>
            </w:r>
          </w:p>
        </w:tc>
        <w:tc>
          <w:tcPr>
            <w:tcW w:w="1699" w:type="dxa"/>
            <w:tcBorders>
              <w:top w:val="single" w:sz="4" w:space="0" w:color="auto"/>
              <w:left w:val="single" w:sz="4" w:space="0" w:color="auto"/>
              <w:bottom w:val="single" w:sz="4" w:space="0" w:color="auto"/>
              <w:right w:val="single" w:sz="4" w:space="0" w:color="auto"/>
            </w:tcBorders>
            <w:hideMark/>
          </w:tcPr>
          <w:p w14:paraId="358E3F43"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 xml:space="preserve">Me </w:t>
            </w:r>
          </w:p>
        </w:tc>
        <w:tc>
          <w:tcPr>
            <w:tcW w:w="1699" w:type="dxa"/>
            <w:tcBorders>
              <w:top w:val="single" w:sz="4" w:space="0" w:color="auto"/>
              <w:left w:val="single" w:sz="4" w:space="0" w:color="auto"/>
              <w:bottom w:val="single" w:sz="4" w:space="0" w:color="auto"/>
              <w:right w:val="single" w:sz="4" w:space="0" w:color="auto"/>
            </w:tcBorders>
            <w:hideMark/>
          </w:tcPr>
          <w:p w14:paraId="2D1DC1A3"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 xml:space="preserve">We </w:t>
            </w:r>
          </w:p>
        </w:tc>
        <w:tc>
          <w:tcPr>
            <w:tcW w:w="1699" w:type="dxa"/>
            <w:tcBorders>
              <w:top w:val="single" w:sz="4" w:space="0" w:color="auto"/>
              <w:left w:val="single" w:sz="4" w:space="0" w:color="auto"/>
              <w:bottom w:val="single" w:sz="4" w:space="0" w:color="auto"/>
              <w:right w:val="single" w:sz="4" w:space="0" w:color="auto"/>
            </w:tcBorders>
            <w:hideMark/>
          </w:tcPr>
          <w:p w14:paraId="699A4AF3"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 xml:space="preserve">Us </w:t>
            </w:r>
          </w:p>
        </w:tc>
      </w:tr>
      <w:tr w:rsidR="00FA764B" w:rsidRPr="00FA764B" w14:paraId="33F76B51" w14:textId="77777777" w:rsidTr="002102F3">
        <w:trPr>
          <w:cantSplit/>
        </w:trPr>
        <w:tc>
          <w:tcPr>
            <w:tcW w:w="1698" w:type="dxa"/>
            <w:tcBorders>
              <w:top w:val="single" w:sz="4" w:space="0" w:color="auto"/>
              <w:left w:val="single" w:sz="4" w:space="0" w:color="auto"/>
              <w:bottom w:val="single" w:sz="4" w:space="0" w:color="auto"/>
              <w:right w:val="single" w:sz="4" w:space="0" w:color="auto"/>
            </w:tcBorders>
            <w:hideMark/>
          </w:tcPr>
          <w:p w14:paraId="5A38E07E"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2</w:t>
            </w:r>
            <w:r w:rsidRPr="00FA764B">
              <w:rPr>
                <w:rFonts w:ascii="Sylfaen" w:hAnsi="Sylfaen"/>
                <w:i/>
                <w:vertAlign w:val="superscript"/>
              </w:rPr>
              <w:t>nd</w:t>
            </w:r>
            <w:r w:rsidRPr="00FA764B">
              <w:rPr>
                <w:rFonts w:ascii="Sylfaen" w:hAnsi="Sylfaen"/>
                <w:i/>
              </w:rPr>
              <w:t xml:space="preserve"> person</w:t>
            </w:r>
          </w:p>
        </w:tc>
        <w:tc>
          <w:tcPr>
            <w:tcW w:w="1699" w:type="dxa"/>
            <w:tcBorders>
              <w:top w:val="single" w:sz="4" w:space="0" w:color="auto"/>
              <w:left w:val="single" w:sz="4" w:space="0" w:color="auto"/>
              <w:bottom w:val="single" w:sz="4" w:space="0" w:color="auto"/>
              <w:right w:val="nil"/>
            </w:tcBorders>
            <w:hideMark/>
          </w:tcPr>
          <w:p w14:paraId="53092BF2" w14:textId="08400F7F"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 xml:space="preserve">You </w:t>
            </w:r>
          </w:p>
        </w:tc>
        <w:tc>
          <w:tcPr>
            <w:tcW w:w="1699" w:type="dxa"/>
            <w:tcBorders>
              <w:top w:val="single" w:sz="4" w:space="0" w:color="auto"/>
              <w:left w:val="nil"/>
              <w:bottom w:val="single" w:sz="4" w:space="0" w:color="auto"/>
              <w:right w:val="single" w:sz="4" w:space="0" w:color="auto"/>
            </w:tcBorders>
          </w:tcPr>
          <w:p w14:paraId="21E7CB84" w14:textId="77777777" w:rsidR="00FA764B" w:rsidRPr="00FA764B" w:rsidRDefault="00FA764B" w:rsidP="004260B0">
            <w:pPr>
              <w:spacing w:after="16" w:line="360" w:lineRule="auto"/>
              <w:ind w:left="142" w:right="-46"/>
              <w:contextualSpacing/>
              <w:rPr>
                <w:rFonts w:ascii="Sylfaen" w:hAnsi="Sylfaen"/>
                <w:i/>
              </w:rPr>
            </w:pPr>
          </w:p>
        </w:tc>
        <w:tc>
          <w:tcPr>
            <w:tcW w:w="1699" w:type="dxa"/>
            <w:tcBorders>
              <w:top w:val="single" w:sz="4" w:space="0" w:color="auto"/>
              <w:left w:val="single" w:sz="4" w:space="0" w:color="auto"/>
              <w:bottom w:val="single" w:sz="4" w:space="0" w:color="auto"/>
              <w:right w:val="nil"/>
            </w:tcBorders>
            <w:hideMark/>
          </w:tcPr>
          <w:p w14:paraId="5477504F" w14:textId="38ABD734"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 xml:space="preserve">You </w:t>
            </w:r>
          </w:p>
        </w:tc>
        <w:tc>
          <w:tcPr>
            <w:tcW w:w="1699" w:type="dxa"/>
            <w:tcBorders>
              <w:top w:val="single" w:sz="4" w:space="0" w:color="auto"/>
              <w:left w:val="nil"/>
              <w:bottom w:val="single" w:sz="4" w:space="0" w:color="auto"/>
              <w:right w:val="single" w:sz="4" w:space="0" w:color="auto"/>
            </w:tcBorders>
          </w:tcPr>
          <w:p w14:paraId="0050B9E0" w14:textId="77777777" w:rsidR="00FA764B" w:rsidRPr="00FA764B" w:rsidRDefault="00FA764B" w:rsidP="004260B0">
            <w:pPr>
              <w:spacing w:after="16" w:line="360" w:lineRule="auto"/>
              <w:ind w:left="142" w:right="-46"/>
              <w:contextualSpacing/>
              <w:rPr>
                <w:rFonts w:ascii="Sylfaen" w:hAnsi="Sylfaen"/>
                <w:i/>
              </w:rPr>
            </w:pPr>
          </w:p>
        </w:tc>
      </w:tr>
      <w:tr w:rsidR="00FA764B" w:rsidRPr="00FA764B" w14:paraId="67B5CB32" w14:textId="77777777" w:rsidTr="002102F3">
        <w:trPr>
          <w:cantSplit/>
        </w:trPr>
        <w:tc>
          <w:tcPr>
            <w:tcW w:w="1698" w:type="dxa"/>
            <w:tcBorders>
              <w:top w:val="single" w:sz="4" w:space="0" w:color="auto"/>
              <w:left w:val="single" w:sz="4" w:space="0" w:color="auto"/>
              <w:bottom w:val="nil"/>
              <w:right w:val="single" w:sz="4" w:space="0" w:color="auto"/>
            </w:tcBorders>
            <w:hideMark/>
          </w:tcPr>
          <w:p w14:paraId="35DCCAF5"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3</w:t>
            </w:r>
            <w:r w:rsidRPr="00FA764B">
              <w:rPr>
                <w:rFonts w:ascii="Sylfaen" w:hAnsi="Sylfaen"/>
                <w:i/>
                <w:vertAlign w:val="superscript"/>
              </w:rPr>
              <w:t>rd</w:t>
            </w:r>
            <w:r w:rsidRPr="00FA764B">
              <w:rPr>
                <w:rFonts w:ascii="Sylfaen" w:hAnsi="Sylfaen"/>
                <w:i/>
              </w:rPr>
              <w:t xml:space="preserve"> person</w:t>
            </w:r>
          </w:p>
        </w:tc>
        <w:tc>
          <w:tcPr>
            <w:tcW w:w="1699" w:type="dxa"/>
            <w:tcBorders>
              <w:top w:val="single" w:sz="4" w:space="0" w:color="auto"/>
              <w:left w:val="single" w:sz="4" w:space="0" w:color="auto"/>
              <w:bottom w:val="single" w:sz="4" w:space="0" w:color="auto"/>
              <w:right w:val="single" w:sz="4" w:space="0" w:color="auto"/>
            </w:tcBorders>
            <w:hideMark/>
          </w:tcPr>
          <w:p w14:paraId="7262FAA2"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Masculine He</w:t>
            </w:r>
          </w:p>
        </w:tc>
        <w:tc>
          <w:tcPr>
            <w:tcW w:w="1699" w:type="dxa"/>
            <w:tcBorders>
              <w:top w:val="single" w:sz="4" w:space="0" w:color="auto"/>
              <w:left w:val="single" w:sz="4" w:space="0" w:color="auto"/>
              <w:bottom w:val="single" w:sz="4" w:space="0" w:color="auto"/>
              <w:right w:val="single" w:sz="4" w:space="0" w:color="auto"/>
            </w:tcBorders>
            <w:hideMark/>
          </w:tcPr>
          <w:p w14:paraId="5A360CB0"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Masculine Him</w:t>
            </w:r>
          </w:p>
        </w:tc>
        <w:tc>
          <w:tcPr>
            <w:tcW w:w="1699" w:type="dxa"/>
            <w:tcBorders>
              <w:top w:val="single" w:sz="4" w:space="0" w:color="auto"/>
              <w:left w:val="single" w:sz="4" w:space="0" w:color="auto"/>
              <w:bottom w:val="nil"/>
              <w:right w:val="single" w:sz="4" w:space="0" w:color="auto"/>
            </w:tcBorders>
            <w:hideMark/>
          </w:tcPr>
          <w:p w14:paraId="6691B53F"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 xml:space="preserve">They </w:t>
            </w:r>
          </w:p>
        </w:tc>
        <w:tc>
          <w:tcPr>
            <w:tcW w:w="1699" w:type="dxa"/>
            <w:tcBorders>
              <w:top w:val="single" w:sz="4" w:space="0" w:color="auto"/>
              <w:left w:val="single" w:sz="4" w:space="0" w:color="auto"/>
              <w:bottom w:val="nil"/>
              <w:right w:val="single" w:sz="4" w:space="0" w:color="auto"/>
            </w:tcBorders>
            <w:hideMark/>
          </w:tcPr>
          <w:p w14:paraId="7EE30EA5"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 xml:space="preserve">Them </w:t>
            </w:r>
          </w:p>
        </w:tc>
      </w:tr>
      <w:tr w:rsidR="00FA764B" w:rsidRPr="00FA764B" w14:paraId="31F82493" w14:textId="77777777" w:rsidTr="002102F3">
        <w:trPr>
          <w:cantSplit/>
        </w:trPr>
        <w:tc>
          <w:tcPr>
            <w:tcW w:w="1698" w:type="dxa"/>
            <w:tcBorders>
              <w:top w:val="nil"/>
              <w:left w:val="single" w:sz="4" w:space="0" w:color="auto"/>
              <w:bottom w:val="nil"/>
              <w:right w:val="single" w:sz="4" w:space="0" w:color="auto"/>
            </w:tcBorders>
          </w:tcPr>
          <w:p w14:paraId="444135B9" w14:textId="77777777" w:rsidR="00FA764B" w:rsidRPr="00FA764B" w:rsidRDefault="00FA764B" w:rsidP="004260B0">
            <w:pPr>
              <w:spacing w:after="16" w:line="360" w:lineRule="auto"/>
              <w:ind w:left="142" w:right="-46"/>
              <w:contextualSpacing/>
              <w:rPr>
                <w:rFonts w:ascii="Sylfaen" w:hAnsi="Sylfaen"/>
                <w:i/>
              </w:rPr>
            </w:pPr>
          </w:p>
        </w:tc>
        <w:tc>
          <w:tcPr>
            <w:tcW w:w="1699" w:type="dxa"/>
            <w:tcBorders>
              <w:top w:val="single" w:sz="4" w:space="0" w:color="auto"/>
              <w:left w:val="single" w:sz="4" w:space="0" w:color="auto"/>
              <w:bottom w:val="single" w:sz="4" w:space="0" w:color="auto"/>
              <w:right w:val="single" w:sz="4" w:space="0" w:color="auto"/>
            </w:tcBorders>
            <w:hideMark/>
          </w:tcPr>
          <w:p w14:paraId="14B6DE04"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Feminine She</w:t>
            </w:r>
          </w:p>
        </w:tc>
        <w:tc>
          <w:tcPr>
            <w:tcW w:w="1699" w:type="dxa"/>
            <w:tcBorders>
              <w:top w:val="single" w:sz="4" w:space="0" w:color="auto"/>
              <w:left w:val="single" w:sz="4" w:space="0" w:color="auto"/>
              <w:bottom w:val="single" w:sz="4" w:space="0" w:color="auto"/>
              <w:right w:val="single" w:sz="4" w:space="0" w:color="auto"/>
            </w:tcBorders>
            <w:hideMark/>
          </w:tcPr>
          <w:p w14:paraId="466FF0D5" w14:textId="77777777" w:rsidR="00FA764B" w:rsidRPr="00FA764B" w:rsidRDefault="00FA764B" w:rsidP="004260B0">
            <w:pPr>
              <w:spacing w:after="16" w:line="360" w:lineRule="auto"/>
              <w:ind w:left="142" w:right="-46"/>
              <w:contextualSpacing/>
              <w:rPr>
                <w:rFonts w:ascii="Sylfaen" w:hAnsi="Sylfaen"/>
                <w:i/>
              </w:rPr>
            </w:pPr>
            <w:r w:rsidRPr="00FA764B">
              <w:rPr>
                <w:rFonts w:ascii="Sylfaen" w:hAnsi="Sylfaen"/>
                <w:i/>
              </w:rPr>
              <w:t>Feminine Her</w:t>
            </w:r>
          </w:p>
        </w:tc>
        <w:tc>
          <w:tcPr>
            <w:tcW w:w="1699" w:type="dxa"/>
            <w:tcBorders>
              <w:top w:val="nil"/>
              <w:left w:val="single" w:sz="4" w:space="0" w:color="auto"/>
              <w:bottom w:val="nil"/>
              <w:right w:val="single" w:sz="4" w:space="0" w:color="auto"/>
            </w:tcBorders>
          </w:tcPr>
          <w:p w14:paraId="4F76E9C1" w14:textId="77777777" w:rsidR="00FA764B" w:rsidRPr="00FA764B" w:rsidRDefault="00FA764B" w:rsidP="004260B0">
            <w:pPr>
              <w:spacing w:after="16" w:line="360" w:lineRule="auto"/>
              <w:ind w:left="142" w:right="-46"/>
              <w:contextualSpacing/>
              <w:rPr>
                <w:rFonts w:ascii="Sylfaen" w:hAnsi="Sylfaen"/>
                <w:i/>
              </w:rPr>
            </w:pPr>
          </w:p>
        </w:tc>
        <w:tc>
          <w:tcPr>
            <w:tcW w:w="1699" w:type="dxa"/>
            <w:tcBorders>
              <w:top w:val="nil"/>
              <w:left w:val="single" w:sz="4" w:space="0" w:color="auto"/>
              <w:bottom w:val="nil"/>
              <w:right w:val="single" w:sz="4" w:space="0" w:color="auto"/>
            </w:tcBorders>
          </w:tcPr>
          <w:p w14:paraId="1FF26ACE" w14:textId="77777777" w:rsidR="00FA764B" w:rsidRPr="00FA764B" w:rsidRDefault="00FA764B" w:rsidP="004260B0">
            <w:pPr>
              <w:spacing w:after="16" w:line="360" w:lineRule="auto"/>
              <w:ind w:left="142" w:right="-46"/>
              <w:contextualSpacing/>
              <w:rPr>
                <w:rFonts w:ascii="Sylfaen" w:hAnsi="Sylfaen"/>
                <w:i/>
              </w:rPr>
            </w:pPr>
          </w:p>
        </w:tc>
      </w:tr>
      <w:tr w:rsidR="00FA764B" w:rsidRPr="00FA764B" w14:paraId="3FB4E593" w14:textId="77777777" w:rsidTr="002102F3">
        <w:trPr>
          <w:cantSplit/>
        </w:trPr>
        <w:tc>
          <w:tcPr>
            <w:tcW w:w="1698" w:type="dxa"/>
            <w:tcBorders>
              <w:top w:val="nil"/>
              <w:left w:val="single" w:sz="4" w:space="0" w:color="auto"/>
              <w:bottom w:val="single" w:sz="4" w:space="0" w:color="auto"/>
              <w:right w:val="single" w:sz="4" w:space="0" w:color="auto"/>
            </w:tcBorders>
          </w:tcPr>
          <w:p w14:paraId="179FD6AC" w14:textId="77777777" w:rsidR="00FA764B" w:rsidRPr="00FA764B" w:rsidRDefault="00FA764B" w:rsidP="004260B0">
            <w:pPr>
              <w:spacing w:after="16" w:line="360" w:lineRule="auto"/>
              <w:ind w:left="142" w:right="-46"/>
              <w:contextualSpacing/>
              <w:rPr>
                <w:rFonts w:ascii="Sylfaen" w:hAnsi="Sylfaen"/>
                <w:i/>
              </w:rPr>
            </w:pPr>
          </w:p>
        </w:tc>
        <w:tc>
          <w:tcPr>
            <w:tcW w:w="1699" w:type="dxa"/>
            <w:tcBorders>
              <w:top w:val="single" w:sz="4" w:space="0" w:color="auto"/>
              <w:left w:val="single" w:sz="4" w:space="0" w:color="auto"/>
              <w:bottom w:val="single" w:sz="4" w:space="0" w:color="auto"/>
              <w:right w:val="nil"/>
            </w:tcBorders>
            <w:hideMark/>
          </w:tcPr>
          <w:p w14:paraId="69FB51F5" w14:textId="6E48A4CE" w:rsidR="00FA764B" w:rsidRPr="00FA764B" w:rsidRDefault="00FA764B" w:rsidP="004260B0">
            <w:pPr>
              <w:spacing w:after="16" w:line="360" w:lineRule="auto"/>
              <w:ind w:left="142" w:right="-46"/>
              <w:contextualSpacing/>
              <w:jc w:val="center"/>
              <w:rPr>
                <w:rFonts w:ascii="Sylfaen" w:hAnsi="Sylfaen"/>
                <w:i/>
              </w:rPr>
            </w:pPr>
            <w:r w:rsidRPr="00FA764B">
              <w:rPr>
                <w:rFonts w:ascii="Sylfaen" w:hAnsi="Sylfaen"/>
                <w:i/>
              </w:rPr>
              <w:t>Neuter It</w:t>
            </w:r>
          </w:p>
        </w:tc>
        <w:tc>
          <w:tcPr>
            <w:tcW w:w="1699" w:type="dxa"/>
            <w:tcBorders>
              <w:top w:val="single" w:sz="4" w:space="0" w:color="auto"/>
              <w:left w:val="nil"/>
              <w:bottom w:val="single" w:sz="4" w:space="0" w:color="auto"/>
              <w:right w:val="single" w:sz="4" w:space="0" w:color="auto"/>
            </w:tcBorders>
          </w:tcPr>
          <w:p w14:paraId="69841D29" w14:textId="77777777" w:rsidR="00FA764B" w:rsidRPr="00FA764B" w:rsidRDefault="00FA764B" w:rsidP="004260B0">
            <w:pPr>
              <w:spacing w:after="16" w:line="360" w:lineRule="auto"/>
              <w:ind w:left="142" w:right="-46"/>
              <w:contextualSpacing/>
              <w:rPr>
                <w:rFonts w:ascii="Sylfaen" w:hAnsi="Sylfaen"/>
                <w:i/>
              </w:rPr>
            </w:pPr>
          </w:p>
        </w:tc>
        <w:tc>
          <w:tcPr>
            <w:tcW w:w="1699" w:type="dxa"/>
            <w:tcBorders>
              <w:top w:val="nil"/>
              <w:left w:val="single" w:sz="4" w:space="0" w:color="auto"/>
              <w:bottom w:val="single" w:sz="4" w:space="0" w:color="auto"/>
              <w:right w:val="single" w:sz="4" w:space="0" w:color="auto"/>
            </w:tcBorders>
          </w:tcPr>
          <w:p w14:paraId="0C5FA316" w14:textId="77777777" w:rsidR="00FA764B" w:rsidRPr="00FA764B" w:rsidRDefault="00FA764B" w:rsidP="004260B0">
            <w:pPr>
              <w:spacing w:after="16" w:line="360" w:lineRule="auto"/>
              <w:ind w:left="142" w:right="-46"/>
              <w:contextualSpacing/>
              <w:rPr>
                <w:rFonts w:ascii="Sylfaen" w:hAnsi="Sylfaen"/>
                <w:i/>
              </w:rPr>
            </w:pPr>
          </w:p>
        </w:tc>
        <w:tc>
          <w:tcPr>
            <w:tcW w:w="1699" w:type="dxa"/>
            <w:tcBorders>
              <w:top w:val="nil"/>
              <w:left w:val="single" w:sz="4" w:space="0" w:color="auto"/>
              <w:bottom w:val="single" w:sz="4" w:space="0" w:color="auto"/>
              <w:right w:val="single" w:sz="4" w:space="0" w:color="auto"/>
            </w:tcBorders>
          </w:tcPr>
          <w:p w14:paraId="4C0039C4" w14:textId="77777777" w:rsidR="00FA764B" w:rsidRPr="00FA764B" w:rsidRDefault="00FA764B" w:rsidP="004260B0">
            <w:pPr>
              <w:spacing w:after="16" w:line="360" w:lineRule="auto"/>
              <w:ind w:left="142" w:right="-46"/>
              <w:contextualSpacing/>
              <w:rPr>
                <w:rFonts w:ascii="Sylfaen" w:hAnsi="Sylfaen"/>
                <w:i/>
              </w:rPr>
            </w:pPr>
          </w:p>
        </w:tc>
      </w:tr>
    </w:tbl>
    <w:p w14:paraId="7A7362D7" w14:textId="77777777" w:rsidR="00FA764B" w:rsidRDefault="00FA764B" w:rsidP="004260B0">
      <w:pPr>
        <w:spacing w:after="16" w:line="360" w:lineRule="auto"/>
        <w:ind w:left="142" w:right="-46"/>
        <w:contextualSpacing/>
        <w:jc w:val="both"/>
        <w:rPr>
          <w:rFonts w:ascii="Sylfaen" w:eastAsia="Calibri" w:hAnsi="Sylfaen" w:cs="Times New Roman"/>
        </w:rPr>
      </w:pPr>
    </w:p>
    <w:p w14:paraId="12C1D4DE" w14:textId="63E0BAF0"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Another category of deixis is </w:t>
      </w:r>
      <w:r w:rsidRPr="00FA764B">
        <w:rPr>
          <w:rFonts w:ascii="Sylfaen" w:eastAsia="Calibri" w:hAnsi="Sylfaen" w:cs="Times New Roman"/>
          <w:b/>
        </w:rPr>
        <w:t>spatial deixis</w:t>
      </w:r>
      <w:r w:rsidRPr="00FA764B">
        <w:rPr>
          <w:rFonts w:ascii="Sylfaen" w:eastAsia="Calibri" w:hAnsi="Sylfaen" w:cs="Times New Roman"/>
        </w:rPr>
        <w:t xml:space="preserve">. Spatial deixis localises both the speech participants and the narrated participants in space. The most frequent words are the pronouns </w:t>
      </w:r>
      <w:r w:rsidRPr="00FA764B">
        <w:rPr>
          <w:rFonts w:ascii="Sylfaen" w:eastAsia="Calibri" w:hAnsi="Sylfaen" w:cs="Times New Roman"/>
          <w:i/>
        </w:rPr>
        <w:t>this/that</w:t>
      </w:r>
      <w:r w:rsidRPr="00FA764B">
        <w:rPr>
          <w:rFonts w:ascii="Sylfaen" w:eastAsia="Calibri" w:hAnsi="Sylfaen" w:cs="Times New Roman"/>
        </w:rPr>
        <w:t xml:space="preserve"> and </w:t>
      </w:r>
      <w:r w:rsidRPr="00FA764B">
        <w:rPr>
          <w:rFonts w:ascii="Sylfaen" w:eastAsia="Calibri" w:hAnsi="Sylfaen" w:cs="Times New Roman"/>
          <w:i/>
        </w:rPr>
        <w:t>these/those</w:t>
      </w:r>
      <w:r w:rsidRPr="00FA764B">
        <w:rPr>
          <w:rFonts w:ascii="Sylfaen" w:eastAsia="Calibri" w:hAnsi="Sylfaen" w:cs="Times New Roman"/>
        </w:rPr>
        <w:t xml:space="preserve">. Other expressions that belong to this category are the adverbs </w:t>
      </w:r>
      <w:r w:rsidRPr="00FA764B">
        <w:rPr>
          <w:rFonts w:ascii="Sylfaen" w:eastAsia="Calibri" w:hAnsi="Sylfaen" w:cs="Times New Roman"/>
          <w:i/>
        </w:rPr>
        <w:t xml:space="preserve">here/there </w:t>
      </w:r>
      <w:r w:rsidRPr="00FA764B">
        <w:rPr>
          <w:rFonts w:ascii="Sylfaen" w:eastAsia="Calibri" w:hAnsi="Sylfaen" w:cs="Times New Roman"/>
        </w:rPr>
        <w:t xml:space="preserve">and prepositions </w:t>
      </w:r>
      <w:r w:rsidRPr="00FA764B">
        <w:rPr>
          <w:rFonts w:ascii="Sylfaen" w:eastAsia="Calibri" w:hAnsi="Sylfaen" w:cs="Times New Roman"/>
          <w:i/>
        </w:rPr>
        <w:t>in/on</w:t>
      </w:r>
      <w:r w:rsidRPr="00FA764B">
        <w:rPr>
          <w:rFonts w:ascii="Sylfaen" w:eastAsia="Calibri" w:hAnsi="Sylfaen" w:cs="Times New Roman"/>
        </w:rPr>
        <w:t xml:space="preserve"> (Levinson, 1983). Spatial deixis also entails whether something is near the speaker or not (</w:t>
      </w:r>
      <w:r w:rsidRPr="00FA764B">
        <w:rPr>
          <w:rFonts w:ascii="Sylfaen" w:eastAsia="Calibri" w:hAnsi="Sylfaen" w:cs="Times New Roman"/>
          <w:i/>
        </w:rPr>
        <w:t>this vs that</w:t>
      </w:r>
      <w:r w:rsidRPr="00FA764B">
        <w:rPr>
          <w:rFonts w:ascii="Sylfaen" w:eastAsia="Calibri" w:hAnsi="Sylfaen" w:cs="Times New Roman"/>
        </w:rPr>
        <w:t xml:space="preserve">). In all languages, there are pairs of verbs such as </w:t>
      </w:r>
      <w:r w:rsidRPr="00FA764B">
        <w:rPr>
          <w:rFonts w:ascii="Sylfaen" w:eastAsia="Calibri" w:hAnsi="Sylfaen" w:cs="Times New Roman"/>
          <w:i/>
        </w:rPr>
        <w:t>come/go</w:t>
      </w:r>
      <w:r w:rsidRPr="00FA764B">
        <w:rPr>
          <w:rFonts w:ascii="Sylfaen" w:eastAsia="Calibri" w:hAnsi="Sylfaen" w:cs="Times New Roman"/>
        </w:rPr>
        <w:t xml:space="preserve">, </w:t>
      </w:r>
      <w:r w:rsidRPr="00FA764B">
        <w:rPr>
          <w:rFonts w:ascii="Sylfaen" w:eastAsia="Calibri" w:hAnsi="Sylfaen" w:cs="Times New Roman"/>
          <w:i/>
        </w:rPr>
        <w:t>bring/take</w:t>
      </w:r>
      <w:r w:rsidRPr="00FA764B">
        <w:rPr>
          <w:rFonts w:ascii="Sylfaen" w:eastAsia="Calibri" w:hAnsi="Sylfaen" w:cs="Times New Roman"/>
        </w:rPr>
        <w:t xml:space="preserve">, which are interpreted to identify the direction of the motion, towards or away from the place of speech event, hence the spatial deixis is the marking in language of the orientation or position in a space. Lyons (1977:648) states that “there are two ways in which we can identify an object by means of a referring expression: first, by informing the addressee where it is; second, by telling him what is like, what the properties it has or what class of objects it belongs to”. </w:t>
      </w:r>
    </w:p>
    <w:p w14:paraId="3F707E00"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311012E7" w14:textId="7EF87461"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Fillmore (1977) talks about the fact that deictic pointing </w:t>
      </w:r>
      <w:proofErr w:type="gramStart"/>
      <w:r w:rsidRPr="00FA764B">
        <w:rPr>
          <w:rFonts w:ascii="Sylfaen" w:eastAsia="Calibri" w:hAnsi="Sylfaen" w:cs="Times New Roman"/>
        </w:rPr>
        <w:t>can be achieved</w:t>
      </w:r>
      <w:proofErr w:type="gramEnd"/>
      <w:r w:rsidRPr="00FA764B">
        <w:rPr>
          <w:rFonts w:ascii="Sylfaen" w:eastAsia="Calibri" w:hAnsi="Sylfaen" w:cs="Times New Roman"/>
        </w:rPr>
        <w:t xml:space="preserve"> in different ways. He distinguishes between two types of uses: the gestural and symbolic ones. The gestural use requires monitoring the speech event in order to identify the referent, whereas the symbolic use involves </w:t>
      </w:r>
      <w:r w:rsidRPr="00FA764B">
        <w:rPr>
          <w:rFonts w:ascii="Sylfaen" w:eastAsia="Calibri" w:hAnsi="Sylfaen" w:cs="Times New Roman"/>
        </w:rPr>
        <w:lastRenderedPageBreak/>
        <w:t>activating knowledge about the communicative situation and the referent. Levinson (1983) exemplifies the two uses with the following examples:</w:t>
      </w:r>
    </w:p>
    <w:p w14:paraId="50B201FB" w14:textId="77777777" w:rsidR="00FA764B" w:rsidRP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i/>
        </w:rPr>
        <w:t>This</w:t>
      </w:r>
      <w:r w:rsidRPr="00FA764B">
        <w:rPr>
          <w:rFonts w:ascii="Sylfaen" w:eastAsia="Calibri" w:hAnsi="Sylfaen" w:cs="Times New Roman"/>
        </w:rPr>
        <w:t xml:space="preserve"> finger hurts (gestural). </w:t>
      </w:r>
    </w:p>
    <w:p w14:paraId="5802E0C2" w14:textId="49B1F4A7" w:rsid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i/>
        </w:rPr>
        <w:t>This</w:t>
      </w:r>
      <w:r w:rsidRPr="00FA764B">
        <w:rPr>
          <w:rFonts w:ascii="Sylfaen" w:eastAsia="Calibri" w:hAnsi="Sylfaen" w:cs="Times New Roman"/>
          <w:b/>
        </w:rPr>
        <w:t xml:space="preserve"> </w:t>
      </w:r>
      <w:r w:rsidRPr="00FA764B">
        <w:rPr>
          <w:rFonts w:ascii="Sylfaen" w:eastAsia="Calibri" w:hAnsi="Sylfaen" w:cs="Times New Roman"/>
        </w:rPr>
        <w:t>city stinks (symbolic).</w:t>
      </w:r>
    </w:p>
    <w:p w14:paraId="7AC7E401" w14:textId="77777777" w:rsidR="002102F3"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In the first example, we notice that the demonstrative can be accompanied by a pointing </w:t>
      </w:r>
      <w:proofErr w:type="gramStart"/>
      <w:r w:rsidRPr="00FA764B">
        <w:rPr>
          <w:rFonts w:ascii="Sylfaen" w:eastAsia="Calibri" w:hAnsi="Sylfaen" w:cs="Times New Roman"/>
        </w:rPr>
        <w:t>gesture which</w:t>
      </w:r>
      <w:proofErr w:type="gramEnd"/>
      <w:r w:rsidRPr="00FA764B">
        <w:rPr>
          <w:rFonts w:ascii="Sylfaen" w:eastAsia="Calibri" w:hAnsi="Sylfaen" w:cs="Times New Roman"/>
        </w:rPr>
        <w:t xml:space="preserve"> illustrates the gestural use. In the second example, which does not involve a pointing gesture and shows a larger situational context illustrates the symbolic use.</w:t>
      </w:r>
    </w:p>
    <w:p w14:paraId="50CC63D9" w14:textId="2BD08D42" w:rsidR="004260B0" w:rsidRPr="00FA764B" w:rsidRDefault="002102F3"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 </w:t>
      </w:r>
    </w:p>
    <w:p w14:paraId="0FD1C500" w14:textId="005195B0"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b/>
        </w:rPr>
        <w:t>Temporal deixis</w:t>
      </w:r>
      <w:r w:rsidRPr="00FA764B">
        <w:rPr>
          <w:rFonts w:ascii="Sylfaen" w:eastAsia="Calibri" w:hAnsi="Sylfaen" w:cs="Times New Roman"/>
        </w:rPr>
        <w:t xml:space="preserve"> is another category of deictic expressions. It refers to an event of an utterance, which takes place any time relative to the speaking time and is, therefore, represented by tense, time adverbials and sometimes by spatial prepositions such </w:t>
      </w:r>
      <w:r w:rsidRPr="00FA764B">
        <w:rPr>
          <w:rFonts w:ascii="Sylfaen" w:eastAsia="Calibri" w:hAnsi="Sylfaen" w:cs="Times New Roman"/>
          <w:i/>
        </w:rPr>
        <w:t>as in the evening, at midnight, on time</w:t>
      </w:r>
      <w:r w:rsidRPr="00FA764B">
        <w:rPr>
          <w:rFonts w:ascii="Sylfaen" w:eastAsia="Calibri" w:hAnsi="Sylfaen" w:cs="Times New Roman"/>
        </w:rPr>
        <w:t xml:space="preserve">. The location of an event referred to and represented by time and tense constitutes the deictic centre in the utterance of a speaker. In English, the present and the past are morphologically marked. Morphology is an area of study within grammar that describes how words are composed. A linguistic element is morphologically marked when it is more distinctively identified than another element, by adding a morpheme. A morpheme is the minimal unit of meaning. For example, the first person present tense </w:t>
      </w:r>
      <w:r w:rsidRPr="00FA764B">
        <w:rPr>
          <w:rFonts w:ascii="Sylfaen" w:eastAsia="Calibri" w:hAnsi="Sylfaen" w:cs="Times New Roman"/>
          <w:i/>
        </w:rPr>
        <w:t>I work</w:t>
      </w:r>
      <w:r w:rsidRPr="00FA764B">
        <w:rPr>
          <w:rFonts w:ascii="Sylfaen" w:eastAsia="Calibri" w:hAnsi="Sylfaen" w:cs="Times New Roman"/>
        </w:rPr>
        <w:t xml:space="preserve"> is not morphologically marked. On the other hand, the third person </w:t>
      </w:r>
      <w:r w:rsidRPr="00FA764B">
        <w:rPr>
          <w:rFonts w:ascii="Sylfaen" w:eastAsia="Calibri" w:hAnsi="Sylfaen" w:cs="Times New Roman"/>
          <w:i/>
        </w:rPr>
        <w:t>he work-s,</w:t>
      </w:r>
      <w:r w:rsidRPr="00FA764B">
        <w:rPr>
          <w:rFonts w:ascii="Sylfaen" w:eastAsia="Calibri" w:hAnsi="Sylfaen" w:cs="Times New Roman"/>
        </w:rPr>
        <w:t xml:space="preserve"> and the past tense </w:t>
      </w:r>
      <w:r w:rsidRPr="00FA764B">
        <w:rPr>
          <w:rFonts w:ascii="Sylfaen" w:eastAsia="Calibri" w:hAnsi="Sylfaen" w:cs="Times New Roman"/>
          <w:i/>
        </w:rPr>
        <w:t>he work-ed</w:t>
      </w:r>
      <w:r w:rsidRPr="00FA764B">
        <w:rPr>
          <w:rFonts w:ascii="Sylfaen" w:eastAsia="Calibri" w:hAnsi="Sylfaen" w:cs="Times New Roman"/>
        </w:rPr>
        <w:t xml:space="preserve"> are marked by the morpheme -s and -ed. The future is constructed using the modal verb </w:t>
      </w:r>
      <w:r w:rsidRPr="00FA764B">
        <w:rPr>
          <w:rFonts w:ascii="Sylfaen" w:eastAsia="Calibri" w:hAnsi="Sylfaen" w:cs="Times New Roman"/>
          <w:i/>
        </w:rPr>
        <w:t>will</w:t>
      </w:r>
      <w:r w:rsidRPr="00FA764B">
        <w:rPr>
          <w:rFonts w:ascii="Sylfaen" w:eastAsia="Calibri" w:hAnsi="Sylfaen" w:cs="Times New Roman"/>
        </w:rPr>
        <w:t>. Another way to express the future in English is by attaching an adverb of time indicating the future illustrated in the following example:</w:t>
      </w:r>
    </w:p>
    <w:p w14:paraId="7D7F522F" w14:textId="7C852479" w:rsid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rPr>
        <w:t xml:space="preserve">I </w:t>
      </w:r>
      <w:r w:rsidRPr="00FA764B">
        <w:rPr>
          <w:rFonts w:ascii="Sylfaen" w:eastAsia="Calibri" w:hAnsi="Sylfaen" w:cs="Times New Roman"/>
          <w:i/>
        </w:rPr>
        <w:t>go</w:t>
      </w:r>
      <w:r w:rsidRPr="00FA764B">
        <w:rPr>
          <w:rFonts w:ascii="Sylfaen" w:eastAsia="Calibri" w:hAnsi="Sylfaen" w:cs="Times New Roman"/>
        </w:rPr>
        <w:t xml:space="preserve"> on holiday </w:t>
      </w:r>
      <w:r w:rsidRPr="00FA764B">
        <w:rPr>
          <w:rFonts w:ascii="Sylfaen" w:eastAsia="Calibri" w:hAnsi="Sylfaen" w:cs="Times New Roman"/>
          <w:i/>
        </w:rPr>
        <w:t>next week</w:t>
      </w:r>
      <w:r w:rsidRPr="00FA764B">
        <w:rPr>
          <w:rFonts w:ascii="Sylfaen" w:eastAsia="Calibri" w:hAnsi="Sylfaen" w:cs="Times New Roman"/>
        </w:rPr>
        <w:t xml:space="preserve">. </w:t>
      </w:r>
    </w:p>
    <w:p w14:paraId="1F8BA9CD" w14:textId="77777777" w:rsidR="004260B0" w:rsidRDefault="004260B0" w:rsidP="004260B0">
      <w:pPr>
        <w:spacing w:after="16" w:line="360" w:lineRule="auto"/>
        <w:ind w:right="-46"/>
        <w:contextualSpacing/>
        <w:jc w:val="both"/>
        <w:rPr>
          <w:rFonts w:ascii="Sylfaen" w:eastAsia="Calibri" w:hAnsi="Sylfaen" w:cs="Times New Roman"/>
        </w:rPr>
      </w:pPr>
    </w:p>
    <w:p w14:paraId="1880E1D4" w14:textId="46575604" w:rsidR="00FA764B"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More examples of temporal deixis:</w:t>
      </w:r>
    </w:p>
    <w:p w14:paraId="236450EB" w14:textId="77777777" w:rsidR="00FA764B" w:rsidRP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rPr>
        <w:t xml:space="preserve">My friend </w:t>
      </w:r>
      <w:r w:rsidRPr="00FA764B">
        <w:rPr>
          <w:rFonts w:ascii="Sylfaen" w:eastAsia="Calibri" w:hAnsi="Sylfaen" w:cs="Times New Roman"/>
          <w:i/>
        </w:rPr>
        <w:t>is going to</w:t>
      </w:r>
      <w:r w:rsidRPr="00FA764B">
        <w:rPr>
          <w:rFonts w:ascii="Sylfaen" w:eastAsia="Calibri" w:hAnsi="Sylfaen" w:cs="Times New Roman"/>
        </w:rPr>
        <w:t xml:space="preserve"> sing in a concert tomorrow. (future with phrasal verb </w:t>
      </w:r>
      <w:r w:rsidRPr="00FA764B">
        <w:rPr>
          <w:rFonts w:ascii="Sylfaen" w:eastAsia="Calibri" w:hAnsi="Sylfaen" w:cs="Times New Roman"/>
          <w:i/>
        </w:rPr>
        <w:t>be</w:t>
      </w:r>
      <w:r w:rsidRPr="00FA764B">
        <w:rPr>
          <w:rFonts w:ascii="Sylfaen" w:eastAsia="Calibri" w:hAnsi="Sylfaen" w:cs="Times New Roman"/>
        </w:rPr>
        <w:t xml:space="preserve"> </w:t>
      </w:r>
      <w:r w:rsidRPr="00FA764B">
        <w:rPr>
          <w:rFonts w:ascii="Sylfaen" w:eastAsia="Calibri" w:hAnsi="Sylfaen" w:cs="Times New Roman"/>
          <w:i/>
        </w:rPr>
        <w:t>going to</w:t>
      </w:r>
      <w:r w:rsidRPr="00FA764B">
        <w:rPr>
          <w:rFonts w:ascii="Sylfaen" w:eastAsia="Calibri" w:hAnsi="Sylfaen" w:cs="Times New Roman"/>
        </w:rPr>
        <w:t>)</w:t>
      </w:r>
    </w:p>
    <w:p w14:paraId="5A81051C" w14:textId="77777777" w:rsidR="00FA764B" w:rsidRP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rPr>
        <w:t xml:space="preserve">They </w:t>
      </w:r>
      <w:r w:rsidRPr="00FA764B">
        <w:rPr>
          <w:rFonts w:ascii="Sylfaen" w:eastAsia="Calibri" w:hAnsi="Sylfaen" w:cs="Times New Roman"/>
          <w:i/>
        </w:rPr>
        <w:t>will</w:t>
      </w:r>
      <w:r w:rsidRPr="00FA764B">
        <w:rPr>
          <w:rFonts w:ascii="Sylfaen" w:eastAsia="Calibri" w:hAnsi="Sylfaen" w:cs="Times New Roman"/>
        </w:rPr>
        <w:t xml:space="preserve"> bring the car in to be fixed. (future with modal verb </w:t>
      </w:r>
      <w:r w:rsidRPr="00FA764B">
        <w:rPr>
          <w:rFonts w:ascii="Sylfaen" w:eastAsia="Calibri" w:hAnsi="Sylfaen" w:cs="Times New Roman"/>
          <w:i/>
        </w:rPr>
        <w:t>will</w:t>
      </w:r>
      <w:r w:rsidRPr="00FA764B">
        <w:rPr>
          <w:rFonts w:ascii="Sylfaen" w:eastAsia="Calibri" w:hAnsi="Sylfaen" w:cs="Times New Roman"/>
        </w:rPr>
        <w:t>)</w:t>
      </w:r>
    </w:p>
    <w:p w14:paraId="22ADF6CA" w14:textId="77777777" w:rsidR="00FA764B" w:rsidRP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rPr>
        <w:t xml:space="preserve">I </w:t>
      </w:r>
      <w:r w:rsidRPr="00FA764B">
        <w:rPr>
          <w:rFonts w:ascii="Sylfaen" w:eastAsia="Calibri" w:hAnsi="Sylfaen" w:cs="Times New Roman"/>
          <w:i/>
        </w:rPr>
        <w:t xml:space="preserve">lived </w:t>
      </w:r>
      <w:r w:rsidRPr="00FA764B">
        <w:rPr>
          <w:rFonts w:ascii="Sylfaen" w:eastAsia="Calibri" w:hAnsi="Sylfaen" w:cs="Times New Roman"/>
        </w:rPr>
        <w:t xml:space="preserve">in Cyprus for eight years. (morphologically marked past tense </w:t>
      </w:r>
      <w:r w:rsidRPr="00FA764B">
        <w:rPr>
          <w:rFonts w:ascii="Sylfaen" w:eastAsia="Calibri" w:hAnsi="Sylfaen" w:cs="Times New Roman"/>
          <w:i/>
        </w:rPr>
        <w:t>-ed</w:t>
      </w:r>
      <w:r w:rsidRPr="00FA764B">
        <w:rPr>
          <w:rFonts w:ascii="Sylfaen" w:eastAsia="Calibri" w:hAnsi="Sylfaen" w:cs="Times New Roman"/>
        </w:rPr>
        <w:t>)</w:t>
      </w:r>
    </w:p>
    <w:p w14:paraId="06E16147" w14:textId="0C61F935" w:rsid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rPr>
        <w:t xml:space="preserve">She </w:t>
      </w:r>
      <w:r w:rsidRPr="00FA764B">
        <w:rPr>
          <w:rFonts w:ascii="Sylfaen" w:eastAsia="Calibri" w:hAnsi="Sylfaen" w:cs="Times New Roman"/>
          <w:i/>
        </w:rPr>
        <w:t>drinks</w:t>
      </w:r>
      <w:r w:rsidRPr="00FA764B">
        <w:rPr>
          <w:rFonts w:ascii="Sylfaen" w:eastAsia="Calibri" w:hAnsi="Sylfaen" w:cs="Times New Roman"/>
        </w:rPr>
        <w:t xml:space="preserve"> tea </w:t>
      </w:r>
      <w:r w:rsidRPr="00FA764B">
        <w:rPr>
          <w:rFonts w:ascii="Sylfaen" w:eastAsia="Calibri" w:hAnsi="Sylfaen" w:cs="Times New Roman"/>
          <w:i/>
        </w:rPr>
        <w:t>every morning</w:t>
      </w:r>
      <w:r w:rsidRPr="00FA764B">
        <w:rPr>
          <w:rFonts w:ascii="Sylfaen" w:eastAsia="Calibri" w:hAnsi="Sylfaen" w:cs="Times New Roman"/>
        </w:rPr>
        <w:t xml:space="preserve">. (morphologically marked present tense </w:t>
      </w:r>
      <w:r w:rsidRPr="00FA764B">
        <w:rPr>
          <w:rFonts w:ascii="Sylfaen" w:eastAsia="Calibri" w:hAnsi="Sylfaen" w:cs="Times New Roman"/>
          <w:i/>
        </w:rPr>
        <w:t>-s</w:t>
      </w:r>
      <w:r w:rsidRPr="00FA764B">
        <w:rPr>
          <w:rFonts w:ascii="Sylfaen" w:eastAsia="Calibri" w:hAnsi="Sylfaen" w:cs="Times New Roman"/>
        </w:rPr>
        <w:t>, expressing an event occurring on a regular basis)</w:t>
      </w:r>
    </w:p>
    <w:p w14:paraId="25A23036"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0F5D959F" w14:textId="0D5E6C04"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Levinson (1983:73) argues that “complexities arise in the usage of tense, time adverbs and other time deictic morphemes wherever there is a departure from this assumption, for example in letter </w:t>
      </w:r>
      <w:r w:rsidRPr="00FA764B">
        <w:rPr>
          <w:rFonts w:ascii="Sylfaen" w:eastAsia="Calibri" w:hAnsi="Sylfaen" w:cs="Times New Roman"/>
        </w:rPr>
        <w:lastRenderedPageBreak/>
        <w:t xml:space="preserve">writing, or the pre-recording of media programmes”. For example, if a letter says </w:t>
      </w:r>
      <w:r w:rsidRPr="00FA764B">
        <w:rPr>
          <w:rFonts w:ascii="Sylfaen" w:eastAsia="Calibri" w:hAnsi="Sylfaen" w:cs="Times New Roman"/>
          <w:i/>
        </w:rPr>
        <w:t>I am leaving tomorrow</w:t>
      </w:r>
      <w:r w:rsidRPr="00FA764B">
        <w:rPr>
          <w:rFonts w:ascii="Sylfaen" w:eastAsia="Calibri" w:hAnsi="Sylfaen" w:cs="Times New Roman"/>
        </w:rPr>
        <w:t xml:space="preserve">, we are unaware of when tomorrow is, unless we have a fixed reference point of when the letter </w:t>
      </w:r>
      <w:proofErr w:type="gramStart"/>
      <w:r w:rsidRPr="00FA764B">
        <w:rPr>
          <w:rFonts w:ascii="Sylfaen" w:eastAsia="Calibri" w:hAnsi="Sylfaen" w:cs="Times New Roman"/>
        </w:rPr>
        <w:t>was written</w:t>
      </w:r>
      <w:proofErr w:type="gramEnd"/>
      <w:r w:rsidRPr="00FA764B">
        <w:rPr>
          <w:rFonts w:ascii="Sylfaen" w:eastAsia="Calibri" w:hAnsi="Sylfaen" w:cs="Times New Roman"/>
        </w:rPr>
        <w:t>.</w:t>
      </w:r>
    </w:p>
    <w:p w14:paraId="7A6283E8"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1441AA6A" w14:textId="1BBC49FC"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Fillmore (1977) and Levinson (1983) note that the deictic words </w:t>
      </w:r>
      <w:r w:rsidRPr="00FA764B">
        <w:rPr>
          <w:rFonts w:ascii="Sylfaen" w:eastAsia="Calibri" w:hAnsi="Sylfaen" w:cs="Times New Roman"/>
          <w:i/>
        </w:rPr>
        <w:t>yesterday, today, and tomorrow</w:t>
      </w:r>
      <w:r w:rsidRPr="00FA764B">
        <w:rPr>
          <w:rFonts w:ascii="Sylfaen" w:eastAsia="Calibri" w:hAnsi="Sylfaen" w:cs="Times New Roman"/>
        </w:rPr>
        <w:t xml:space="preserve">, pre-empt the absolute ways of referring to the relevant days. Thus, the utterance, </w:t>
      </w:r>
      <w:r w:rsidRPr="00FA764B">
        <w:rPr>
          <w:rFonts w:ascii="Sylfaen" w:eastAsia="Calibri" w:hAnsi="Sylfaen" w:cs="Times New Roman"/>
          <w:i/>
        </w:rPr>
        <w:t>I will see you on Thursday</w:t>
      </w:r>
      <w:r w:rsidRPr="00FA764B">
        <w:rPr>
          <w:rFonts w:ascii="Sylfaen" w:eastAsia="Calibri" w:hAnsi="Sylfaen" w:cs="Times New Roman"/>
        </w:rPr>
        <w:t xml:space="preserve">, said on Thursday, can only be referring to next Thursday, otherwise the speaker should have said today. If it is said on a Wednesday, the speaker should use </w:t>
      </w:r>
      <w:r w:rsidRPr="00FA764B">
        <w:rPr>
          <w:rFonts w:ascii="Sylfaen" w:eastAsia="Calibri" w:hAnsi="Sylfaen" w:cs="Times New Roman"/>
          <w:i/>
        </w:rPr>
        <w:t>tomorrow</w:t>
      </w:r>
      <w:r w:rsidR="004260B0">
        <w:rPr>
          <w:rFonts w:ascii="Sylfaen" w:eastAsia="Calibri" w:hAnsi="Sylfaen" w:cs="Times New Roman"/>
        </w:rPr>
        <w:t>.</w:t>
      </w:r>
    </w:p>
    <w:p w14:paraId="216EFD3A"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36335A15" w14:textId="3BE4D634"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Having presented the traditional deictic categories, what </w:t>
      </w:r>
      <w:proofErr w:type="gramStart"/>
      <w:r w:rsidRPr="00FA764B">
        <w:rPr>
          <w:rFonts w:ascii="Sylfaen" w:eastAsia="Calibri" w:hAnsi="Sylfaen" w:cs="Times New Roman"/>
        </w:rPr>
        <w:t>will now be discussed</w:t>
      </w:r>
      <w:proofErr w:type="gramEnd"/>
      <w:r w:rsidRPr="00FA764B">
        <w:rPr>
          <w:rFonts w:ascii="Sylfaen" w:eastAsia="Calibri" w:hAnsi="Sylfaen" w:cs="Times New Roman"/>
        </w:rPr>
        <w:t xml:space="preserve"> is the discourse and the social deixis. The </w:t>
      </w:r>
      <w:r w:rsidRPr="00FA764B">
        <w:rPr>
          <w:rFonts w:ascii="Sylfaen" w:eastAsia="Calibri" w:hAnsi="Sylfaen" w:cs="Times New Roman"/>
          <w:b/>
        </w:rPr>
        <w:t>discourse deixis</w:t>
      </w:r>
      <w:r w:rsidRPr="00FA764B">
        <w:rPr>
          <w:rFonts w:ascii="Sylfaen" w:eastAsia="Calibri" w:hAnsi="Sylfaen" w:cs="Times New Roman"/>
        </w:rPr>
        <w:t xml:space="preserve"> provides a reference to an utterance backward or forward to other utterances. Levinson (1985:62) states that discourse deixis is “the encoding of reference to portions of the unfolding discourse in which the utterance is located”. In other words, discourse deixis refers to all expressions and phrases that point the reader or hearer through spoken or written text.</w:t>
      </w:r>
    </w:p>
    <w:p w14:paraId="54FA54A4"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6B13AC98" w14:textId="77777777" w:rsidR="00FA764B"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These examples illustrate discourse deixis (Fillmore 1977):</w:t>
      </w:r>
    </w:p>
    <w:p w14:paraId="6CD142AB" w14:textId="77777777" w:rsidR="00FA764B" w:rsidRPr="00FA764B" w:rsidRDefault="00FA764B" w:rsidP="004260B0">
      <w:pPr>
        <w:spacing w:after="16" w:line="360" w:lineRule="auto"/>
        <w:ind w:left="720" w:right="-46"/>
        <w:contextualSpacing/>
        <w:jc w:val="both"/>
        <w:rPr>
          <w:rFonts w:ascii="Sylfaen" w:eastAsia="Calibri" w:hAnsi="Sylfaen" w:cs="Times New Roman"/>
        </w:rPr>
      </w:pPr>
      <w:proofErr w:type="gramStart"/>
      <w:r w:rsidRPr="00FA764B">
        <w:rPr>
          <w:rFonts w:ascii="Sylfaen" w:eastAsia="Calibri" w:hAnsi="Sylfaen" w:cs="Times New Roman"/>
          <w:i/>
        </w:rPr>
        <w:t>earlier</w:t>
      </w:r>
      <w:proofErr w:type="gramEnd"/>
      <w:r w:rsidRPr="00FA764B">
        <w:rPr>
          <w:rFonts w:ascii="Sylfaen" w:eastAsia="Calibri" w:hAnsi="Sylfaen" w:cs="Times New Roman"/>
          <w:i/>
        </w:rPr>
        <w:t>, later, the preceding x, the following s, in the following paragraphs, in the following weeks, during next month, in the next chapter</w:t>
      </w:r>
    </w:p>
    <w:p w14:paraId="32F79947" w14:textId="77777777" w:rsidR="00FA764B"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Discourse deixis can very easily be confused with anaphora; anaphora is used to refer to something previously mentioned.</w:t>
      </w:r>
    </w:p>
    <w:p w14:paraId="5FBFF5B5" w14:textId="77777777" w:rsidR="00FA764B"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Examples:</w:t>
      </w:r>
    </w:p>
    <w:p w14:paraId="62421471" w14:textId="77777777" w:rsidR="00FA764B" w:rsidRP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i/>
        </w:rPr>
        <w:t>That</w:t>
      </w:r>
      <w:r w:rsidRPr="00FA764B">
        <w:rPr>
          <w:rFonts w:ascii="Sylfaen" w:eastAsia="Calibri" w:hAnsi="Sylfaen" w:cs="Times New Roman"/>
        </w:rPr>
        <w:t xml:space="preserve"> was interesting. </w:t>
      </w:r>
    </w:p>
    <w:p w14:paraId="1C171E47" w14:textId="77777777" w:rsidR="00FA764B" w:rsidRP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i/>
        </w:rPr>
        <w:t>This</w:t>
      </w:r>
      <w:r w:rsidRPr="00FA764B">
        <w:rPr>
          <w:rFonts w:ascii="Sylfaen" w:eastAsia="Calibri" w:hAnsi="Sylfaen" w:cs="Times New Roman"/>
        </w:rPr>
        <w:t xml:space="preserve"> is a lie. </w:t>
      </w:r>
    </w:p>
    <w:p w14:paraId="3DF13A7F" w14:textId="77777777" w:rsidR="00FA764B"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Examples of anaphora: </w:t>
      </w:r>
    </w:p>
    <w:p w14:paraId="6A5DF685" w14:textId="77777777" w:rsidR="00FA764B" w:rsidRP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proofErr w:type="gramStart"/>
      <w:r w:rsidRPr="00FA764B">
        <w:rPr>
          <w:rFonts w:ascii="Sylfaen" w:eastAsia="Calibri" w:hAnsi="Sylfaen" w:cs="Times New Roman"/>
        </w:rPr>
        <w:t>Take a look</w:t>
      </w:r>
      <w:proofErr w:type="gramEnd"/>
      <w:r w:rsidRPr="00FA764B">
        <w:rPr>
          <w:rFonts w:ascii="Sylfaen" w:eastAsia="Calibri" w:hAnsi="Sylfaen" w:cs="Times New Roman"/>
        </w:rPr>
        <w:t xml:space="preserve"> at </w:t>
      </w:r>
      <w:r w:rsidRPr="00FA764B">
        <w:rPr>
          <w:rFonts w:ascii="Sylfaen" w:eastAsia="Calibri" w:hAnsi="Sylfaen" w:cs="Times New Roman"/>
          <w:i/>
        </w:rPr>
        <w:t>this</w:t>
      </w:r>
      <w:r w:rsidRPr="00FA764B">
        <w:rPr>
          <w:rFonts w:ascii="Sylfaen" w:eastAsia="Calibri" w:hAnsi="Sylfaen" w:cs="Times New Roman"/>
        </w:rPr>
        <w:t xml:space="preserve"> book. </w:t>
      </w:r>
      <w:r w:rsidRPr="00FA764B">
        <w:rPr>
          <w:rFonts w:ascii="Sylfaen" w:eastAsia="Calibri" w:hAnsi="Sylfaen" w:cs="Times New Roman"/>
          <w:i/>
        </w:rPr>
        <w:t xml:space="preserve">This </w:t>
      </w:r>
      <w:r w:rsidRPr="00FA764B">
        <w:rPr>
          <w:rFonts w:ascii="Sylfaen" w:eastAsia="Calibri" w:hAnsi="Sylfaen" w:cs="Times New Roman"/>
        </w:rPr>
        <w:t>is the best book I have read in a long time.</w:t>
      </w:r>
    </w:p>
    <w:p w14:paraId="31C74B19" w14:textId="77777777" w:rsidR="00FA764B"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Anaphora is often contrasted with cataphora where the words refer forwards. It has been shown that </w:t>
      </w:r>
      <w:r w:rsidRPr="00FA764B">
        <w:rPr>
          <w:rFonts w:ascii="Sylfaen" w:eastAsia="Calibri" w:hAnsi="Sylfaen" w:cs="Times New Roman"/>
          <w:i/>
        </w:rPr>
        <w:t>this</w:t>
      </w:r>
      <w:r w:rsidRPr="00FA764B">
        <w:rPr>
          <w:rFonts w:ascii="Sylfaen" w:eastAsia="Calibri" w:hAnsi="Sylfaen" w:cs="Times New Roman"/>
        </w:rPr>
        <w:t xml:space="preserve"> can be used both </w:t>
      </w:r>
      <w:proofErr w:type="spellStart"/>
      <w:r w:rsidRPr="00FA764B">
        <w:rPr>
          <w:rFonts w:ascii="Sylfaen" w:eastAsia="Calibri" w:hAnsi="Sylfaen" w:cs="Times New Roman"/>
        </w:rPr>
        <w:t>anaphorically</w:t>
      </w:r>
      <w:proofErr w:type="spellEnd"/>
      <w:r w:rsidRPr="00FA764B">
        <w:rPr>
          <w:rFonts w:ascii="Sylfaen" w:eastAsia="Calibri" w:hAnsi="Sylfaen" w:cs="Times New Roman"/>
        </w:rPr>
        <w:t xml:space="preserve"> and </w:t>
      </w:r>
      <w:proofErr w:type="spellStart"/>
      <w:r w:rsidRPr="00FA764B">
        <w:rPr>
          <w:rFonts w:ascii="Sylfaen" w:eastAsia="Calibri" w:hAnsi="Sylfaen" w:cs="Times New Roman"/>
        </w:rPr>
        <w:t>cataphorically</w:t>
      </w:r>
      <w:proofErr w:type="spellEnd"/>
      <w:r w:rsidRPr="00FA764B">
        <w:rPr>
          <w:rFonts w:ascii="Sylfaen" w:eastAsia="Calibri" w:hAnsi="Sylfaen" w:cs="Times New Roman"/>
        </w:rPr>
        <w:t xml:space="preserve">, whereas </w:t>
      </w:r>
      <w:r w:rsidRPr="00FA764B">
        <w:rPr>
          <w:rFonts w:ascii="Sylfaen" w:eastAsia="Calibri" w:hAnsi="Sylfaen" w:cs="Times New Roman"/>
          <w:i/>
        </w:rPr>
        <w:t>that</w:t>
      </w:r>
      <w:r w:rsidRPr="00FA764B">
        <w:rPr>
          <w:rFonts w:ascii="Sylfaen" w:eastAsia="Calibri" w:hAnsi="Sylfaen" w:cs="Times New Roman"/>
        </w:rPr>
        <w:t xml:space="preserve"> can be used anaphorically only. </w:t>
      </w:r>
    </w:p>
    <w:p w14:paraId="4598BE72" w14:textId="77777777" w:rsidR="00FA764B"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Examples: </w:t>
      </w:r>
    </w:p>
    <w:p w14:paraId="0FCEF661" w14:textId="77777777" w:rsidR="00FA764B" w:rsidRP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i/>
        </w:rPr>
        <w:t>This</w:t>
      </w:r>
      <w:r w:rsidRPr="00FA764B">
        <w:rPr>
          <w:rFonts w:ascii="Sylfaen" w:eastAsia="Calibri" w:hAnsi="Sylfaen" w:cs="Times New Roman"/>
        </w:rPr>
        <w:t xml:space="preserve"> is what I mean. (anaphoric or cataphoric reference)</w:t>
      </w:r>
    </w:p>
    <w:p w14:paraId="11CEAE59" w14:textId="77777777" w:rsidR="00FA764B" w:rsidRP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i/>
        </w:rPr>
        <w:lastRenderedPageBreak/>
        <w:t>That</w:t>
      </w:r>
      <w:r w:rsidRPr="00FA764B">
        <w:rPr>
          <w:rFonts w:ascii="Sylfaen" w:eastAsia="Calibri" w:hAnsi="Sylfaen" w:cs="Times New Roman"/>
        </w:rPr>
        <w:t xml:space="preserve"> is what I mean (anaphoric reference only).</w:t>
      </w:r>
    </w:p>
    <w:p w14:paraId="41034E45" w14:textId="77777777" w:rsidR="00FA764B"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Some forms of deixis may be simultaneously deictic and anaphoric.</w:t>
      </w:r>
    </w:p>
    <w:p w14:paraId="36DE80E9" w14:textId="77777777" w:rsidR="00FA764B"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Example: </w:t>
      </w:r>
    </w:p>
    <w:p w14:paraId="11044E4D" w14:textId="05DCE9E3" w:rsidR="002102F3" w:rsidRPr="00FA764B" w:rsidRDefault="00FA764B" w:rsidP="002102F3">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rPr>
        <w:t xml:space="preserve"> Lola is coming over later; we are having dinner together.</w:t>
      </w:r>
    </w:p>
    <w:p w14:paraId="6D3CA9C6" w14:textId="13F44162" w:rsidR="00FA764B" w:rsidRP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rPr>
        <w:t xml:space="preserve"> </w:t>
      </w:r>
      <w:proofErr w:type="gramStart"/>
      <w:r w:rsidRPr="00FA764B">
        <w:rPr>
          <w:rFonts w:ascii="Sylfaen" w:eastAsia="Calibri" w:hAnsi="Sylfaen" w:cs="Times New Roman"/>
        </w:rPr>
        <w:t>She was born in Romania and has lived there all her life.</w:t>
      </w:r>
      <w:proofErr w:type="gramEnd"/>
      <w:r w:rsidRPr="00FA764B">
        <w:rPr>
          <w:rFonts w:ascii="Sylfaen" w:eastAsia="Calibri" w:hAnsi="Sylfaen" w:cs="Times New Roman"/>
        </w:rPr>
        <w:t xml:space="preserve"> </w:t>
      </w:r>
    </w:p>
    <w:p w14:paraId="4B4A0DE9" w14:textId="12562827" w:rsid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Example 18 refers to the set consisting of </w:t>
      </w:r>
      <w:r w:rsidRPr="00FA764B">
        <w:rPr>
          <w:rFonts w:ascii="Sylfaen" w:eastAsia="Calibri" w:hAnsi="Sylfaen" w:cs="Times New Roman"/>
          <w:i/>
        </w:rPr>
        <w:t>Lola and me</w:t>
      </w:r>
      <w:r w:rsidRPr="00FA764B">
        <w:rPr>
          <w:rFonts w:ascii="Sylfaen" w:eastAsia="Calibri" w:hAnsi="Sylfaen" w:cs="Times New Roman"/>
        </w:rPr>
        <w:t xml:space="preserve">: the speaker component of this is determined deictically by </w:t>
      </w:r>
      <w:proofErr w:type="gramStart"/>
      <w:r w:rsidRPr="00FA764B">
        <w:rPr>
          <w:rFonts w:ascii="Sylfaen" w:eastAsia="Calibri" w:hAnsi="Sylfaen" w:cs="Times New Roman"/>
          <w:i/>
        </w:rPr>
        <w:t>we</w:t>
      </w:r>
      <w:proofErr w:type="gramEnd"/>
      <w:r w:rsidRPr="00FA764B">
        <w:rPr>
          <w:rFonts w:ascii="Sylfaen" w:eastAsia="Calibri" w:hAnsi="Sylfaen" w:cs="Times New Roman"/>
        </w:rPr>
        <w:t xml:space="preserve"> being a first person pronoun, while the inclusion of </w:t>
      </w:r>
      <w:r w:rsidRPr="00FA764B">
        <w:rPr>
          <w:rFonts w:ascii="Sylfaen" w:eastAsia="Calibri" w:hAnsi="Sylfaen" w:cs="Times New Roman"/>
          <w:i/>
        </w:rPr>
        <w:t xml:space="preserve">Lola </w:t>
      </w:r>
      <w:r w:rsidRPr="00FA764B">
        <w:rPr>
          <w:rFonts w:ascii="Sylfaen" w:eastAsia="Calibri" w:hAnsi="Sylfaen" w:cs="Times New Roman"/>
        </w:rPr>
        <w:t xml:space="preserve">in the set is determined anaphorically by the previous mention of her. In example </w:t>
      </w:r>
      <w:proofErr w:type="gramStart"/>
      <w:r w:rsidRPr="00FA764B">
        <w:rPr>
          <w:rFonts w:ascii="Sylfaen" w:eastAsia="Calibri" w:hAnsi="Sylfaen" w:cs="Times New Roman"/>
        </w:rPr>
        <w:t>19</w:t>
      </w:r>
      <w:proofErr w:type="gramEnd"/>
      <w:r w:rsidRPr="00FA764B">
        <w:rPr>
          <w:rFonts w:ascii="Sylfaen" w:eastAsia="Calibri" w:hAnsi="Sylfaen" w:cs="Times New Roman"/>
        </w:rPr>
        <w:t xml:space="preserve"> </w:t>
      </w:r>
      <w:r w:rsidRPr="00FA764B">
        <w:rPr>
          <w:rFonts w:ascii="Sylfaen" w:eastAsia="Calibri" w:hAnsi="Sylfaen" w:cs="Times New Roman"/>
          <w:i/>
        </w:rPr>
        <w:t>there</w:t>
      </w:r>
      <w:r w:rsidRPr="00FA764B">
        <w:rPr>
          <w:rFonts w:ascii="Sylfaen" w:eastAsia="Calibri" w:hAnsi="Sylfaen" w:cs="Times New Roman"/>
        </w:rPr>
        <w:t xml:space="preserve"> is anaphora in that </w:t>
      </w:r>
      <w:r w:rsidRPr="00FA764B">
        <w:rPr>
          <w:rFonts w:ascii="Sylfaen" w:eastAsia="Calibri" w:hAnsi="Sylfaen" w:cs="Times New Roman"/>
          <w:i/>
        </w:rPr>
        <w:t>there</w:t>
      </w:r>
      <w:r w:rsidRPr="00FA764B">
        <w:rPr>
          <w:rFonts w:ascii="Sylfaen" w:eastAsia="Calibri" w:hAnsi="Sylfaen" w:cs="Times New Roman"/>
        </w:rPr>
        <w:t xml:space="preserve"> obtains the interpretation, </w:t>
      </w:r>
      <w:r w:rsidRPr="00FA764B">
        <w:rPr>
          <w:rFonts w:ascii="Sylfaen" w:eastAsia="Calibri" w:hAnsi="Sylfaen" w:cs="Times New Roman"/>
          <w:i/>
        </w:rPr>
        <w:t>in Romania,</w:t>
      </w:r>
      <w:r w:rsidRPr="00FA764B">
        <w:rPr>
          <w:rFonts w:ascii="Sylfaen" w:eastAsia="Calibri" w:hAnsi="Sylfaen" w:cs="Times New Roman"/>
        </w:rPr>
        <w:t xml:space="preserve"> from the preceding preposition phrase, but at the same time it is deictic in that it refers to a place, which includes where the utterance-act takes place.</w:t>
      </w:r>
    </w:p>
    <w:p w14:paraId="0E4F23FB"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5241AC35" w14:textId="1A8BDF3C" w:rsidR="004260B0"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b/>
        </w:rPr>
        <w:t xml:space="preserve">Social deixis </w:t>
      </w:r>
      <w:r w:rsidRPr="00FA764B">
        <w:rPr>
          <w:rFonts w:ascii="Sylfaen" w:eastAsia="Calibri" w:hAnsi="Sylfaen" w:cs="Times New Roman"/>
        </w:rPr>
        <w:t xml:space="preserve">refers to the relation between the speaker and the addressee and third party referents (Fillmore, 1977). According to Levinson (1983:63) social deixis is ``those aspects of language structure that are anchored to the social identities of participants in the speech event, or to relations between them, or to relations between them and other referents`` (Levinson, 1983:63). In some languages, such as Spanish, French, Romanian, the singular second person pronoun has two forms: </w:t>
      </w:r>
      <w:proofErr w:type="spellStart"/>
      <w:r w:rsidRPr="00FA764B">
        <w:rPr>
          <w:rFonts w:ascii="Sylfaen" w:eastAsia="Calibri" w:hAnsi="Sylfaen" w:cs="Times New Roman"/>
          <w:i/>
        </w:rPr>
        <w:t>tu</w:t>
      </w:r>
      <w:proofErr w:type="spellEnd"/>
      <w:r w:rsidRPr="00FA764B">
        <w:rPr>
          <w:rFonts w:ascii="Sylfaen" w:eastAsia="Calibri" w:hAnsi="Sylfaen" w:cs="Times New Roman"/>
        </w:rPr>
        <w:t xml:space="preserve"> and </w:t>
      </w:r>
      <w:proofErr w:type="spellStart"/>
      <w:r w:rsidRPr="00FA764B">
        <w:rPr>
          <w:rFonts w:ascii="Sylfaen" w:eastAsia="Calibri" w:hAnsi="Sylfaen" w:cs="Times New Roman"/>
          <w:i/>
        </w:rPr>
        <w:t>usted</w:t>
      </w:r>
      <w:proofErr w:type="spellEnd"/>
      <w:r w:rsidRPr="00FA764B">
        <w:rPr>
          <w:rFonts w:ascii="Sylfaen" w:eastAsia="Calibri" w:hAnsi="Sylfaen" w:cs="Times New Roman"/>
          <w:i/>
        </w:rPr>
        <w:t xml:space="preserve"> - </w:t>
      </w:r>
      <w:proofErr w:type="spellStart"/>
      <w:r w:rsidRPr="00FA764B">
        <w:rPr>
          <w:rFonts w:ascii="Sylfaen" w:eastAsia="Calibri" w:hAnsi="Sylfaen" w:cs="Times New Roman"/>
          <w:i/>
        </w:rPr>
        <w:t>vous-dumneavoastra</w:t>
      </w:r>
      <w:proofErr w:type="spellEnd"/>
      <w:r w:rsidRPr="00FA764B">
        <w:rPr>
          <w:rFonts w:ascii="Sylfaen" w:eastAsia="Calibri" w:hAnsi="Sylfaen" w:cs="Times New Roman"/>
          <w:i/>
        </w:rPr>
        <w:t>.</w:t>
      </w:r>
      <w:r w:rsidRPr="00FA764B">
        <w:rPr>
          <w:rFonts w:ascii="Sylfaen" w:eastAsia="Calibri" w:hAnsi="Sylfaen" w:cs="Times New Roman"/>
        </w:rPr>
        <w:t xml:space="preserve"> The first form (</w:t>
      </w:r>
      <w:proofErr w:type="spellStart"/>
      <w:r w:rsidRPr="00FA764B">
        <w:rPr>
          <w:rFonts w:ascii="Sylfaen" w:eastAsia="Calibri" w:hAnsi="Sylfaen" w:cs="Times New Roman"/>
          <w:i/>
        </w:rPr>
        <w:t>tu</w:t>
      </w:r>
      <w:proofErr w:type="spellEnd"/>
      <w:r w:rsidRPr="00FA764B">
        <w:rPr>
          <w:rFonts w:ascii="Sylfaen" w:eastAsia="Calibri" w:hAnsi="Sylfaen" w:cs="Times New Roman"/>
        </w:rPr>
        <w:t>) is used to address to a speaker in an informal or relaxed way. The second form (</w:t>
      </w:r>
      <w:proofErr w:type="spellStart"/>
      <w:r w:rsidRPr="00FA764B">
        <w:rPr>
          <w:rFonts w:ascii="Sylfaen" w:eastAsia="Calibri" w:hAnsi="Sylfaen" w:cs="Times New Roman"/>
          <w:i/>
        </w:rPr>
        <w:t>usted</w:t>
      </w:r>
      <w:proofErr w:type="spellEnd"/>
      <w:r w:rsidRPr="00FA764B">
        <w:rPr>
          <w:rFonts w:ascii="Sylfaen" w:eastAsia="Calibri" w:hAnsi="Sylfaen" w:cs="Times New Roman"/>
          <w:i/>
        </w:rPr>
        <w:t xml:space="preserve"> – </w:t>
      </w:r>
      <w:proofErr w:type="spellStart"/>
      <w:r w:rsidRPr="00FA764B">
        <w:rPr>
          <w:rFonts w:ascii="Sylfaen" w:eastAsia="Calibri" w:hAnsi="Sylfaen" w:cs="Times New Roman"/>
          <w:i/>
        </w:rPr>
        <w:t>vous</w:t>
      </w:r>
      <w:proofErr w:type="spellEnd"/>
      <w:r w:rsidRPr="00FA764B">
        <w:rPr>
          <w:rFonts w:ascii="Sylfaen" w:eastAsia="Calibri" w:hAnsi="Sylfaen" w:cs="Times New Roman"/>
          <w:i/>
        </w:rPr>
        <w:t xml:space="preserve"> – </w:t>
      </w:r>
      <w:proofErr w:type="spellStart"/>
      <w:r w:rsidRPr="00FA764B">
        <w:rPr>
          <w:rFonts w:ascii="Sylfaen" w:eastAsia="Calibri" w:hAnsi="Sylfaen" w:cs="Times New Roman"/>
          <w:i/>
        </w:rPr>
        <w:t>dumneavoastra</w:t>
      </w:r>
      <w:proofErr w:type="spellEnd"/>
      <w:r w:rsidRPr="00FA764B">
        <w:rPr>
          <w:rFonts w:ascii="Sylfaen" w:eastAsia="Calibri" w:hAnsi="Sylfaen" w:cs="Times New Roman"/>
        </w:rPr>
        <w:t xml:space="preserve">) is used in a more formal or polite context. In Modern English, there is no such distinction for the second person pronoun </w:t>
      </w:r>
      <w:r w:rsidRPr="00FA764B">
        <w:rPr>
          <w:rFonts w:ascii="Sylfaen" w:eastAsia="Calibri" w:hAnsi="Sylfaen" w:cs="Times New Roman"/>
          <w:i/>
        </w:rPr>
        <w:t>you</w:t>
      </w:r>
      <w:r w:rsidRPr="00FA764B">
        <w:rPr>
          <w:rFonts w:ascii="Sylfaen" w:eastAsia="Calibri" w:hAnsi="Sylfaen" w:cs="Times New Roman"/>
        </w:rPr>
        <w:t xml:space="preserve">. However, in the Elizabethan English </w:t>
      </w:r>
      <w:proofErr w:type="gramStart"/>
      <w:r w:rsidRPr="00FA764B">
        <w:rPr>
          <w:rFonts w:ascii="Sylfaen" w:eastAsia="Calibri" w:hAnsi="Sylfaen" w:cs="Times New Roman"/>
          <w:i/>
        </w:rPr>
        <w:t>thee</w:t>
      </w:r>
      <w:r w:rsidRPr="00FA764B">
        <w:rPr>
          <w:rFonts w:ascii="Sylfaen" w:eastAsia="Calibri" w:hAnsi="Sylfaen" w:cs="Times New Roman"/>
        </w:rPr>
        <w:t>,</w:t>
      </w:r>
      <w:proofErr w:type="gramEnd"/>
      <w:r w:rsidRPr="00FA764B">
        <w:rPr>
          <w:rFonts w:ascii="Sylfaen" w:eastAsia="Calibri" w:hAnsi="Sylfaen" w:cs="Times New Roman"/>
        </w:rPr>
        <w:t xml:space="preserve"> an archaic pronoun has been widely used with the same role as </w:t>
      </w:r>
      <w:proofErr w:type="spellStart"/>
      <w:r w:rsidRPr="00FA764B">
        <w:rPr>
          <w:rFonts w:ascii="Sylfaen" w:eastAsia="Calibri" w:hAnsi="Sylfaen" w:cs="Times New Roman"/>
          <w:i/>
        </w:rPr>
        <w:t>vous</w:t>
      </w:r>
      <w:proofErr w:type="spellEnd"/>
      <w:r w:rsidRPr="00FA764B">
        <w:rPr>
          <w:rFonts w:ascii="Sylfaen" w:eastAsia="Calibri" w:hAnsi="Sylfaen" w:cs="Times New Roman"/>
        </w:rPr>
        <w:t xml:space="preserve"> in French (</w:t>
      </w:r>
      <w:proofErr w:type="spellStart"/>
      <w:r w:rsidRPr="00FA764B">
        <w:rPr>
          <w:rFonts w:ascii="Sylfaen" w:eastAsia="Calibri" w:hAnsi="Sylfaen" w:cs="Times New Roman"/>
        </w:rPr>
        <w:t>Hornblower</w:t>
      </w:r>
      <w:proofErr w:type="spellEnd"/>
      <w:r w:rsidRPr="00FA764B">
        <w:rPr>
          <w:rFonts w:ascii="Sylfaen" w:eastAsia="Calibri" w:hAnsi="Sylfaen" w:cs="Times New Roman"/>
        </w:rPr>
        <w:t>, 2012).</w:t>
      </w:r>
    </w:p>
    <w:p w14:paraId="0E2C5146" w14:textId="5CB05EDC" w:rsidR="00FA764B" w:rsidRDefault="00FA764B" w:rsidP="004260B0">
      <w:pPr>
        <w:numPr>
          <w:ilvl w:val="0"/>
          <w:numId w:val="14"/>
        </w:numPr>
        <w:spacing w:after="16" w:line="360" w:lineRule="auto"/>
        <w:ind w:left="0" w:right="-46" w:firstLine="0"/>
        <w:contextualSpacing/>
        <w:jc w:val="both"/>
        <w:rPr>
          <w:rFonts w:ascii="Sylfaen" w:eastAsia="Calibri" w:hAnsi="Sylfaen" w:cs="Times New Roman"/>
        </w:rPr>
      </w:pPr>
      <w:r w:rsidRPr="00FA764B">
        <w:rPr>
          <w:rFonts w:ascii="Sylfaen" w:eastAsia="Calibri" w:hAnsi="Sylfaen" w:cs="Times New Roman"/>
        </w:rPr>
        <w:t xml:space="preserve">I tell </w:t>
      </w:r>
      <w:r w:rsidRPr="00FA764B">
        <w:rPr>
          <w:rFonts w:ascii="Sylfaen" w:eastAsia="Calibri" w:hAnsi="Sylfaen" w:cs="Times New Roman"/>
          <w:i/>
        </w:rPr>
        <w:t>Thee</w:t>
      </w:r>
      <w:r w:rsidRPr="00FA764B">
        <w:rPr>
          <w:rFonts w:ascii="Sylfaen" w:eastAsia="Calibri" w:hAnsi="Sylfaen" w:cs="Times New Roman"/>
        </w:rPr>
        <w:t xml:space="preserve"> what Antonio, I love </w:t>
      </w:r>
      <w:r w:rsidRPr="00FA764B">
        <w:rPr>
          <w:rFonts w:ascii="Sylfaen" w:eastAsia="Calibri" w:hAnsi="Sylfaen" w:cs="Times New Roman"/>
          <w:i/>
        </w:rPr>
        <w:t>Thee,</w:t>
      </w:r>
      <w:r w:rsidRPr="00FA764B">
        <w:rPr>
          <w:rFonts w:ascii="Sylfaen" w:eastAsia="Calibri" w:hAnsi="Sylfaen" w:cs="Times New Roman"/>
        </w:rPr>
        <w:t xml:space="preserve"> and it is my love that speaks (Holderness, 1993)</w:t>
      </w:r>
    </w:p>
    <w:p w14:paraId="75340C23"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5536A8B2" w14:textId="71051D70" w:rsidR="00FA764B" w:rsidRDefault="00FA764B" w:rsidP="004260B0">
      <w:pPr>
        <w:spacing w:after="16" w:line="360" w:lineRule="auto"/>
        <w:ind w:right="-46"/>
        <w:contextualSpacing/>
        <w:jc w:val="both"/>
        <w:rPr>
          <w:rFonts w:ascii="Sylfaen" w:eastAsia="Calibri" w:hAnsi="Sylfaen" w:cs="Times New Roman"/>
        </w:rPr>
      </w:pPr>
      <w:proofErr w:type="gramStart"/>
      <w:r w:rsidRPr="00FA764B">
        <w:rPr>
          <w:rFonts w:ascii="Sylfaen" w:eastAsia="Calibri" w:hAnsi="Sylfaen" w:cs="Times New Roman"/>
        </w:rPr>
        <w:t xml:space="preserve">Under the cover term of social deixis, Fillmore (1977) includes the following linguistic phenomena: devices for person marking, for example pronouns; the various ways of separating speech levels; distinctions in utterances of various types which are dependent on certain properties of the speech act participants; the various ways in which names, titles, and kinship terms vary in form and usage according to the relationships among the speaker, the addressee, the audience and the person referred to; linguistic performance which can appear in terms of social acts, such as insults, greetings, expressions of gratitude; linguistic performances which can accompany social acts, such as </w:t>
      </w:r>
      <w:r w:rsidRPr="00FA764B">
        <w:rPr>
          <w:rFonts w:ascii="Sylfaen" w:eastAsia="Calibri" w:hAnsi="Sylfaen" w:cs="Times New Roman"/>
          <w:i/>
        </w:rPr>
        <w:t xml:space="preserve">there you </w:t>
      </w:r>
      <w:r w:rsidRPr="00FA764B">
        <w:rPr>
          <w:rFonts w:ascii="Sylfaen" w:eastAsia="Calibri" w:hAnsi="Sylfaen" w:cs="Times New Roman"/>
          <w:i/>
        </w:rPr>
        <w:lastRenderedPageBreak/>
        <w:t>go</w:t>
      </w:r>
      <w:r w:rsidRPr="00FA764B">
        <w:rPr>
          <w:rFonts w:ascii="Sylfaen" w:eastAsia="Calibri" w:hAnsi="Sylfaen" w:cs="Times New Roman"/>
        </w:rPr>
        <w:t>, and, finally, the various linguistic devices that helps a speaker establish and maintain a deictic anchoring with a given addressee.</w:t>
      </w:r>
      <w:proofErr w:type="gramEnd"/>
    </w:p>
    <w:p w14:paraId="6C47569C" w14:textId="77777777" w:rsidR="004260B0" w:rsidRPr="00FA764B" w:rsidRDefault="004260B0" w:rsidP="004260B0">
      <w:pPr>
        <w:spacing w:after="16" w:line="360" w:lineRule="auto"/>
        <w:ind w:right="-46"/>
        <w:contextualSpacing/>
        <w:jc w:val="both"/>
        <w:rPr>
          <w:rFonts w:ascii="Sylfaen" w:eastAsia="Calibri" w:hAnsi="Sylfaen" w:cs="Times New Roman"/>
        </w:rPr>
      </w:pPr>
    </w:p>
    <w:p w14:paraId="2CF28C55" w14:textId="77777777" w:rsidR="00FA764B" w:rsidRPr="00FA764B" w:rsidRDefault="00FA764B" w:rsidP="004260B0">
      <w:pPr>
        <w:spacing w:after="16" w:line="360" w:lineRule="auto"/>
        <w:ind w:right="-46"/>
        <w:contextualSpacing/>
        <w:jc w:val="both"/>
        <w:rPr>
          <w:rFonts w:ascii="Sylfaen" w:eastAsia="Calibri" w:hAnsi="Sylfaen" w:cs="Times New Roman"/>
        </w:rPr>
      </w:pPr>
      <w:r w:rsidRPr="00FA764B">
        <w:rPr>
          <w:rFonts w:ascii="Sylfaen" w:eastAsia="Calibri" w:hAnsi="Sylfaen" w:cs="Times New Roman"/>
        </w:rPr>
        <w:t xml:space="preserve">Furthermore, Foley (1997) talks about the numerous Asian languages. These languages have an elaborate system of honorifics, “grammatical morphemes and special classes of words indicating social deixis among the interlocutors or the referent of a participant in the utterance” (Foley 1997:319). By the appropriate use of honorifics, one is able to label a referent or to identify oneself with a certain social standing. Levinson (1983) suggested restricting the term </w:t>
      </w:r>
      <w:r w:rsidRPr="00FA764B">
        <w:rPr>
          <w:rFonts w:ascii="Sylfaen" w:eastAsia="Calibri" w:hAnsi="Sylfaen" w:cs="Times New Roman"/>
          <w:i/>
        </w:rPr>
        <w:t>honorific</w:t>
      </w:r>
      <w:r w:rsidRPr="00FA764B">
        <w:rPr>
          <w:rFonts w:ascii="Sylfaen" w:eastAsia="Calibri" w:hAnsi="Sylfaen" w:cs="Times New Roman"/>
        </w:rPr>
        <w:t xml:space="preserve"> to the cases in which the relations between speaker-referent, speaker addressee, speaker-bystander express relative rank or respect. This phenomenon is well exemplified in Japanese, since it is a language distinguished by a rich system of honorifics. As any other society, regardless of the form of the government, the Japanese society has social stratification. The language reflects this situation most closely, and the norms of appropriate linguistic behaviour are based on the way in which the society is stratified. The ability to use such expressions appropriately, not only in Japanese, but in some other languages too, such as European Languages with T/V distinction, such as </w:t>
      </w:r>
      <w:proofErr w:type="spellStart"/>
      <w:r w:rsidRPr="00FA764B">
        <w:rPr>
          <w:rFonts w:ascii="Sylfaen" w:eastAsia="Calibri" w:hAnsi="Sylfaen" w:cs="Times New Roman"/>
          <w:i/>
        </w:rPr>
        <w:t>tu</w:t>
      </w:r>
      <w:proofErr w:type="spellEnd"/>
      <w:r w:rsidRPr="00FA764B">
        <w:rPr>
          <w:rFonts w:ascii="Sylfaen" w:eastAsia="Calibri" w:hAnsi="Sylfaen" w:cs="Times New Roman"/>
          <w:i/>
        </w:rPr>
        <w:t xml:space="preserve"> </w:t>
      </w:r>
      <w:r w:rsidRPr="00FA764B">
        <w:rPr>
          <w:rFonts w:ascii="Sylfaen" w:eastAsia="Calibri" w:hAnsi="Sylfaen" w:cs="Times New Roman"/>
        </w:rPr>
        <w:t>vs</w:t>
      </w:r>
      <w:r w:rsidRPr="00FA764B">
        <w:rPr>
          <w:rFonts w:ascii="Sylfaen" w:eastAsia="Calibri" w:hAnsi="Sylfaen" w:cs="Times New Roman"/>
          <w:i/>
        </w:rPr>
        <w:t xml:space="preserve"> </w:t>
      </w:r>
      <w:proofErr w:type="spellStart"/>
      <w:r w:rsidRPr="00FA764B">
        <w:rPr>
          <w:rFonts w:ascii="Sylfaen" w:eastAsia="Calibri" w:hAnsi="Sylfaen" w:cs="Times New Roman"/>
          <w:i/>
        </w:rPr>
        <w:t>vous</w:t>
      </w:r>
      <w:proofErr w:type="spellEnd"/>
      <w:r w:rsidRPr="00FA764B">
        <w:rPr>
          <w:rFonts w:ascii="Sylfaen" w:eastAsia="Calibri" w:hAnsi="Sylfaen" w:cs="Times New Roman"/>
        </w:rPr>
        <w:t xml:space="preserve"> in French, is considered </w:t>
      </w:r>
      <w:proofErr w:type="gramStart"/>
      <w:r w:rsidRPr="00FA764B">
        <w:rPr>
          <w:rFonts w:ascii="Sylfaen" w:eastAsia="Calibri" w:hAnsi="Sylfaen" w:cs="Times New Roman"/>
        </w:rPr>
        <w:t>to be a</w:t>
      </w:r>
      <w:proofErr w:type="gramEnd"/>
      <w:r w:rsidRPr="00FA764B">
        <w:rPr>
          <w:rFonts w:ascii="Sylfaen" w:eastAsia="Calibri" w:hAnsi="Sylfaen" w:cs="Times New Roman"/>
        </w:rPr>
        <w:t xml:space="preserve"> mark of good education and a good upbringing. Well educated intellectuals are generally more conservative regarding the use of deferential expressions. </w:t>
      </w:r>
    </w:p>
    <w:p w14:paraId="6FFE6048" w14:textId="77777777" w:rsidR="00FA764B" w:rsidRPr="00FA764B" w:rsidRDefault="00FA764B" w:rsidP="004260B0">
      <w:pPr>
        <w:spacing w:after="16" w:line="360" w:lineRule="auto"/>
        <w:ind w:left="142" w:right="-46"/>
        <w:contextualSpacing/>
        <w:jc w:val="both"/>
        <w:rPr>
          <w:rFonts w:ascii="Sylfaen" w:eastAsia="Calibri" w:hAnsi="Sylfaen" w:cs="Times New Roman"/>
        </w:rPr>
      </w:pPr>
    </w:p>
    <w:p w14:paraId="56ECB63D" w14:textId="5A5B8C85" w:rsidR="00FA764B" w:rsidRPr="00FA764B" w:rsidRDefault="00FA764B" w:rsidP="004260B0">
      <w:pPr>
        <w:pStyle w:val="Heading1"/>
        <w:spacing w:before="0" w:after="16"/>
        <w:contextualSpacing/>
        <w:rPr>
          <w:rFonts w:eastAsia="Times New Roman"/>
          <w:szCs w:val="22"/>
        </w:rPr>
      </w:pPr>
      <w:r w:rsidRPr="00FA764B">
        <w:rPr>
          <w:rFonts w:eastAsia="Times New Roman"/>
          <w:szCs w:val="22"/>
        </w:rPr>
        <w:t xml:space="preserve">Conclusion </w:t>
      </w:r>
    </w:p>
    <w:p w14:paraId="52182750" w14:textId="523E789C" w:rsidR="00FA764B" w:rsidRDefault="00FA764B" w:rsidP="004260B0">
      <w:pPr>
        <w:spacing w:after="16" w:line="360" w:lineRule="auto"/>
        <w:ind w:right="-45"/>
        <w:contextualSpacing/>
        <w:jc w:val="both"/>
        <w:rPr>
          <w:rFonts w:ascii="Sylfaen" w:eastAsia="Calibri" w:hAnsi="Sylfaen" w:cs="Times New Roman"/>
        </w:rPr>
      </w:pPr>
      <w:r w:rsidRPr="00FA764B">
        <w:rPr>
          <w:rFonts w:ascii="Sylfaen" w:eastAsia="Calibri" w:hAnsi="Sylfaen" w:cs="Times New Roman"/>
        </w:rPr>
        <w:t xml:space="preserve">There are some expressions that are not understood unless the interlocutors have some knowledge about the context of the utterance, knowledge about the status of those involved, the intend of the speaker, the place and time of the utterance. These words do not have a constant meaning, and they are known as deictic words. Deictic words are a crucial element of pragmatics because they are related to the context of the utterance. In this essay, different types of deictic words and categories </w:t>
      </w:r>
      <w:proofErr w:type="gramStart"/>
      <w:r w:rsidRPr="00FA764B">
        <w:rPr>
          <w:rFonts w:ascii="Sylfaen" w:eastAsia="Calibri" w:hAnsi="Sylfaen" w:cs="Times New Roman"/>
        </w:rPr>
        <w:t>hav</w:t>
      </w:r>
      <w:r w:rsidR="004260B0">
        <w:rPr>
          <w:rFonts w:ascii="Sylfaen" w:eastAsia="Calibri" w:hAnsi="Sylfaen" w:cs="Times New Roman"/>
        </w:rPr>
        <w:t>e been presented and discussed</w:t>
      </w:r>
      <w:proofErr w:type="gramEnd"/>
      <w:r w:rsidR="004260B0">
        <w:rPr>
          <w:rFonts w:ascii="Sylfaen" w:eastAsia="Calibri" w:hAnsi="Sylfaen" w:cs="Times New Roman"/>
        </w:rPr>
        <w:t>.</w:t>
      </w:r>
    </w:p>
    <w:p w14:paraId="41A5D728" w14:textId="77777777" w:rsidR="004260B0" w:rsidRPr="00FA764B" w:rsidRDefault="004260B0" w:rsidP="004260B0">
      <w:pPr>
        <w:spacing w:after="16" w:line="360" w:lineRule="auto"/>
        <w:ind w:right="-45"/>
        <w:contextualSpacing/>
        <w:jc w:val="both"/>
        <w:rPr>
          <w:rFonts w:ascii="Sylfaen" w:eastAsia="Calibri" w:hAnsi="Sylfaen" w:cs="Times New Roman"/>
        </w:rPr>
      </w:pPr>
    </w:p>
    <w:p w14:paraId="06F6FE5E" w14:textId="25702581" w:rsidR="00FA764B" w:rsidRPr="00FA764B" w:rsidRDefault="00FA764B" w:rsidP="004260B0">
      <w:pPr>
        <w:spacing w:after="16" w:line="360" w:lineRule="auto"/>
        <w:ind w:right="-45"/>
        <w:contextualSpacing/>
        <w:jc w:val="both"/>
        <w:rPr>
          <w:rFonts w:ascii="Sylfaen" w:eastAsia="Calibri" w:hAnsi="Sylfaen" w:cs="Times New Roman"/>
        </w:rPr>
      </w:pPr>
      <w:r w:rsidRPr="00FA764B">
        <w:rPr>
          <w:rFonts w:ascii="Sylfaen" w:eastAsia="Calibri" w:hAnsi="Sylfaen" w:cs="Times New Roman"/>
        </w:rPr>
        <w:t xml:space="preserve">To sum up, personal deixis system in English marks distinctions in gender (in the third person only) and number (in first and third person); the second person pronoun </w:t>
      </w:r>
      <w:r w:rsidRPr="00FA764B">
        <w:rPr>
          <w:rFonts w:ascii="Sylfaen" w:eastAsia="Calibri" w:hAnsi="Sylfaen" w:cs="Times New Roman"/>
          <w:i/>
        </w:rPr>
        <w:t xml:space="preserve">you </w:t>
      </w:r>
      <w:r w:rsidRPr="00FA764B">
        <w:rPr>
          <w:rFonts w:ascii="Sylfaen" w:eastAsia="Calibri" w:hAnsi="Sylfaen" w:cs="Times New Roman"/>
        </w:rPr>
        <w:t xml:space="preserve">can refer to both singular and plural entities, i.e. neutralised. Thus, personal deixis can mark a number of overlapping distinctions: person, gender, number, and social status. Spatial deixis involves the specification of </w:t>
      </w:r>
      <w:r w:rsidRPr="00FA764B">
        <w:rPr>
          <w:rFonts w:ascii="Sylfaen" w:eastAsia="Calibri" w:hAnsi="Sylfaen" w:cs="Times New Roman"/>
        </w:rPr>
        <w:lastRenderedPageBreak/>
        <w:t xml:space="preserve">locations relative to points of reference in the speech event. English has a proximal or distal distance from speaker. A third type of deixis is temporal deixis which shows the orientation or position of the referent of actions and events in time. As shown in temporal deixis section, the concept of time English is represented by three main classes: time adverbials, tenses, and time expressions. These three categories of deixis are known as traditional deictic categories. Further to this, Fillmore (1997) identified two more categories: discourse and social deixis. Discourse deixis indicates or refers to some portion or aspect of the ongoing discourse, and the social deixis reflects the social relation between the speakers, and classifiers used with human referents. </w:t>
      </w:r>
    </w:p>
    <w:p w14:paraId="4C891638" w14:textId="77777777" w:rsidR="00FA764B" w:rsidRPr="00FA764B" w:rsidRDefault="00FA764B" w:rsidP="00FA764B">
      <w:pPr>
        <w:spacing w:after="160"/>
        <w:ind w:left="142" w:right="-46"/>
        <w:jc w:val="both"/>
        <w:rPr>
          <w:rFonts w:ascii="Sylfaen" w:eastAsia="Calibri" w:hAnsi="Sylfaen" w:cs="Times New Roman"/>
          <w:b/>
          <w:sz w:val="24"/>
          <w:szCs w:val="24"/>
        </w:rPr>
      </w:pPr>
    </w:p>
    <w:p w14:paraId="4E8F57E0" w14:textId="16ADD279" w:rsidR="00FA764B" w:rsidRPr="00FA764B" w:rsidRDefault="00FA764B" w:rsidP="00FA764B">
      <w:pPr>
        <w:pStyle w:val="Heading1"/>
        <w:rPr>
          <w:rFonts w:eastAsia="Calibri"/>
        </w:rPr>
      </w:pPr>
      <w:r>
        <w:rPr>
          <w:rFonts w:eastAsia="Calibri"/>
        </w:rPr>
        <w:t>References</w:t>
      </w:r>
    </w:p>
    <w:p w14:paraId="6C2B1B91" w14:textId="67942FB5" w:rsidR="00FA764B" w:rsidRPr="00FA764B" w:rsidRDefault="002102F3" w:rsidP="004260B0">
      <w:pPr>
        <w:spacing w:after="0"/>
        <w:ind w:right="-45"/>
        <w:rPr>
          <w:rFonts w:ascii="Sylfaen" w:eastAsia="Calibri" w:hAnsi="Sylfaen" w:cs="Times New Roman"/>
        </w:rPr>
      </w:pPr>
      <w:r>
        <w:rPr>
          <w:rFonts w:ascii="Sylfaen" w:eastAsia="Calibri" w:hAnsi="Sylfaen" w:cs="Times New Roman"/>
        </w:rPr>
        <w:t>Fillmore, C. J. (1997)</w:t>
      </w:r>
      <w:r w:rsidR="00FA764B" w:rsidRPr="00FA764B">
        <w:rPr>
          <w:rFonts w:ascii="Sylfaen" w:eastAsia="Calibri" w:hAnsi="Sylfaen" w:cs="Times New Roman"/>
        </w:rPr>
        <w:t xml:space="preserve"> </w:t>
      </w:r>
      <w:r w:rsidR="00FA764B" w:rsidRPr="00FA764B">
        <w:rPr>
          <w:rFonts w:ascii="Sylfaen" w:eastAsia="Calibri" w:hAnsi="Sylfaen" w:cs="Times New Roman"/>
          <w:i/>
        </w:rPr>
        <w:t>Lectures on Deixis</w:t>
      </w:r>
      <w:r w:rsidR="00FA764B" w:rsidRPr="00FA764B">
        <w:rPr>
          <w:rFonts w:ascii="Sylfaen" w:eastAsia="Calibri" w:hAnsi="Sylfaen" w:cs="Times New Roman"/>
        </w:rPr>
        <w:t>. Stanford, CA: CSLI Publications.</w:t>
      </w:r>
    </w:p>
    <w:p w14:paraId="4CCD78CB" w14:textId="77777777" w:rsidR="00FA764B" w:rsidRPr="00FA764B" w:rsidRDefault="00FA764B" w:rsidP="004260B0">
      <w:pPr>
        <w:spacing w:after="0"/>
        <w:ind w:right="-45"/>
        <w:rPr>
          <w:rFonts w:ascii="Sylfaen" w:eastAsia="Calibri" w:hAnsi="Sylfaen" w:cs="Times New Roman"/>
        </w:rPr>
      </w:pPr>
    </w:p>
    <w:p w14:paraId="019FEBFA" w14:textId="005108B3" w:rsidR="00FA764B" w:rsidRPr="00FA764B" w:rsidRDefault="002102F3" w:rsidP="004260B0">
      <w:pPr>
        <w:spacing w:after="0"/>
        <w:ind w:right="-45"/>
        <w:rPr>
          <w:rFonts w:ascii="Sylfaen" w:eastAsia="Calibri" w:hAnsi="Sylfaen" w:cs="Times New Roman"/>
        </w:rPr>
      </w:pPr>
      <w:r>
        <w:rPr>
          <w:rFonts w:ascii="Sylfaen" w:eastAsia="Calibri" w:hAnsi="Sylfaen" w:cs="Times New Roman"/>
        </w:rPr>
        <w:t>Foley, W. A. (1997)</w:t>
      </w:r>
      <w:r w:rsidR="00FA764B" w:rsidRPr="00FA764B">
        <w:rPr>
          <w:rFonts w:ascii="Sylfaen" w:eastAsia="Calibri" w:hAnsi="Sylfaen" w:cs="Times New Roman"/>
        </w:rPr>
        <w:t xml:space="preserve"> </w:t>
      </w:r>
      <w:r w:rsidR="00FA764B" w:rsidRPr="00FA764B">
        <w:rPr>
          <w:rFonts w:ascii="Sylfaen" w:eastAsia="Calibri" w:hAnsi="Sylfaen" w:cs="Times New Roman"/>
          <w:i/>
        </w:rPr>
        <w:t>Anthropological Linguistics: an introduction</w:t>
      </w:r>
      <w:r w:rsidR="00FA764B" w:rsidRPr="00FA764B">
        <w:rPr>
          <w:rFonts w:ascii="Sylfaen" w:eastAsia="Calibri" w:hAnsi="Sylfaen" w:cs="Times New Roman"/>
        </w:rPr>
        <w:t>. Oxford: Basil Blackwell.</w:t>
      </w:r>
    </w:p>
    <w:p w14:paraId="6F2C7C55" w14:textId="77777777" w:rsidR="00FA764B" w:rsidRPr="00FA764B" w:rsidRDefault="00FA764B" w:rsidP="004260B0">
      <w:pPr>
        <w:spacing w:after="0"/>
        <w:ind w:right="-45"/>
        <w:rPr>
          <w:rFonts w:ascii="Sylfaen" w:eastAsia="Calibri" w:hAnsi="Sylfaen" w:cs="Times New Roman"/>
        </w:rPr>
      </w:pPr>
    </w:p>
    <w:p w14:paraId="18AAB0A9" w14:textId="58A6B38C" w:rsidR="00FA764B" w:rsidRPr="00FA764B" w:rsidRDefault="002102F3" w:rsidP="004260B0">
      <w:pPr>
        <w:spacing w:after="0"/>
        <w:ind w:right="-45"/>
        <w:rPr>
          <w:rFonts w:ascii="Sylfaen" w:eastAsia="Calibri" w:hAnsi="Sylfaen" w:cs="Times New Roman"/>
        </w:rPr>
      </w:pPr>
      <w:r>
        <w:rPr>
          <w:rFonts w:ascii="Sylfaen" w:eastAsia="Calibri" w:hAnsi="Sylfaen" w:cs="Times New Roman"/>
        </w:rPr>
        <w:t>Green, G. M. (2008)</w:t>
      </w:r>
      <w:r w:rsidR="00FA764B" w:rsidRPr="00FA764B">
        <w:rPr>
          <w:rFonts w:ascii="Sylfaen" w:eastAsia="Calibri" w:hAnsi="Sylfaen" w:cs="Times New Roman"/>
        </w:rPr>
        <w:t xml:space="preserve"> </w:t>
      </w:r>
      <w:r w:rsidR="00FA764B" w:rsidRPr="00FA764B">
        <w:rPr>
          <w:rFonts w:ascii="Sylfaen" w:eastAsia="Calibri" w:hAnsi="Sylfaen" w:cs="Times New Roman"/>
          <w:i/>
        </w:rPr>
        <w:t>Pragmatics and natural language understanding</w:t>
      </w:r>
      <w:r w:rsidR="00FA764B" w:rsidRPr="00FA764B">
        <w:rPr>
          <w:rFonts w:ascii="Sylfaen" w:eastAsia="Calibri" w:hAnsi="Sylfaen" w:cs="Times New Roman"/>
        </w:rPr>
        <w:t>. New York, NY: Routledge.</w:t>
      </w:r>
    </w:p>
    <w:p w14:paraId="6747F213" w14:textId="77777777" w:rsidR="00FA764B" w:rsidRPr="00FA764B" w:rsidRDefault="00FA764B" w:rsidP="004260B0">
      <w:pPr>
        <w:spacing w:after="0"/>
        <w:ind w:right="-45"/>
        <w:rPr>
          <w:rFonts w:ascii="Sylfaen" w:eastAsia="Calibri" w:hAnsi="Sylfaen" w:cs="Times New Roman"/>
        </w:rPr>
      </w:pPr>
    </w:p>
    <w:p w14:paraId="4E1EA2F6" w14:textId="5F26C4E3" w:rsidR="00FA764B" w:rsidRPr="00FA764B" w:rsidRDefault="002102F3" w:rsidP="004260B0">
      <w:pPr>
        <w:spacing w:after="0"/>
        <w:ind w:right="-45"/>
        <w:rPr>
          <w:rFonts w:ascii="Sylfaen" w:eastAsia="Calibri" w:hAnsi="Sylfaen" w:cs="Times New Roman"/>
        </w:rPr>
      </w:pPr>
      <w:r>
        <w:rPr>
          <w:rFonts w:ascii="Sylfaen" w:eastAsia="Calibri" w:hAnsi="Sylfaen" w:cs="Times New Roman"/>
        </w:rPr>
        <w:t>Holderness, G. (1993)</w:t>
      </w:r>
      <w:r w:rsidR="00FA764B" w:rsidRPr="00FA764B">
        <w:rPr>
          <w:rFonts w:ascii="Sylfaen" w:eastAsia="Calibri" w:hAnsi="Sylfaen" w:cs="Times New Roman"/>
        </w:rPr>
        <w:t xml:space="preserve"> </w:t>
      </w:r>
      <w:proofErr w:type="gramStart"/>
      <w:r w:rsidR="00FA764B" w:rsidRPr="00FA764B">
        <w:rPr>
          <w:rFonts w:ascii="Sylfaen" w:eastAsia="Calibri" w:hAnsi="Sylfaen" w:cs="Times New Roman"/>
          <w:i/>
        </w:rPr>
        <w:t>The</w:t>
      </w:r>
      <w:proofErr w:type="gramEnd"/>
      <w:r w:rsidR="00FA764B" w:rsidRPr="00FA764B">
        <w:rPr>
          <w:rFonts w:ascii="Sylfaen" w:eastAsia="Calibri" w:hAnsi="Sylfaen" w:cs="Times New Roman"/>
          <w:i/>
        </w:rPr>
        <w:t xml:space="preserve"> Merchant of Venice</w:t>
      </w:r>
      <w:r w:rsidR="00FA764B" w:rsidRPr="00FA764B">
        <w:rPr>
          <w:rFonts w:ascii="Sylfaen" w:eastAsia="Calibri" w:hAnsi="Sylfaen" w:cs="Times New Roman"/>
        </w:rPr>
        <w:t>. London: Penguin Books.</w:t>
      </w:r>
    </w:p>
    <w:p w14:paraId="085E8BF7" w14:textId="77777777" w:rsidR="00FA764B" w:rsidRPr="00FA764B" w:rsidRDefault="00FA764B" w:rsidP="004260B0">
      <w:pPr>
        <w:spacing w:after="0"/>
        <w:ind w:right="-45"/>
        <w:rPr>
          <w:rFonts w:ascii="Sylfaen" w:eastAsia="Calibri" w:hAnsi="Sylfaen" w:cs="Times New Roman"/>
        </w:rPr>
      </w:pPr>
    </w:p>
    <w:p w14:paraId="2E2C38FB" w14:textId="3958CCA3" w:rsidR="00FA764B" w:rsidRPr="00FA764B" w:rsidRDefault="002102F3" w:rsidP="004260B0">
      <w:pPr>
        <w:spacing w:after="0"/>
        <w:ind w:right="-45"/>
        <w:rPr>
          <w:rFonts w:ascii="Sylfaen" w:eastAsia="Calibri" w:hAnsi="Sylfaen" w:cs="Times New Roman"/>
        </w:rPr>
      </w:pPr>
      <w:r>
        <w:rPr>
          <w:rFonts w:ascii="Sylfaen" w:eastAsia="Calibri" w:hAnsi="Sylfaen" w:cs="Times New Roman"/>
        </w:rPr>
        <w:t xml:space="preserve">Hornblower, S. (2012) </w:t>
      </w:r>
      <w:r w:rsidR="00FA764B" w:rsidRPr="00FA764B">
        <w:rPr>
          <w:rFonts w:ascii="Sylfaen" w:eastAsia="Calibri" w:hAnsi="Sylfaen" w:cs="Times New Roman"/>
          <w:i/>
        </w:rPr>
        <w:t>The Oxford classical dictionary</w:t>
      </w:r>
      <w:r w:rsidR="00FA764B" w:rsidRPr="00FA764B">
        <w:rPr>
          <w:rFonts w:ascii="Sylfaen" w:eastAsia="Calibri" w:hAnsi="Sylfaen" w:cs="Times New Roman"/>
        </w:rPr>
        <w:t>. Oxford: Oxford University Press.</w:t>
      </w:r>
    </w:p>
    <w:p w14:paraId="7192BC23" w14:textId="77777777" w:rsidR="00FA764B" w:rsidRPr="00FA764B" w:rsidRDefault="00FA764B" w:rsidP="004260B0">
      <w:pPr>
        <w:spacing w:after="0"/>
        <w:ind w:right="-45"/>
        <w:rPr>
          <w:rFonts w:ascii="Sylfaen" w:eastAsia="Calibri" w:hAnsi="Sylfaen" w:cs="Times New Roman"/>
        </w:rPr>
      </w:pPr>
    </w:p>
    <w:p w14:paraId="25488B72" w14:textId="4A7535D2" w:rsidR="00FA764B" w:rsidRPr="00FA764B" w:rsidRDefault="002102F3" w:rsidP="004260B0">
      <w:pPr>
        <w:spacing w:after="0"/>
        <w:ind w:right="-45"/>
        <w:rPr>
          <w:rFonts w:ascii="Sylfaen" w:eastAsia="Calibri" w:hAnsi="Sylfaen" w:cs="Times New Roman"/>
        </w:rPr>
      </w:pPr>
      <w:r>
        <w:rPr>
          <w:rFonts w:ascii="Sylfaen" w:eastAsia="Calibri" w:hAnsi="Sylfaen" w:cs="Times New Roman"/>
        </w:rPr>
        <w:t>Levinson, S. C. (1983)</w:t>
      </w:r>
      <w:r w:rsidR="00FA764B" w:rsidRPr="00FA764B">
        <w:rPr>
          <w:rFonts w:ascii="Sylfaen" w:eastAsia="Calibri" w:hAnsi="Sylfaen" w:cs="Times New Roman"/>
        </w:rPr>
        <w:t xml:space="preserve"> </w:t>
      </w:r>
      <w:r w:rsidR="00FA764B" w:rsidRPr="00FA764B">
        <w:rPr>
          <w:rFonts w:ascii="Sylfaen" w:eastAsia="Calibri" w:hAnsi="Sylfaen" w:cs="Times New Roman"/>
          <w:i/>
        </w:rPr>
        <w:t>Pragmatics</w:t>
      </w:r>
      <w:r w:rsidR="00FA764B" w:rsidRPr="00FA764B">
        <w:rPr>
          <w:rFonts w:ascii="Sylfaen" w:eastAsia="Calibri" w:hAnsi="Sylfaen" w:cs="Times New Roman"/>
        </w:rPr>
        <w:t>. Cambridge: Cambridge University Press.</w:t>
      </w:r>
    </w:p>
    <w:p w14:paraId="6B1A4A49" w14:textId="77777777" w:rsidR="00FA764B" w:rsidRPr="00FA764B" w:rsidRDefault="00FA764B" w:rsidP="004260B0">
      <w:pPr>
        <w:spacing w:after="0"/>
        <w:ind w:right="-45"/>
        <w:rPr>
          <w:rFonts w:ascii="Sylfaen" w:eastAsia="Calibri" w:hAnsi="Sylfaen" w:cs="Times New Roman"/>
        </w:rPr>
      </w:pPr>
    </w:p>
    <w:p w14:paraId="6AA0C35C" w14:textId="4F9AE753" w:rsidR="00FA764B" w:rsidRPr="00FA764B" w:rsidRDefault="002102F3" w:rsidP="004260B0">
      <w:pPr>
        <w:spacing w:after="0"/>
        <w:ind w:right="-45"/>
        <w:rPr>
          <w:rFonts w:ascii="Sylfaen" w:eastAsia="Calibri" w:hAnsi="Sylfaen" w:cs="Times New Roman"/>
        </w:rPr>
      </w:pPr>
      <w:r>
        <w:rPr>
          <w:rFonts w:ascii="Sylfaen" w:eastAsia="Calibri" w:hAnsi="Sylfaen" w:cs="Times New Roman"/>
        </w:rPr>
        <w:t xml:space="preserve">Lyons, J. (1977) </w:t>
      </w:r>
      <w:r w:rsidR="00FA764B" w:rsidRPr="00FA764B">
        <w:rPr>
          <w:rFonts w:ascii="Sylfaen" w:eastAsia="Calibri" w:hAnsi="Sylfaen" w:cs="Times New Roman"/>
          <w:i/>
        </w:rPr>
        <w:t>Semantics</w:t>
      </w:r>
      <w:r w:rsidR="00FA764B" w:rsidRPr="00FA764B">
        <w:rPr>
          <w:rFonts w:ascii="Sylfaen" w:eastAsia="Calibri" w:hAnsi="Sylfaen" w:cs="Times New Roman"/>
        </w:rPr>
        <w:t>. Cambridge: Cambridge University Press.</w:t>
      </w:r>
    </w:p>
    <w:p w14:paraId="34738F8B" w14:textId="77777777" w:rsidR="00FA764B" w:rsidRPr="00FA764B" w:rsidRDefault="00FA764B" w:rsidP="004260B0">
      <w:pPr>
        <w:spacing w:after="0"/>
        <w:ind w:right="-45"/>
        <w:rPr>
          <w:rFonts w:ascii="Sylfaen" w:eastAsia="Calibri" w:hAnsi="Sylfaen" w:cs="Times New Roman"/>
        </w:rPr>
      </w:pPr>
    </w:p>
    <w:p w14:paraId="50568948" w14:textId="538A573D" w:rsidR="00FA764B" w:rsidRPr="00FA764B" w:rsidRDefault="002102F3" w:rsidP="004260B0">
      <w:pPr>
        <w:spacing w:after="0"/>
        <w:ind w:right="-45"/>
        <w:rPr>
          <w:rFonts w:ascii="Sylfaen" w:eastAsia="Calibri" w:hAnsi="Sylfaen" w:cs="Times New Roman"/>
        </w:rPr>
      </w:pPr>
      <w:r>
        <w:rPr>
          <w:rFonts w:ascii="Sylfaen" w:eastAsia="Calibri" w:hAnsi="Sylfaen" w:cs="Times New Roman"/>
        </w:rPr>
        <w:t>Yule, G. (1996)</w:t>
      </w:r>
      <w:r w:rsidR="00FA764B" w:rsidRPr="00FA764B">
        <w:rPr>
          <w:rFonts w:ascii="Sylfaen" w:eastAsia="Calibri" w:hAnsi="Sylfaen" w:cs="Times New Roman"/>
        </w:rPr>
        <w:t xml:space="preserve"> </w:t>
      </w:r>
      <w:r w:rsidR="00FA764B" w:rsidRPr="00FA764B">
        <w:rPr>
          <w:rFonts w:ascii="Sylfaen" w:eastAsia="Calibri" w:hAnsi="Sylfaen" w:cs="Times New Roman"/>
          <w:i/>
        </w:rPr>
        <w:t>Pragmatics.</w:t>
      </w:r>
      <w:r w:rsidR="00FA764B" w:rsidRPr="00FA764B">
        <w:rPr>
          <w:rFonts w:ascii="Sylfaen" w:eastAsia="Calibri" w:hAnsi="Sylfaen" w:cs="Times New Roman"/>
        </w:rPr>
        <w:t xml:space="preserve"> Oxford: Oxford University Press.</w:t>
      </w:r>
    </w:p>
    <w:p w14:paraId="33A41FC6" w14:textId="34AF0B71" w:rsidR="00EA7662" w:rsidRPr="00EA7662" w:rsidRDefault="00EA7662" w:rsidP="000F3166">
      <w:pPr>
        <w:spacing w:after="0"/>
        <w:rPr>
          <w:rFonts w:ascii="Sylfaen" w:eastAsia="Times New Roman" w:hAnsi="Sylfaen" w:cs="Times New Roman"/>
          <w:sz w:val="20"/>
          <w:szCs w:val="20"/>
          <w:lang w:eastAsia="en-GB"/>
        </w:rPr>
      </w:pPr>
    </w:p>
    <w:sectPr w:rsidR="00EA7662" w:rsidRPr="00EA7662"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26D70" w14:textId="77777777" w:rsidR="00542268" w:rsidRDefault="00542268" w:rsidP="002B247D">
      <w:pPr>
        <w:spacing w:after="0" w:line="240" w:lineRule="auto"/>
      </w:pPr>
      <w:r>
        <w:separator/>
      </w:r>
    </w:p>
  </w:endnote>
  <w:endnote w:type="continuationSeparator" w:id="0">
    <w:p w14:paraId="5EE69391" w14:textId="77777777" w:rsidR="00542268" w:rsidRDefault="0054226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2AC17893" w14:textId="77777777" w:rsidR="00D22C50" w:rsidRDefault="00D22C50">
        <w:pPr>
          <w:pStyle w:val="Footer"/>
          <w:jc w:val="center"/>
        </w:pPr>
      </w:p>
      <w:p w14:paraId="0F31E48A" w14:textId="55EC1705" w:rsidR="00D22C50" w:rsidRDefault="00542268">
        <w:pPr>
          <w:pStyle w:val="Footer"/>
          <w:jc w:val="center"/>
        </w:pPr>
        <w:r>
          <w:pict w14:anchorId="6D2C41FA">
            <v:rect id="_x0000_i1026" style="width:0;height:1.5pt" o:hralign="center" o:hrstd="t" o:hr="t" fillcolor="#a0a0a0" stroked="f"/>
          </w:pict>
        </w:r>
      </w:p>
      <w:p w14:paraId="3655714B" w14:textId="405C14DE" w:rsidR="00BE6334" w:rsidRPr="00D22C50" w:rsidRDefault="00BE6334">
        <w:pPr>
          <w:pStyle w:val="Footer"/>
          <w:jc w:val="center"/>
          <w:rPr>
            <w:rFonts w:ascii="Sylfaen" w:hAnsi="Sylfaen"/>
            <w:noProof/>
          </w:rPr>
        </w:pPr>
        <w:r w:rsidRPr="00D22C50">
          <w:rPr>
            <w:rFonts w:ascii="Sylfaen" w:hAnsi="Sylfaen"/>
          </w:rPr>
          <w:fldChar w:fldCharType="begin"/>
        </w:r>
        <w:r w:rsidRPr="00D22C50">
          <w:rPr>
            <w:rFonts w:ascii="Sylfaen" w:hAnsi="Sylfaen"/>
          </w:rPr>
          <w:instrText xml:space="preserve"> PAGE   \* MERGEFORMAT </w:instrText>
        </w:r>
        <w:r w:rsidRPr="00D22C50">
          <w:rPr>
            <w:rFonts w:ascii="Sylfaen" w:hAnsi="Sylfaen"/>
          </w:rPr>
          <w:fldChar w:fldCharType="separate"/>
        </w:r>
        <w:r w:rsidR="00E828F3">
          <w:rPr>
            <w:rFonts w:ascii="Sylfaen" w:hAnsi="Sylfaen"/>
            <w:noProof/>
          </w:rPr>
          <w:t>10</w:t>
        </w:r>
        <w:r w:rsidRPr="00D22C50">
          <w:rPr>
            <w:rFonts w:ascii="Sylfaen" w:hAnsi="Sylfaen"/>
            <w:noProof/>
          </w:rPr>
          <w:fldChar w:fldCharType="end"/>
        </w:r>
      </w:p>
      <w:p w14:paraId="01B5BDD7" w14:textId="7ED4095B" w:rsidR="00BE6334" w:rsidRPr="00D22C50" w:rsidRDefault="00BE6334">
        <w:pPr>
          <w:pStyle w:val="Footer"/>
          <w:jc w:val="center"/>
          <w:rPr>
            <w:rFonts w:ascii="Sylfaen" w:hAnsi="Sylfaen"/>
            <w:sz w:val="20"/>
            <w:szCs w:val="20"/>
          </w:rPr>
        </w:pPr>
        <w:r w:rsidRPr="00D22C50">
          <w:rPr>
            <w:rFonts w:ascii="Sylfaen" w:hAnsi="Sylfaen"/>
            <w:noProof/>
            <w:sz w:val="20"/>
            <w:szCs w:val="20"/>
          </w:rPr>
          <w:t xml:space="preserve">This article is CC BY </w:t>
        </w:r>
        <w:r w:rsidR="00FA764B" w:rsidRPr="00D22C50">
          <w:rPr>
            <w:rFonts w:ascii="Sylfaen" w:hAnsi="Sylfaen"/>
            <w:noProof/>
            <w:sz w:val="20"/>
            <w:szCs w:val="20"/>
          </w:rPr>
          <w:t>Andreea Stapleton</w:t>
        </w:r>
        <w:r w:rsidRPr="00D22C50">
          <w:rPr>
            <w:rFonts w:ascii="Sylfaen" w:hAnsi="Sylfaen"/>
            <w:noProof/>
            <w:sz w:val="20"/>
            <w:szCs w:val="20"/>
          </w:rPr>
          <w:tab/>
        </w:r>
        <w:r w:rsidRPr="00D22C50">
          <w:rPr>
            <w:rFonts w:ascii="Sylfaen" w:hAnsi="Sylfaen"/>
            <w:noProof/>
            <w:sz w:val="20"/>
            <w:szCs w:val="20"/>
          </w:rPr>
          <w:tab/>
          <w:t>Essex Student Journal, 201</w:t>
        </w:r>
        <w:r w:rsidR="00D4284D" w:rsidRPr="00D22C50">
          <w:rPr>
            <w:rFonts w:ascii="Sylfaen" w:hAnsi="Sylfaen"/>
            <w:noProof/>
            <w:sz w:val="20"/>
            <w:szCs w:val="20"/>
          </w:rPr>
          <w:t>7</w:t>
        </w:r>
        <w:r w:rsidRPr="00D22C50">
          <w:rPr>
            <w:rFonts w:ascii="Sylfaen" w:hAnsi="Sylfaen"/>
            <w:noProof/>
            <w:sz w:val="20"/>
            <w:szCs w:val="20"/>
          </w:rPr>
          <w:t xml:space="preserve">, Vol </w:t>
        </w:r>
        <w:r w:rsidR="00D4284D" w:rsidRPr="00D22C50">
          <w:rPr>
            <w:rFonts w:ascii="Sylfaen" w:hAnsi="Sylfaen"/>
            <w:noProof/>
            <w:sz w:val="20"/>
            <w:szCs w:val="20"/>
          </w:rPr>
          <w:t>9</w:t>
        </w:r>
        <w:r w:rsidRPr="00D22C50">
          <w:rPr>
            <w:rFonts w:ascii="Sylfaen" w:hAnsi="Sylfaen"/>
            <w:noProof/>
            <w:sz w:val="20"/>
            <w:szCs w:val="20"/>
          </w:rPr>
          <w:t>.</w:t>
        </w:r>
      </w:p>
    </w:sdtContent>
  </w:sdt>
  <w:p w14:paraId="793C577F" w14:textId="45F00FDD" w:rsidR="00BE6334" w:rsidRPr="00D22C50" w:rsidRDefault="00BE6334">
    <w:pPr>
      <w:pStyle w:val="Footer"/>
      <w:rPr>
        <w:rFonts w:ascii="Sylfaen" w:hAnsi="Sylfaen"/>
        <w:sz w:val="20"/>
        <w:szCs w:val="20"/>
      </w:rPr>
    </w:pPr>
    <w:r w:rsidRPr="00D22C50">
      <w:rPr>
        <w:rFonts w:ascii="Sylfaen" w:hAnsi="Sylfaen"/>
        <w:sz w:val="20"/>
        <w:szCs w:val="20"/>
      </w:rPr>
      <w:t xml:space="preserve">DOI: </w:t>
    </w:r>
    <w:hyperlink r:id="rId1" w:history="1">
      <w:r w:rsidR="00FA764B" w:rsidRPr="00D22C50">
        <w:rPr>
          <w:rStyle w:val="Hyperlink"/>
          <w:rFonts w:ascii="Sylfaen" w:hAnsi="Sylfaen"/>
          <w:sz w:val="20"/>
          <w:szCs w:val="20"/>
        </w:rPr>
        <w:t>https://doi.org/10.5526/esj23</w:t>
      </w:r>
    </w:hyperlink>
    <w:r w:rsidR="00FA764B" w:rsidRPr="00D22C50">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40518FDC" w14:textId="77777777" w:rsidR="00D22C50" w:rsidRDefault="00D22C50" w:rsidP="00BE6334">
        <w:pPr>
          <w:pStyle w:val="Footer"/>
          <w:jc w:val="center"/>
        </w:pPr>
      </w:p>
      <w:p w14:paraId="2ECA8604" w14:textId="2A840353" w:rsidR="00D22C50" w:rsidRDefault="00542268" w:rsidP="00BE6334">
        <w:pPr>
          <w:pStyle w:val="Footer"/>
          <w:jc w:val="center"/>
        </w:pPr>
        <w:r>
          <w:pict w14:anchorId="25803FA6">
            <v:rect id="_x0000_i1027" style="width:0;height:1.5pt" o:hralign="center" o:hrstd="t" o:hr="t" fillcolor="#a0a0a0" stroked="f"/>
          </w:pict>
        </w:r>
      </w:p>
      <w:p w14:paraId="17E0F48F" w14:textId="634BC210" w:rsidR="00BE6334" w:rsidRPr="00D22C50" w:rsidRDefault="00BE6334" w:rsidP="00BE6334">
        <w:pPr>
          <w:pStyle w:val="Footer"/>
          <w:jc w:val="center"/>
          <w:rPr>
            <w:rFonts w:ascii="Sylfaen" w:hAnsi="Sylfaen"/>
            <w:noProof/>
          </w:rPr>
        </w:pPr>
        <w:r w:rsidRPr="00D22C50">
          <w:rPr>
            <w:rFonts w:ascii="Sylfaen" w:hAnsi="Sylfaen"/>
          </w:rPr>
          <w:fldChar w:fldCharType="begin"/>
        </w:r>
        <w:r w:rsidRPr="00D22C50">
          <w:rPr>
            <w:rFonts w:ascii="Sylfaen" w:hAnsi="Sylfaen"/>
          </w:rPr>
          <w:instrText xml:space="preserve"> PAGE   \* MERGEFORMAT </w:instrText>
        </w:r>
        <w:r w:rsidRPr="00D22C50">
          <w:rPr>
            <w:rFonts w:ascii="Sylfaen" w:hAnsi="Sylfaen"/>
          </w:rPr>
          <w:fldChar w:fldCharType="separate"/>
        </w:r>
        <w:r w:rsidR="00E828F3">
          <w:rPr>
            <w:rFonts w:ascii="Sylfaen" w:hAnsi="Sylfaen"/>
            <w:noProof/>
          </w:rPr>
          <w:t>1</w:t>
        </w:r>
        <w:r w:rsidRPr="00D22C50">
          <w:rPr>
            <w:rFonts w:ascii="Sylfaen" w:hAnsi="Sylfaen"/>
            <w:noProof/>
          </w:rPr>
          <w:fldChar w:fldCharType="end"/>
        </w:r>
      </w:p>
      <w:p w14:paraId="2C12D576" w14:textId="235FB3C2" w:rsidR="00BE6334" w:rsidRPr="00D22C50" w:rsidRDefault="00BE6334" w:rsidP="00BE6334">
        <w:pPr>
          <w:pStyle w:val="Footer"/>
          <w:jc w:val="center"/>
          <w:rPr>
            <w:rFonts w:ascii="Sylfaen" w:hAnsi="Sylfaen"/>
            <w:sz w:val="20"/>
            <w:szCs w:val="20"/>
          </w:rPr>
        </w:pPr>
        <w:r w:rsidRPr="00D22C50">
          <w:rPr>
            <w:rFonts w:ascii="Sylfaen" w:hAnsi="Sylfaen"/>
            <w:noProof/>
            <w:sz w:val="20"/>
            <w:szCs w:val="20"/>
          </w:rPr>
          <w:t>This article is CC BY</w:t>
        </w:r>
        <w:r w:rsidR="0020222F" w:rsidRPr="00D22C50">
          <w:rPr>
            <w:rFonts w:ascii="Sylfaen" w:hAnsi="Sylfaen"/>
            <w:noProof/>
            <w:sz w:val="20"/>
            <w:szCs w:val="20"/>
          </w:rPr>
          <w:t xml:space="preserve"> </w:t>
        </w:r>
        <w:r w:rsidR="00FA764B" w:rsidRPr="00D22C50">
          <w:rPr>
            <w:rFonts w:ascii="Sylfaen" w:hAnsi="Sylfaen"/>
            <w:noProof/>
            <w:sz w:val="20"/>
            <w:szCs w:val="20"/>
          </w:rPr>
          <w:t>Andreea Stapleton</w:t>
        </w:r>
        <w:r w:rsidR="00AD37FD" w:rsidRPr="00D22C50">
          <w:rPr>
            <w:rFonts w:ascii="Sylfaen" w:hAnsi="Sylfaen"/>
            <w:noProof/>
            <w:sz w:val="20"/>
            <w:szCs w:val="20"/>
          </w:rPr>
          <w:t xml:space="preserve"> </w:t>
        </w:r>
        <w:r w:rsidRPr="00D22C50">
          <w:rPr>
            <w:rFonts w:ascii="Sylfaen" w:hAnsi="Sylfaen"/>
            <w:noProof/>
            <w:sz w:val="20"/>
            <w:szCs w:val="20"/>
          </w:rPr>
          <w:tab/>
        </w:r>
        <w:r w:rsidRPr="00D22C50">
          <w:rPr>
            <w:rFonts w:ascii="Sylfaen" w:hAnsi="Sylfaen"/>
            <w:noProof/>
            <w:sz w:val="20"/>
            <w:szCs w:val="20"/>
          </w:rPr>
          <w:tab/>
          <w:t>Essex Student Journal, 201</w:t>
        </w:r>
        <w:r w:rsidR="00D4284D" w:rsidRPr="00D22C50">
          <w:rPr>
            <w:rFonts w:ascii="Sylfaen" w:hAnsi="Sylfaen"/>
            <w:noProof/>
            <w:sz w:val="20"/>
            <w:szCs w:val="20"/>
          </w:rPr>
          <w:t>7</w:t>
        </w:r>
        <w:r w:rsidRPr="00D22C50">
          <w:rPr>
            <w:rFonts w:ascii="Sylfaen" w:hAnsi="Sylfaen"/>
            <w:noProof/>
            <w:sz w:val="20"/>
            <w:szCs w:val="20"/>
          </w:rPr>
          <w:t>, Vol</w:t>
        </w:r>
        <w:r w:rsidR="00D4284D" w:rsidRPr="00D22C50">
          <w:rPr>
            <w:rFonts w:ascii="Sylfaen" w:hAnsi="Sylfaen"/>
            <w:noProof/>
            <w:sz w:val="20"/>
            <w:szCs w:val="20"/>
          </w:rPr>
          <w:t xml:space="preserve"> 9</w:t>
        </w:r>
        <w:r w:rsidRPr="00D22C50">
          <w:rPr>
            <w:rFonts w:ascii="Sylfaen" w:hAnsi="Sylfaen"/>
            <w:noProof/>
            <w:sz w:val="20"/>
            <w:szCs w:val="20"/>
          </w:rPr>
          <w:t>.</w:t>
        </w:r>
      </w:p>
    </w:sdtContent>
  </w:sdt>
  <w:p w14:paraId="6519B2B9" w14:textId="013C82C6" w:rsidR="001E5540" w:rsidRPr="00D22C50" w:rsidRDefault="00BE6334">
    <w:pPr>
      <w:pStyle w:val="Footer"/>
      <w:rPr>
        <w:rFonts w:ascii="Sylfaen" w:hAnsi="Sylfaen"/>
        <w:sz w:val="20"/>
        <w:szCs w:val="20"/>
      </w:rPr>
    </w:pPr>
    <w:r w:rsidRPr="00D22C50">
      <w:rPr>
        <w:rFonts w:ascii="Sylfaen" w:hAnsi="Sylfaen"/>
        <w:sz w:val="20"/>
        <w:szCs w:val="20"/>
      </w:rPr>
      <w:t xml:space="preserve">DOI: </w:t>
    </w:r>
    <w:hyperlink r:id="rId1" w:history="1">
      <w:r w:rsidR="00FA764B" w:rsidRPr="00D22C50">
        <w:rPr>
          <w:rStyle w:val="Hyperlink"/>
          <w:rFonts w:ascii="Sylfaen" w:hAnsi="Sylfaen"/>
          <w:sz w:val="20"/>
          <w:szCs w:val="20"/>
        </w:rPr>
        <w:t>https://doi.org/10.5526/esj23</w:t>
      </w:r>
    </w:hyperlink>
    <w:r w:rsidR="00FA764B" w:rsidRPr="00D22C50">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608BC" w14:textId="77777777" w:rsidR="00542268" w:rsidRDefault="00542268" w:rsidP="002B247D">
      <w:pPr>
        <w:spacing w:after="0" w:line="240" w:lineRule="auto"/>
      </w:pPr>
      <w:r>
        <w:separator/>
      </w:r>
    </w:p>
  </w:footnote>
  <w:footnote w:type="continuationSeparator" w:id="0">
    <w:p w14:paraId="75A678E1" w14:textId="77777777" w:rsidR="00542268" w:rsidRDefault="0054226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7B77C0FE" w:rsidR="002B247D" w:rsidRPr="00D22C50" w:rsidRDefault="00FA764B">
    <w:pPr>
      <w:pStyle w:val="Header"/>
      <w:rPr>
        <w:rFonts w:ascii="Sylfaen" w:hAnsi="Sylfaen"/>
      </w:rPr>
    </w:pPr>
    <w:r w:rsidRPr="00D22C50">
      <w:rPr>
        <w:rFonts w:ascii="Sylfaen" w:hAnsi="Sylfaen"/>
      </w:rPr>
      <w:t>Deixis in Modern Linguistics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0"/>
  </w:num>
  <w:num w:numId="3">
    <w:abstractNumId w:val="10"/>
  </w:num>
  <w:num w:numId="4">
    <w:abstractNumId w:val="12"/>
  </w:num>
  <w:num w:numId="5">
    <w:abstractNumId w:val="3"/>
  </w:num>
  <w:num w:numId="6">
    <w:abstractNumId w:val="2"/>
  </w:num>
  <w:num w:numId="7">
    <w:abstractNumId w:val="1"/>
  </w:num>
  <w:num w:numId="8">
    <w:abstractNumId w:val="4"/>
  </w:num>
  <w:num w:numId="9">
    <w:abstractNumId w:val="5"/>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F3166"/>
    <w:rsid w:val="001232EB"/>
    <w:rsid w:val="001360DD"/>
    <w:rsid w:val="001E5540"/>
    <w:rsid w:val="0020222F"/>
    <w:rsid w:val="002102F3"/>
    <w:rsid w:val="00240FC1"/>
    <w:rsid w:val="002B247D"/>
    <w:rsid w:val="002F213C"/>
    <w:rsid w:val="00331418"/>
    <w:rsid w:val="00355BD8"/>
    <w:rsid w:val="00374289"/>
    <w:rsid w:val="00396A37"/>
    <w:rsid w:val="003D7268"/>
    <w:rsid w:val="004260B0"/>
    <w:rsid w:val="00435FEC"/>
    <w:rsid w:val="00480ACF"/>
    <w:rsid w:val="004A1B0B"/>
    <w:rsid w:val="004E77C0"/>
    <w:rsid w:val="004F04C9"/>
    <w:rsid w:val="005364B0"/>
    <w:rsid w:val="00542268"/>
    <w:rsid w:val="005D15F2"/>
    <w:rsid w:val="005D3746"/>
    <w:rsid w:val="006B45AF"/>
    <w:rsid w:val="006D67F4"/>
    <w:rsid w:val="008D7050"/>
    <w:rsid w:val="009A0883"/>
    <w:rsid w:val="009F4888"/>
    <w:rsid w:val="00A10993"/>
    <w:rsid w:val="00A24878"/>
    <w:rsid w:val="00A538B5"/>
    <w:rsid w:val="00AD37FD"/>
    <w:rsid w:val="00AE7E62"/>
    <w:rsid w:val="00B322FB"/>
    <w:rsid w:val="00B77266"/>
    <w:rsid w:val="00BA4AF7"/>
    <w:rsid w:val="00BC0C64"/>
    <w:rsid w:val="00BE6334"/>
    <w:rsid w:val="00C2271C"/>
    <w:rsid w:val="00C34E81"/>
    <w:rsid w:val="00C4128C"/>
    <w:rsid w:val="00C71792"/>
    <w:rsid w:val="00C73221"/>
    <w:rsid w:val="00CC529E"/>
    <w:rsid w:val="00D22C50"/>
    <w:rsid w:val="00D4284D"/>
    <w:rsid w:val="00D65054"/>
    <w:rsid w:val="00E355F6"/>
    <w:rsid w:val="00E828F3"/>
    <w:rsid w:val="00E837BC"/>
    <w:rsid w:val="00EA7662"/>
    <w:rsid w:val="00EB0574"/>
    <w:rsid w:val="00ED039A"/>
    <w:rsid w:val="00FA4501"/>
    <w:rsid w:val="00FA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102F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E6019156-12EB-49BC-9362-BE93D14C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Deixis in Modern Linguistics</dc:title>
  <dc:subject/>
  <dc:creator>Sundsbo, Katrine</dc:creator>
  <cp:keywords/>
  <dc:description/>
  <cp:lastModifiedBy>Pyman, Hannah R</cp:lastModifiedBy>
  <cp:revision>6</cp:revision>
  <cp:lastPrinted>2020-04-06T10:40:00Z</cp:lastPrinted>
  <dcterms:created xsi:type="dcterms:W3CDTF">2020-03-19T12:28:00Z</dcterms:created>
  <dcterms:modified xsi:type="dcterms:W3CDTF">2020-04-06T10:41:00Z</dcterms:modified>
</cp:coreProperties>
</file>