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8204CB" w14:textId="129F4F46" w:rsidR="00A538B5" w:rsidRPr="00571A7C" w:rsidRDefault="009F609A" w:rsidP="00B322FB">
      <w:pPr>
        <w:pBdr>
          <w:bottom w:val="single" w:sz="4" w:space="1" w:color="auto"/>
        </w:pBdr>
        <w:tabs>
          <w:tab w:val="right" w:pos="9026"/>
        </w:tabs>
        <w:spacing w:after="160"/>
        <w:rPr>
          <w:rFonts w:ascii="Sylfaen" w:hAnsi="Sylfaen"/>
          <w:i/>
        </w:rPr>
      </w:pPr>
      <w:r w:rsidRPr="00571A7C">
        <w:rPr>
          <w:rFonts w:ascii="Sylfaen" w:hAnsi="Sylfaen"/>
          <w:i/>
        </w:rPr>
        <w:t>Essay</w:t>
      </w:r>
      <w:r w:rsidR="00A538B5" w:rsidRPr="00571A7C">
        <w:rPr>
          <w:rFonts w:ascii="Sylfaen" w:hAnsi="Sylfaen"/>
          <w:i/>
        </w:rPr>
        <w:tab/>
      </w:r>
    </w:p>
    <w:p w14:paraId="19BBC0D1" w14:textId="35235AA6" w:rsidR="00E355F6" w:rsidRPr="00571A7C" w:rsidRDefault="00EA1E6B" w:rsidP="00B322FB">
      <w:pPr>
        <w:pStyle w:val="Title"/>
        <w:spacing w:after="160"/>
        <w:rPr>
          <w:rFonts w:ascii="Sylfaen" w:hAnsi="Sylfaen"/>
        </w:rPr>
      </w:pPr>
      <w:r w:rsidRPr="00571A7C">
        <w:rPr>
          <w:rFonts w:ascii="Sylfaen" w:hAnsi="Sylfaen"/>
          <w:sz w:val="48"/>
        </w:rPr>
        <w:t>Huntington's Disorder: Analysis and Current Research</w:t>
      </w:r>
    </w:p>
    <w:p w14:paraId="0736152B" w14:textId="6C9185DD" w:rsidR="00240FC1" w:rsidRPr="00571A7C" w:rsidRDefault="00BE5798" w:rsidP="00B322FB">
      <w:pPr>
        <w:spacing w:after="160" w:line="360" w:lineRule="auto"/>
        <w:rPr>
          <w:rFonts w:ascii="Sylfaen" w:hAnsi="Sylfaen"/>
        </w:rPr>
      </w:pPr>
      <w:r>
        <w:rPr>
          <w:rFonts w:ascii="Sylfaen" w:hAnsi="Sylfaen"/>
        </w:rPr>
        <w:t>Luke David Wheeler</w:t>
      </w:r>
    </w:p>
    <w:p w14:paraId="2A35EB5D" w14:textId="3B1B0097" w:rsidR="002B247D" w:rsidRPr="00571A7C" w:rsidRDefault="002B247D" w:rsidP="00B322FB">
      <w:pPr>
        <w:spacing w:after="160" w:line="360" w:lineRule="auto"/>
        <w:rPr>
          <w:rFonts w:ascii="Sylfaen" w:hAnsi="Sylfaen"/>
        </w:rPr>
      </w:pPr>
      <w:r w:rsidRPr="00571A7C">
        <w:rPr>
          <w:rFonts w:ascii="Sylfaen" w:hAnsi="Sylfaen"/>
        </w:rPr>
        <w:t>University of Essex</w:t>
      </w:r>
      <w:r w:rsidR="00000000">
        <w:rPr>
          <w:rFonts w:ascii="Sylfaen" w:hAnsi="Sylfaen"/>
          <w:noProof/>
        </w:rPr>
        <w:pict w14:anchorId="03B1286F">
          <v:rect id="_x0000_i1025" alt="" style="width:451.3pt;height:.05pt;mso-width-percent:0;mso-height-percent:0;mso-width-percent:0;mso-height-percent:0" o:hralign="center" o:hrstd="t" o:hr="t" fillcolor="#a0a0a0" stroked="f"/>
        </w:pict>
      </w:r>
    </w:p>
    <w:p w14:paraId="42AE1F70" w14:textId="44BF30BC" w:rsidR="00240FC1" w:rsidRPr="00BD4071" w:rsidRDefault="00331418" w:rsidP="00BD4071">
      <w:pPr>
        <w:pStyle w:val="Heading1"/>
      </w:pPr>
      <w:r w:rsidRPr="00BD4071">
        <w:t>Abstract</w:t>
      </w:r>
    </w:p>
    <w:p w14:paraId="2CF8E754" w14:textId="5C770796" w:rsidR="00240FC1" w:rsidRPr="00571A7C" w:rsidRDefault="60650A52" w:rsidP="003F5FDE">
      <w:pPr>
        <w:spacing w:after="160" w:line="360" w:lineRule="auto"/>
        <w:ind w:left="720"/>
        <w:jc w:val="both"/>
        <w:rPr>
          <w:rFonts w:ascii="Sylfaen" w:hAnsi="Sylfaen"/>
        </w:rPr>
      </w:pPr>
      <w:r w:rsidRPr="60650A52">
        <w:rPr>
          <w:rFonts w:ascii="Sylfaen" w:hAnsi="Sylfaen"/>
        </w:rPr>
        <w:t>Huntington’s disorder is an incurable genetic neurodegenerative disorder that affects many people’s day-to-day lives, and in the United Kingdom alone, affects an estimated 8,000 people (Balogun et al., 2022). Its prevalence worldwide depends on the lineage of those afflicted – for example, ~10 people of European descent per 100,000 are affected, whereas it is rarer in those of Japanese descent (Frank, 2013). Symptoms include those that are psychological, such as difficulties with concentration and memory, mood swings, and those that are physical, such as chorea, dysphagia, speaking impairment, sluggishness, and breathing problems to name a few. Patients with late-stage Huntington’s disorder may require full-time nursing care because of the severity of these symptoms. Research is ongoing into the biochemistry of Huntington’s disorder as well as possible treatment pathways. In 2020-21 alone, the National Institute for Health and Care Research dedicated £77 million of its £1.2 billion budget towards the research into neurodegenerative disorders such as Huntington’s (Balogun et al., 2022; NIHR, 2022), which shows how these disorders are a research hot spot. This analysis aims to present and explore the main topics – what is Huntington’s disorder? What are the symptoms? What causes it? How prevalent is it? How is it diagnosed and treated? What kind of research is being conducted both in the United Kingdom and worldwide? – in a format that is easier to digest for novices to the field – whether they are patients who were recently diagnosed, or scientists new to the disorder.</w:t>
      </w:r>
    </w:p>
    <w:p w14:paraId="5CEC8B74" w14:textId="71A464CE" w:rsidR="00313E93" w:rsidRPr="00571A7C" w:rsidRDefault="00240FC1" w:rsidP="00B322FB">
      <w:pPr>
        <w:spacing w:after="160" w:line="360" w:lineRule="auto"/>
        <w:rPr>
          <w:rFonts w:ascii="Sylfaen" w:hAnsi="Sylfaen"/>
        </w:rPr>
      </w:pPr>
      <w:r w:rsidRPr="00571A7C">
        <w:rPr>
          <w:rStyle w:val="Heading1Char"/>
          <w:sz w:val="22"/>
        </w:rPr>
        <w:t>Keywords:</w:t>
      </w:r>
      <w:r w:rsidRPr="00571A7C">
        <w:rPr>
          <w:rFonts w:ascii="Sylfaen" w:hAnsi="Sylfaen"/>
        </w:rPr>
        <w:t xml:space="preserve">  </w:t>
      </w:r>
      <w:r w:rsidR="006453D7" w:rsidRPr="006453D7">
        <w:rPr>
          <w:rFonts w:ascii="Sylfaen" w:hAnsi="Sylfaen"/>
        </w:rPr>
        <w:t xml:space="preserve">Huntington's </w:t>
      </w:r>
      <w:r w:rsidR="006453D7">
        <w:rPr>
          <w:rFonts w:ascii="Sylfaen" w:hAnsi="Sylfaen"/>
        </w:rPr>
        <w:t>D</w:t>
      </w:r>
      <w:r w:rsidR="006453D7" w:rsidRPr="006453D7">
        <w:rPr>
          <w:rFonts w:ascii="Sylfaen" w:hAnsi="Sylfaen"/>
        </w:rPr>
        <w:t>isorder, Huntingtin, Symptoms, Treatments, Diagnosis, Prevalence</w:t>
      </w:r>
      <w:r w:rsidR="006453D7">
        <w:rPr>
          <w:rFonts w:ascii="Sylfaen" w:hAnsi="Sylfaen"/>
        </w:rPr>
        <w:t>, Current Research</w:t>
      </w:r>
    </w:p>
    <w:p w14:paraId="52D13D17" w14:textId="110EFBAE" w:rsidR="00A10993" w:rsidRPr="00571A7C" w:rsidRDefault="00D74330" w:rsidP="00BD4071">
      <w:pPr>
        <w:pStyle w:val="Heading1"/>
      </w:pPr>
      <w:bookmarkStart w:id="0" w:name="_Hlk119698241"/>
      <w:r w:rsidRPr="00571A7C">
        <w:lastRenderedPageBreak/>
        <w:t>Background</w:t>
      </w:r>
      <w:r w:rsidR="00D2116D" w:rsidRPr="00571A7C">
        <w:t xml:space="preserve"> and Symptoms</w:t>
      </w:r>
    </w:p>
    <w:bookmarkEnd w:id="0"/>
    <w:p w14:paraId="265B503D" w14:textId="7BBB7EEA" w:rsidR="007A01F5" w:rsidRPr="00571A7C" w:rsidRDefault="003B00CD" w:rsidP="003F5FDE">
      <w:pPr>
        <w:spacing w:after="160" w:line="360" w:lineRule="auto"/>
        <w:jc w:val="both"/>
        <w:rPr>
          <w:rFonts w:ascii="Sylfaen" w:hAnsi="Sylfaen"/>
        </w:rPr>
      </w:pPr>
      <w:r w:rsidRPr="00571A7C">
        <w:rPr>
          <w:rFonts w:ascii="Sylfaen" w:hAnsi="Sylfaen"/>
        </w:rPr>
        <w:t>Hu</w:t>
      </w:r>
      <w:r w:rsidR="00DC5CD8" w:rsidRPr="00571A7C">
        <w:rPr>
          <w:rFonts w:ascii="Sylfaen" w:hAnsi="Sylfaen"/>
        </w:rPr>
        <w:t>ntington’s disorder (HD)</w:t>
      </w:r>
      <w:r w:rsidR="00C63B59" w:rsidRPr="00571A7C">
        <w:rPr>
          <w:rFonts w:ascii="Sylfaen" w:hAnsi="Sylfaen"/>
        </w:rPr>
        <w:t xml:space="preserve"> </w:t>
      </w:r>
      <w:r w:rsidR="0067531A" w:rsidRPr="00571A7C">
        <w:rPr>
          <w:rFonts w:ascii="Sylfaen" w:hAnsi="Sylfaen"/>
        </w:rPr>
        <w:t>is an inherited condition of the brain that</w:t>
      </w:r>
      <w:r w:rsidR="00C63B59" w:rsidRPr="00571A7C">
        <w:rPr>
          <w:rFonts w:ascii="Sylfaen" w:hAnsi="Sylfaen"/>
        </w:rPr>
        <w:t xml:space="preserve"> affects 2.71 individuals per 100,000 worldwide, varying by region and an individual’s lineage, making it a very rare disorder (Pringsheim et al., 2012)</w:t>
      </w:r>
      <w:r w:rsidR="000F3DB6" w:rsidRPr="00571A7C">
        <w:rPr>
          <w:rFonts w:ascii="Sylfaen" w:hAnsi="Sylfaen"/>
        </w:rPr>
        <w:t>.</w:t>
      </w:r>
      <w:r w:rsidR="00C63B59" w:rsidRPr="00571A7C">
        <w:rPr>
          <w:rFonts w:ascii="Sylfaen" w:hAnsi="Sylfaen"/>
        </w:rPr>
        <w:t xml:space="preserve"> </w:t>
      </w:r>
      <w:r w:rsidR="000F3DB6" w:rsidRPr="00571A7C">
        <w:rPr>
          <w:rFonts w:ascii="Sylfaen" w:hAnsi="Sylfaen"/>
        </w:rPr>
        <w:t xml:space="preserve">It </w:t>
      </w:r>
      <w:r w:rsidR="002579FB" w:rsidRPr="00571A7C">
        <w:rPr>
          <w:rFonts w:ascii="Sylfaen" w:hAnsi="Sylfaen"/>
        </w:rPr>
        <w:t xml:space="preserve">stops parts of </w:t>
      </w:r>
      <w:r w:rsidR="0067531A" w:rsidRPr="00571A7C">
        <w:rPr>
          <w:rFonts w:ascii="Sylfaen" w:hAnsi="Sylfaen"/>
        </w:rPr>
        <w:t>the brain</w:t>
      </w:r>
      <w:r w:rsidR="002579FB" w:rsidRPr="00571A7C">
        <w:rPr>
          <w:rFonts w:ascii="Sylfaen" w:hAnsi="Sylfaen"/>
        </w:rPr>
        <w:t xml:space="preserve"> </w:t>
      </w:r>
      <w:r w:rsidR="005378D9">
        <w:rPr>
          <w:rFonts w:ascii="Sylfaen" w:hAnsi="Sylfaen"/>
        </w:rPr>
        <w:t xml:space="preserve">from </w:t>
      </w:r>
      <w:r w:rsidR="002579FB" w:rsidRPr="00571A7C">
        <w:rPr>
          <w:rFonts w:ascii="Sylfaen" w:hAnsi="Sylfaen"/>
        </w:rPr>
        <w:t>working normally over time</w:t>
      </w:r>
      <w:r w:rsidR="00E51783" w:rsidRPr="00571A7C">
        <w:rPr>
          <w:rFonts w:ascii="Sylfaen" w:hAnsi="Sylfaen"/>
        </w:rPr>
        <w:t xml:space="preserve"> due to damage to and death of neurones</w:t>
      </w:r>
      <w:r w:rsidR="00ED23C3" w:rsidRPr="00571A7C">
        <w:rPr>
          <w:rFonts w:ascii="Sylfaen" w:hAnsi="Sylfaen"/>
        </w:rPr>
        <w:t xml:space="preserve">, making it </w:t>
      </w:r>
      <w:r w:rsidR="003650CC" w:rsidRPr="00571A7C">
        <w:rPr>
          <w:rFonts w:ascii="Sylfaen" w:hAnsi="Sylfaen"/>
        </w:rPr>
        <w:t xml:space="preserve">a </w:t>
      </w:r>
      <w:r w:rsidR="00ED23C3" w:rsidRPr="00571A7C">
        <w:rPr>
          <w:rFonts w:ascii="Sylfaen" w:hAnsi="Sylfaen"/>
        </w:rPr>
        <w:t>neurodegenerative</w:t>
      </w:r>
      <w:r w:rsidR="003650CC" w:rsidRPr="00571A7C">
        <w:rPr>
          <w:rFonts w:ascii="Sylfaen" w:hAnsi="Sylfaen"/>
        </w:rPr>
        <w:t xml:space="preserve"> disorder</w:t>
      </w:r>
      <w:r w:rsidR="00E51783" w:rsidRPr="00571A7C">
        <w:rPr>
          <w:rFonts w:ascii="Sylfaen" w:hAnsi="Sylfaen"/>
        </w:rPr>
        <w:t xml:space="preserve">. </w:t>
      </w:r>
      <w:r w:rsidR="0090777D" w:rsidRPr="00571A7C">
        <w:rPr>
          <w:rFonts w:ascii="Sylfaen" w:hAnsi="Sylfaen"/>
        </w:rPr>
        <w:t xml:space="preserve">This results in psychological symptoms such as </w:t>
      </w:r>
      <w:r w:rsidR="00A85FD7" w:rsidRPr="00571A7C">
        <w:rPr>
          <w:rFonts w:ascii="Sylfaen" w:hAnsi="Sylfaen"/>
        </w:rPr>
        <w:t>cognitive decline</w:t>
      </w:r>
      <w:r w:rsidR="00B7196D" w:rsidRPr="00571A7C">
        <w:rPr>
          <w:rFonts w:ascii="Sylfaen" w:hAnsi="Sylfaen"/>
        </w:rPr>
        <w:t xml:space="preserve"> </w:t>
      </w:r>
      <w:r w:rsidR="00103EF9" w:rsidRPr="00571A7C">
        <w:rPr>
          <w:rFonts w:ascii="Sylfaen" w:hAnsi="Sylfaen"/>
        </w:rPr>
        <w:t>(</w:t>
      </w:r>
      <w:r w:rsidR="00B7196D" w:rsidRPr="00571A7C">
        <w:rPr>
          <w:rFonts w:ascii="Sylfaen" w:hAnsi="Sylfaen"/>
        </w:rPr>
        <w:t xml:space="preserve">memory </w:t>
      </w:r>
      <w:r w:rsidR="00C21889" w:rsidRPr="00571A7C">
        <w:rPr>
          <w:rFonts w:ascii="Sylfaen" w:hAnsi="Sylfaen"/>
        </w:rPr>
        <w:t xml:space="preserve">and </w:t>
      </w:r>
      <w:r w:rsidR="00E61911" w:rsidRPr="00571A7C">
        <w:rPr>
          <w:rFonts w:ascii="Sylfaen" w:hAnsi="Sylfaen"/>
        </w:rPr>
        <w:t>learning difficulties)</w:t>
      </w:r>
      <w:r w:rsidR="0090777D" w:rsidRPr="00571A7C">
        <w:rPr>
          <w:rFonts w:ascii="Sylfaen" w:hAnsi="Sylfaen"/>
        </w:rPr>
        <w:t xml:space="preserve">, </w:t>
      </w:r>
      <w:r w:rsidR="007C6398" w:rsidRPr="00571A7C">
        <w:rPr>
          <w:rFonts w:ascii="Sylfaen" w:hAnsi="Sylfaen"/>
        </w:rPr>
        <w:t xml:space="preserve">behavioural impairment </w:t>
      </w:r>
      <w:r w:rsidR="0069404D" w:rsidRPr="00571A7C">
        <w:rPr>
          <w:rFonts w:ascii="Sylfaen" w:hAnsi="Sylfaen"/>
        </w:rPr>
        <w:t>(</w:t>
      </w:r>
      <w:r w:rsidR="00C503BB" w:rsidRPr="00571A7C">
        <w:rPr>
          <w:rFonts w:ascii="Sylfaen" w:hAnsi="Sylfaen"/>
        </w:rPr>
        <w:t>e</w:t>
      </w:r>
      <w:r w:rsidR="00683BF4" w:rsidRPr="00571A7C">
        <w:rPr>
          <w:rFonts w:ascii="Sylfaen" w:hAnsi="Sylfaen"/>
        </w:rPr>
        <w:t xml:space="preserve">.g., </w:t>
      </w:r>
      <w:r w:rsidR="0090777D" w:rsidRPr="00571A7C">
        <w:rPr>
          <w:rFonts w:ascii="Sylfaen" w:hAnsi="Sylfaen"/>
        </w:rPr>
        <w:t xml:space="preserve">mood </w:t>
      </w:r>
      <w:r w:rsidR="00855B6F" w:rsidRPr="00571A7C">
        <w:rPr>
          <w:rFonts w:ascii="Sylfaen" w:hAnsi="Sylfaen"/>
        </w:rPr>
        <w:t>disorders</w:t>
      </w:r>
      <w:r w:rsidR="0069404D" w:rsidRPr="00571A7C">
        <w:rPr>
          <w:rFonts w:ascii="Sylfaen" w:hAnsi="Sylfaen"/>
        </w:rPr>
        <w:t>)</w:t>
      </w:r>
      <w:r w:rsidR="0090777D" w:rsidRPr="00571A7C">
        <w:rPr>
          <w:rFonts w:ascii="Sylfaen" w:hAnsi="Sylfaen"/>
        </w:rPr>
        <w:t xml:space="preserve">, and physical symptoms </w:t>
      </w:r>
      <w:r w:rsidR="002433DB" w:rsidRPr="00571A7C">
        <w:rPr>
          <w:rFonts w:ascii="Sylfaen" w:hAnsi="Sylfaen"/>
        </w:rPr>
        <w:t xml:space="preserve">of motor impairment such as </w:t>
      </w:r>
      <w:r w:rsidR="0090777D" w:rsidRPr="00571A7C">
        <w:rPr>
          <w:rFonts w:ascii="Sylfaen" w:hAnsi="Sylfaen"/>
        </w:rPr>
        <w:t>chorea</w:t>
      </w:r>
      <w:r w:rsidR="00A069B7" w:rsidRPr="00571A7C">
        <w:rPr>
          <w:rFonts w:ascii="Sylfaen" w:hAnsi="Sylfaen"/>
        </w:rPr>
        <w:t xml:space="preserve"> (uncontrollable jerky movements)</w:t>
      </w:r>
      <w:r w:rsidR="0090777D" w:rsidRPr="00571A7C">
        <w:rPr>
          <w:rFonts w:ascii="Sylfaen" w:hAnsi="Sylfaen"/>
        </w:rPr>
        <w:t xml:space="preserve">, </w:t>
      </w:r>
      <w:r w:rsidR="00F10077" w:rsidRPr="00571A7C">
        <w:rPr>
          <w:rFonts w:ascii="Sylfaen" w:hAnsi="Sylfaen"/>
        </w:rPr>
        <w:t xml:space="preserve">dysphagia (swallowing difficulties), </w:t>
      </w:r>
      <w:r w:rsidR="0090777D" w:rsidRPr="00571A7C">
        <w:rPr>
          <w:rFonts w:ascii="Sylfaen" w:hAnsi="Sylfaen"/>
        </w:rPr>
        <w:t>speaking impairment, sluggish movements, and breathing problems</w:t>
      </w:r>
      <w:r w:rsidR="00CD77D0" w:rsidRPr="00571A7C">
        <w:rPr>
          <w:rFonts w:ascii="Sylfaen" w:hAnsi="Sylfaen"/>
        </w:rPr>
        <w:t xml:space="preserve">. These symptoms </w:t>
      </w:r>
      <w:r w:rsidR="00D714DF" w:rsidRPr="00571A7C">
        <w:rPr>
          <w:rFonts w:ascii="Sylfaen" w:hAnsi="Sylfaen"/>
        </w:rPr>
        <w:t xml:space="preserve">gradually </w:t>
      </w:r>
      <w:r w:rsidR="001F375B" w:rsidRPr="00571A7C">
        <w:rPr>
          <w:rFonts w:ascii="Sylfaen" w:hAnsi="Sylfaen"/>
        </w:rPr>
        <w:t>worsen over an individual’s lifetime until they’re fatal</w:t>
      </w:r>
      <w:r w:rsidR="0010097A" w:rsidRPr="00571A7C">
        <w:rPr>
          <w:rFonts w:ascii="Sylfaen" w:hAnsi="Sylfaen"/>
        </w:rPr>
        <w:t>, with median survival being 24 years from diagnosis and 35 years from symptom onset</w:t>
      </w:r>
      <w:r w:rsidR="0076514D" w:rsidRPr="00571A7C">
        <w:rPr>
          <w:rFonts w:ascii="Sylfaen" w:hAnsi="Sylfaen"/>
        </w:rPr>
        <w:t xml:space="preserve">, </w:t>
      </w:r>
      <w:r w:rsidR="00784A98" w:rsidRPr="00571A7C">
        <w:rPr>
          <w:rFonts w:ascii="Sylfaen" w:hAnsi="Sylfaen"/>
        </w:rPr>
        <w:t xml:space="preserve">and </w:t>
      </w:r>
      <w:r w:rsidR="0076514D" w:rsidRPr="00571A7C">
        <w:rPr>
          <w:rFonts w:ascii="Sylfaen" w:hAnsi="Sylfaen"/>
        </w:rPr>
        <w:t xml:space="preserve">mean age at death </w:t>
      </w:r>
      <w:r w:rsidR="00784A98" w:rsidRPr="00571A7C">
        <w:rPr>
          <w:rFonts w:ascii="Sylfaen" w:hAnsi="Sylfaen"/>
        </w:rPr>
        <w:t>being</w:t>
      </w:r>
      <w:r w:rsidR="0076514D" w:rsidRPr="00571A7C">
        <w:rPr>
          <w:rFonts w:ascii="Sylfaen" w:hAnsi="Sylfaen"/>
        </w:rPr>
        <w:t xml:space="preserve"> 58 years</w:t>
      </w:r>
      <w:r w:rsidR="00784A98" w:rsidRPr="00571A7C">
        <w:rPr>
          <w:rFonts w:ascii="Sylfaen" w:hAnsi="Sylfaen"/>
        </w:rPr>
        <w:t xml:space="preserve"> (Rodrigues et al., 2017)</w:t>
      </w:r>
      <w:r w:rsidR="0010097A" w:rsidRPr="00571A7C">
        <w:rPr>
          <w:rFonts w:ascii="Sylfaen" w:hAnsi="Sylfaen"/>
        </w:rPr>
        <w:t>.</w:t>
      </w:r>
    </w:p>
    <w:p w14:paraId="0F7D7070" w14:textId="611AF3B5" w:rsidR="002B1CF7" w:rsidRPr="00571A7C" w:rsidRDefault="003D6FA6" w:rsidP="003F5FDE">
      <w:pPr>
        <w:spacing w:after="160" w:line="360" w:lineRule="auto"/>
        <w:jc w:val="both"/>
        <w:rPr>
          <w:rFonts w:ascii="Sylfaen" w:hAnsi="Sylfaen"/>
        </w:rPr>
      </w:pPr>
      <w:r w:rsidRPr="00571A7C">
        <w:rPr>
          <w:rFonts w:ascii="Sylfaen" w:hAnsi="Sylfaen"/>
        </w:rPr>
        <w:t>HD</w:t>
      </w:r>
      <w:r w:rsidR="0057747D" w:rsidRPr="00571A7C">
        <w:rPr>
          <w:rFonts w:ascii="Sylfaen" w:hAnsi="Sylfaen"/>
        </w:rPr>
        <w:t>, much like Alzheimer’s,</w:t>
      </w:r>
      <w:r w:rsidRPr="00571A7C">
        <w:rPr>
          <w:rFonts w:ascii="Sylfaen" w:hAnsi="Sylfaen"/>
        </w:rPr>
        <w:t xml:space="preserve"> </w:t>
      </w:r>
      <w:r w:rsidR="00E12C07" w:rsidRPr="00571A7C">
        <w:rPr>
          <w:rFonts w:ascii="Sylfaen" w:hAnsi="Sylfaen"/>
        </w:rPr>
        <w:t xml:space="preserve">is </w:t>
      </w:r>
      <w:r w:rsidR="000A62F9" w:rsidRPr="00571A7C">
        <w:rPr>
          <w:rFonts w:ascii="Sylfaen" w:hAnsi="Sylfaen"/>
        </w:rPr>
        <w:t>a</w:t>
      </w:r>
      <w:r w:rsidR="00E12C07" w:rsidRPr="00571A7C">
        <w:rPr>
          <w:rFonts w:ascii="Sylfaen" w:hAnsi="Sylfaen"/>
        </w:rPr>
        <w:t xml:space="preserve"> disorder that </w:t>
      </w:r>
      <w:r w:rsidRPr="00571A7C">
        <w:rPr>
          <w:rFonts w:ascii="Sylfaen" w:hAnsi="Sylfaen"/>
        </w:rPr>
        <w:t>causes dementia</w:t>
      </w:r>
      <w:r w:rsidR="00FE4572" w:rsidRPr="00571A7C">
        <w:rPr>
          <w:rFonts w:ascii="Sylfaen" w:hAnsi="Sylfaen"/>
        </w:rPr>
        <w:t>, which is characterised by an</w:t>
      </w:r>
      <w:r w:rsidR="000536A3" w:rsidRPr="00571A7C">
        <w:rPr>
          <w:rFonts w:ascii="Sylfaen" w:hAnsi="Sylfaen"/>
        </w:rPr>
        <w:t xml:space="preserve"> impaired </w:t>
      </w:r>
      <w:r w:rsidR="00FE4572" w:rsidRPr="00571A7C">
        <w:rPr>
          <w:rFonts w:ascii="Sylfaen" w:hAnsi="Sylfaen"/>
        </w:rPr>
        <w:t xml:space="preserve">cognitive </w:t>
      </w:r>
      <w:r w:rsidR="000536A3" w:rsidRPr="00571A7C">
        <w:rPr>
          <w:rFonts w:ascii="Sylfaen" w:hAnsi="Sylfaen"/>
        </w:rPr>
        <w:t xml:space="preserve">ability to </w:t>
      </w:r>
      <w:r w:rsidR="001A7DC2" w:rsidRPr="00571A7C">
        <w:rPr>
          <w:rFonts w:ascii="Sylfaen" w:hAnsi="Sylfaen"/>
        </w:rPr>
        <w:t>concentrate, remember, and make everyday decisions</w:t>
      </w:r>
      <w:r w:rsidR="00E71711" w:rsidRPr="00571A7C">
        <w:rPr>
          <w:rFonts w:ascii="Sylfaen" w:hAnsi="Sylfaen"/>
        </w:rPr>
        <w:t xml:space="preserve"> (</w:t>
      </w:r>
      <w:r w:rsidR="00423397" w:rsidRPr="00571A7C">
        <w:rPr>
          <w:rFonts w:ascii="Sylfaen" w:hAnsi="Sylfaen"/>
        </w:rPr>
        <w:t>CDC,</w:t>
      </w:r>
      <w:r w:rsidR="00715CF3" w:rsidRPr="00571A7C">
        <w:rPr>
          <w:rFonts w:ascii="Sylfaen" w:hAnsi="Sylfaen"/>
        </w:rPr>
        <w:t xml:space="preserve"> </w:t>
      </w:r>
      <w:r w:rsidR="00423397" w:rsidRPr="00571A7C">
        <w:rPr>
          <w:rFonts w:ascii="Sylfaen" w:hAnsi="Sylfaen"/>
        </w:rPr>
        <w:t>2019)</w:t>
      </w:r>
      <w:r w:rsidR="00AD3A72" w:rsidRPr="00571A7C">
        <w:rPr>
          <w:rFonts w:ascii="Sylfaen" w:hAnsi="Sylfaen"/>
        </w:rPr>
        <w:t>.</w:t>
      </w:r>
      <w:r w:rsidR="00891987" w:rsidRPr="00571A7C">
        <w:rPr>
          <w:rFonts w:ascii="Sylfaen" w:hAnsi="Sylfaen"/>
        </w:rPr>
        <w:t xml:space="preserve"> HD and Alzheimer’s also have similar mechanisms of disease</w:t>
      </w:r>
      <w:r w:rsidR="00AE2A46" w:rsidRPr="00571A7C">
        <w:rPr>
          <w:rFonts w:ascii="Sylfaen" w:hAnsi="Sylfaen"/>
        </w:rPr>
        <w:t xml:space="preserve">, </w:t>
      </w:r>
      <w:r w:rsidR="00BC55B6" w:rsidRPr="00571A7C">
        <w:rPr>
          <w:rFonts w:ascii="Sylfaen" w:hAnsi="Sylfaen"/>
        </w:rPr>
        <w:t>mean</w:t>
      </w:r>
      <w:r w:rsidR="00AE2A46" w:rsidRPr="00571A7C">
        <w:rPr>
          <w:rFonts w:ascii="Sylfaen" w:hAnsi="Sylfaen"/>
        </w:rPr>
        <w:t>ing</w:t>
      </w:r>
      <w:r w:rsidR="00BC55B6" w:rsidRPr="00571A7C">
        <w:rPr>
          <w:rFonts w:ascii="Sylfaen" w:hAnsi="Sylfaen"/>
        </w:rPr>
        <w:t xml:space="preserve"> that</w:t>
      </w:r>
      <w:r w:rsidR="00222D49" w:rsidRPr="00571A7C">
        <w:rPr>
          <w:rFonts w:ascii="Sylfaen" w:hAnsi="Sylfaen"/>
        </w:rPr>
        <w:t xml:space="preserve"> a better understanding of HD</w:t>
      </w:r>
      <w:r w:rsidR="005F6868" w:rsidRPr="00571A7C">
        <w:rPr>
          <w:rFonts w:ascii="Sylfaen" w:hAnsi="Sylfaen"/>
        </w:rPr>
        <w:t xml:space="preserve">’s pathology </w:t>
      </w:r>
      <w:r w:rsidR="006F4971" w:rsidRPr="00571A7C">
        <w:rPr>
          <w:rFonts w:ascii="Sylfaen" w:hAnsi="Sylfaen"/>
        </w:rPr>
        <w:t xml:space="preserve">could </w:t>
      </w:r>
      <w:r w:rsidR="00806A12" w:rsidRPr="00571A7C">
        <w:rPr>
          <w:rFonts w:ascii="Sylfaen" w:hAnsi="Sylfaen"/>
        </w:rPr>
        <w:t>potentially</w:t>
      </w:r>
      <w:r w:rsidR="001F632E" w:rsidRPr="00571A7C">
        <w:rPr>
          <w:rFonts w:ascii="Sylfaen" w:hAnsi="Sylfaen"/>
        </w:rPr>
        <w:t xml:space="preserve"> </w:t>
      </w:r>
      <w:r w:rsidR="006F4971" w:rsidRPr="00571A7C">
        <w:rPr>
          <w:rFonts w:ascii="Sylfaen" w:hAnsi="Sylfaen"/>
        </w:rPr>
        <w:t>lead to advancements i</w:t>
      </w:r>
      <w:r w:rsidR="008C626B" w:rsidRPr="00571A7C">
        <w:rPr>
          <w:rFonts w:ascii="Sylfaen" w:hAnsi="Sylfaen"/>
        </w:rPr>
        <w:t xml:space="preserve">n </w:t>
      </w:r>
      <w:r w:rsidR="00294BE6" w:rsidRPr="00571A7C">
        <w:rPr>
          <w:rFonts w:ascii="Sylfaen" w:hAnsi="Sylfaen"/>
        </w:rPr>
        <w:t>the research of</w:t>
      </w:r>
      <w:r w:rsidR="008C626B" w:rsidRPr="00571A7C">
        <w:rPr>
          <w:rFonts w:ascii="Sylfaen" w:hAnsi="Sylfaen"/>
        </w:rPr>
        <w:t xml:space="preserve"> </w:t>
      </w:r>
      <w:r w:rsidR="000B577C" w:rsidRPr="00571A7C">
        <w:rPr>
          <w:rFonts w:ascii="Sylfaen" w:hAnsi="Sylfaen"/>
        </w:rPr>
        <w:t xml:space="preserve">Alzheimer's and </w:t>
      </w:r>
      <w:r w:rsidR="00AC26ED" w:rsidRPr="00571A7C">
        <w:rPr>
          <w:rFonts w:ascii="Sylfaen" w:hAnsi="Sylfaen"/>
        </w:rPr>
        <w:t xml:space="preserve">other dementia-causing </w:t>
      </w:r>
      <w:r w:rsidR="001E7777" w:rsidRPr="00571A7C">
        <w:rPr>
          <w:rFonts w:ascii="Sylfaen" w:hAnsi="Sylfaen"/>
        </w:rPr>
        <w:t>disorders</w:t>
      </w:r>
      <w:r w:rsidR="002633D0" w:rsidRPr="00571A7C">
        <w:rPr>
          <w:rFonts w:ascii="Sylfaen" w:hAnsi="Sylfaen"/>
        </w:rPr>
        <w:t xml:space="preserve"> with similar </w:t>
      </w:r>
      <w:r w:rsidR="005A1BA3" w:rsidRPr="00571A7C">
        <w:rPr>
          <w:rFonts w:ascii="Sylfaen" w:hAnsi="Sylfaen"/>
        </w:rPr>
        <w:t>mechanisms</w:t>
      </w:r>
      <w:r w:rsidR="00366CE3" w:rsidRPr="00571A7C">
        <w:rPr>
          <w:rFonts w:ascii="Sylfaen" w:hAnsi="Sylfaen"/>
        </w:rPr>
        <w:t xml:space="preserve">. Alzheimer’s </w:t>
      </w:r>
      <w:r w:rsidR="00660E77" w:rsidRPr="00571A7C">
        <w:rPr>
          <w:rFonts w:ascii="Sylfaen" w:hAnsi="Sylfaen"/>
        </w:rPr>
        <w:t xml:space="preserve">affects </w:t>
      </w:r>
      <w:r w:rsidR="00ED5ABB" w:rsidRPr="00571A7C">
        <w:rPr>
          <w:rFonts w:ascii="Sylfaen" w:hAnsi="Sylfaen"/>
        </w:rPr>
        <w:t>over 850,000 people in the UK alone</w:t>
      </w:r>
      <w:r w:rsidR="00850473" w:rsidRPr="00571A7C">
        <w:rPr>
          <w:rFonts w:ascii="Sylfaen" w:hAnsi="Sylfaen"/>
        </w:rPr>
        <w:t xml:space="preserve"> and</w:t>
      </w:r>
      <w:r w:rsidR="00DD2E3D" w:rsidRPr="00571A7C">
        <w:rPr>
          <w:rFonts w:ascii="Sylfaen" w:hAnsi="Sylfaen"/>
        </w:rPr>
        <w:t xml:space="preserve"> is predicted to double by 2040</w:t>
      </w:r>
      <w:r w:rsidR="005378D9">
        <w:rPr>
          <w:rFonts w:ascii="Sylfaen" w:hAnsi="Sylfaen"/>
        </w:rPr>
        <w:t>. U</w:t>
      </w:r>
      <w:r w:rsidR="00C67080" w:rsidRPr="00571A7C">
        <w:rPr>
          <w:rFonts w:ascii="Sylfaen" w:hAnsi="Sylfaen"/>
        </w:rPr>
        <w:t>nlike HD,</w:t>
      </w:r>
      <w:r w:rsidR="00ED5ABB" w:rsidRPr="00571A7C">
        <w:rPr>
          <w:rFonts w:ascii="Sylfaen" w:hAnsi="Sylfaen"/>
        </w:rPr>
        <w:t xml:space="preserve"> </w:t>
      </w:r>
      <w:r w:rsidR="00F231C4" w:rsidRPr="00571A7C">
        <w:rPr>
          <w:rFonts w:ascii="Sylfaen" w:hAnsi="Sylfaen"/>
        </w:rPr>
        <w:t>99% of cases</w:t>
      </w:r>
      <w:r w:rsidR="00BF6627" w:rsidRPr="00571A7C">
        <w:rPr>
          <w:rFonts w:ascii="Sylfaen" w:hAnsi="Sylfaen"/>
        </w:rPr>
        <w:t xml:space="preserve"> </w:t>
      </w:r>
      <w:r w:rsidR="00B87F6D" w:rsidRPr="00571A7C">
        <w:rPr>
          <w:rFonts w:ascii="Sylfaen" w:hAnsi="Sylfaen"/>
        </w:rPr>
        <w:t>are</w:t>
      </w:r>
      <w:r w:rsidR="00BF6627" w:rsidRPr="00571A7C">
        <w:rPr>
          <w:rFonts w:ascii="Sylfaen" w:hAnsi="Sylfaen"/>
        </w:rPr>
        <w:t xml:space="preserve"> caused by aging instead of </w:t>
      </w:r>
      <w:r w:rsidR="009E69C1" w:rsidRPr="00571A7C">
        <w:rPr>
          <w:rFonts w:ascii="Sylfaen" w:hAnsi="Sylfaen"/>
        </w:rPr>
        <w:t xml:space="preserve">inherited </w:t>
      </w:r>
      <w:r w:rsidR="00BF6627" w:rsidRPr="00571A7C">
        <w:rPr>
          <w:rFonts w:ascii="Sylfaen" w:hAnsi="Sylfaen"/>
        </w:rPr>
        <w:t>genetic</w:t>
      </w:r>
      <w:r w:rsidR="009E69C1" w:rsidRPr="00571A7C">
        <w:rPr>
          <w:rFonts w:ascii="Sylfaen" w:hAnsi="Sylfaen"/>
        </w:rPr>
        <w:t xml:space="preserve"> risk factors</w:t>
      </w:r>
      <w:r w:rsidR="0095359E" w:rsidRPr="00571A7C">
        <w:rPr>
          <w:rFonts w:ascii="Sylfaen" w:hAnsi="Sylfaen"/>
        </w:rPr>
        <w:t xml:space="preserve"> </w:t>
      </w:r>
      <w:r w:rsidR="00D47300" w:rsidRPr="00571A7C">
        <w:rPr>
          <w:rFonts w:ascii="Sylfaen" w:hAnsi="Sylfaen"/>
        </w:rPr>
        <w:t>(Alzheimer’s Society, 20</w:t>
      </w:r>
      <w:r w:rsidR="00D52615" w:rsidRPr="00571A7C">
        <w:rPr>
          <w:rFonts w:ascii="Sylfaen" w:hAnsi="Sylfaen"/>
        </w:rPr>
        <w:t xml:space="preserve">20; </w:t>
      </w:r>
      <w:r w:rsidR="00484174" w:rsidRPr="00571A7C">
        <w:rPr>
          <w:rFonts w:ascii="Sylfaen" w:hAnsi="Sylfaen"/>
        </w:rPr>
        <w:t>Alzheimer’s Society, No Date</w:t>
      </w:r>
      <w:r w:rsidR="000D407D" w:rsidRPr="00571A7C">
        <w:rPr>
          <w:rFonts w:ascii="Sylfaen" w:hAnsi="Sylfaen"/>
        </w:rPr>
        <w:t xml:space="preserve">; </w:t>
      </w:r>
      <w:r w:rsidR="00E03EA8" w:rsidRPr="00571A7C">
        <w:rPr>
          <w:rFonts w:ascii="Sylfaen" w:hAnsi="Sylfaen"/>
        </w:rPr>
        <w:t>Tanzi, 2012</w:t>
      </w:r>
      <w:r w:rsidR="00D47300" w:rsidRPr="00571A7C">
        <w:rPr>
          <w:rFonts w:ascii="Sylfaen" w:hAnsi="Sylfaen"/>
        </w:rPr>
        <w:t>)</w:t>
      </w:r>
      <w:r w:rsidR="009E69C1" w:rsidRPr="00571A7C">
        <w:rPr>
          <w:rFonts w:ascii="Sylfaen" w:hAnsi="Sylfaen"/>
        </w:rPr>
        <w:t>.</w:t>
      </w:r>
      <w:r w:rsidR="00D87659" w:rsidRPr="00571A7C">
        <w:rPr>
          <w:rFonts w:ascii="Sylfaen" w:hAnsi="Sylfaen"/>
        </w:rPr>
        <w:t xml:space="preserve"> </w:t>
      </w:r>
      <w:r w:rsidR="002F15F0" w:rsidRPr="00571A7C">
        <w:rPr>
          <w:rFonts w:ascii="Sylfaen" w:hAnsi="Sylfaen"/>
        </w:rPr>
        <w:t>Therefore, an</w:t>
      </w:r>
      <w:r w:rsidR="003F0FD0" w:rsidRPr="00571A7C">
        <w:rPr>
          <w:rFonts w:ascii="Sylfaen" w:hAnsi="Sylfaen"/>
        </w:rPr>
        <w:t>y</w:t>
      </w:r>
      <w:r w:rsidR="00DA292F" w:rsidRPr="00571A7C">
        <w:rPr>
          <w:rFonts w:ascii="Sylfaen" w:hAnsi="Sylfaen"/>
        </w:rPr>
        <w:t xml:space="preserve"> advancements in the study of HD </w:t>
      </w:r>
      <w:r w:rsidR="00CC5695" w:rsidRPr="00571A7C">
        <w:rPr>
          <w:rFonts w:ascii="Sylfaen" w:hAnsi="Sylfaen"/>
        </w:rPr>
        <w:t xml:space="preserve">that </w:t>
      </w:r>
      <w:r w:rsidR="002A5483" w:rsidRPr="00571A7C">
        <w:rPr>
          <w:rFonts w:ascii="Sylfaen" w:hAnsi="Sylfaen"/>
        </w:rPr>
        <w:t>le</w:t>
      </w:r>
      <w:r w:rsidR="002A5483">
        <w:rPr>
          <w:rFonts w:ascii="Sylfaen" w:hAnsi="Sylfaen"/>
        </w:rPr>
        <w:t>a</w:t>
      </w:r>
      <w:r w:rsidR="002A5483" w:rsidRPr="00571A7C">
        <w:rPr>
          <w:rFonts w:ascii="Sylfaen" w:hAnsi="Sylfaen"/>
        </w:rPr>
        <w:t>d</w:t>
      </w:r>
      <w:r w:rsidR="00CC5695" w:rsidRPr="00571A7C">
        <w:rPr>
          <w:rFonts w:ascii="Sylfaen" w:hAnsi="Sylfaen"/>
        </w:rPr>
        <w:t xml:space="preserve"> to advancements in Alzheimer’s research wil</w:t>
      </w:r>
      <w:r w:rsidR="006D0FDA" w:rsidRPr="00571A7C">
        <w:rPr>
          <w:rFonts w:ascii="Sylfaen" w:hAnsi="Sylfaen"/>
        </w:rPr>
        <w:t>l impact a significantly larger population than</w:t>
      </w:r>
      <w:r w:rsidR="001F5E51" w:rsidRPr="00571A7C">
        <w:rPr>
          <w:rFonts w:ascii="Sylfaen" w:hAnsi="Sylfaen"/>
        </w:rPr>
        <w:t xml:space="preserve"> only those with HD.</w:t>
      </w:r>
    </w:p>
    <w:p w14:paraId="69259431" w14:textId="104AE727" w:rsidR="00AF6825" w:rsidRPr="00571A7C" w:rsidRDefault="60650A52" w:rsidP="003F5FDE">
      <w:pPr>
        <w:spacing w:after="160" w:line="360" w:lineRule="auto"/>
        <w:jc w:val="both"/>
        <w:rPr>
          <w:rFonts w:ascii="Sylfaen" w:hAnsi="Sylfaen"/>
        </w:rPr>
      </w:pPr>
      <w:r w:rsidRPr="60650A52">
        <w:rPr>
          <w:rFonts w:ascii="Sylfaen" w:hAnsi="Sylfaen"/>
        </w:rPr>
        <w:t>HD is autosomal-dominant, meaning it is caused by a mutation in a non-sex chromosome gene that has a 50% chance of being passed on if one parent has the mutated gene. The mutation is in the HTT gene that codes for the protein huntingtin (Figure 1). Specifically, it occurs in the CAG repeats of the gene, which consists of a cytosine-adenine-guanine repetitive DNA sequence that codes for a polyglutamine amino acid sequence, with glutamine being the corresponding amino acid for these triplet bases. This mutation causes an expansion of these repeats, leading to the production of abnormal, misfolded huntingtin protein (Nopoulos, 2016) (Figure 2).</w:t>
      </w:r>
    </w:p>
    <w:p w14:paraId="213B9B16" w14:textId="77777777" w:rsidR="00AF6825" w:rsidRPr="00571A7C" w:rsidRDefault="00AF6825" w:rsidP="003F5FDE">
      <w:pPr>
        <w:spacing w:after="160" w:line="360" w:lineRule="auto"/>
        <w:jc w:val="both"/>
        <w:rPr>
          <w:rFonts w:ascii="Sylfaen" w:hAnsi="Sylfaen"/>
        </w:rPr>
      </w:pPr>
    </w:p>
    <w:p w14:paraId="1B91FD6A" w14:textId="7EBE78F6" w:rsidR="00186A64" w:rsidRPr="00571A7C" w:rsidRDefault="00041899" w:rsidP="00041899">
      <w:pPr>
        <w:spacing w:after="160" w:line="360" w:lineRule="auto"/>
        <w:jc w:val="center"/>
        <w:rPr>
          <w:rFonts w:ascii="Sylfaen" w:hAnsi="Sylfaen"/>
        </w:rPr>
      </w:pPr>
      <w:r w:rsidRPr="00571A7C">
        <w:rPr>
          <w:rFonts w:ascii="Sylfaen" w:hAnsi="Sylfaen"/>
          <w:noProof/>
        </w:rPr>
        <w:lastRenderedPageBreak/>
        <w:drawing>
          <wp:inline distT="0" distB="0" distL="0" distR="0" wp14:anchorId="4F049C37" wp14:editId="037B261F">
            <wp:extent cx="2887883" cy="2870182"/>
            <wp:effectExtent l="0" t="0" r="8255" b="6985"/>
            <wp:docPr id="1758362580" name="Picture 1" descr="Figure 1. Structure of Native Huntingtin Protein Produced by X-Ray Diffraction. &#10;&#10;The protein used was produced from the genome of Homo sapiens. The three domains of the cyclic homotrimer protein are coloured green, orange, and purple respectively (Kim et al., 2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362580" name="Picture 1" descr="Figure 1. Structure of Native Huntingtin Protein Produced by X-Ray Diffraction. &#10;&#10;The protein used was produced from the genome of Homo sapiens. The three domains of the cyclic homotrimer protein are coloured green, orange, and purple respectively (Kim et al., 2009)."/>
                    <pic:cNvPicPr>
                      <a:picLocks noChangeAspect="1" noChangeArrowheads="1"/>
                    </pic:cNvPicPr>
                  </pic:nvPicPr>
                  <pic:blipFill rotWithShape="1">
                    <a:blip r:embed="rId8">
                      <a:extLst>
                        <a:ext uri="{28A0092B-C50C-407E-A947-70E740481C1C}">
                          <a14:useLocalDpi xmlns:a14="http://schemas.microsoft.com/office/drawing/2010/main" val="0"/>
                        </a:ext>
                      </a:extLst>
                    </a:blip>
                    <a:srcRect l="6935" t="7974" r="6547" b="6039"/>
                    <a:stretch/>
                  </pic:blipFill>
                  <pic:spPr bwMode="auto">
                    <a:xfrm>
                      <a:off x="0" y="0"/>
                      <a:ext cx="2913582" cy="2895724"/>
                    </a:xfrm>
                    <a:prstGeom prst="rect">
                      <a:avLst/>
                    </a:prstGeom>
                    <a:noFill/>
                    <a:ln>
                      <a:noFill/>
                    </a:ln>
                    <a:extLst>
                      <a:ext uri="{53640926-AAD7-44D8-BBD7-CCE9431645EC}">
                        <a14:shadowObscured xmlns:a14="http://schemas.microsoft.com/office/drawing/2010/main"/>
                      </a:ext>
                    </a:extLst>
                  </pic:spPr>
                </pic:pic>
              </a:graphicData>
            </a:graphic>
          </wp:inline>
        </w:drawing>
      </w:r>
    </w:p>
    <w:p w14:paraId="4ECF9102" w14:textId="34FDB066" w:rsidR="00186A64" w:rsidRPr="00571A7C" w:rsidRDefault="00041899" w:rsidP="00041899">
      <w:pPr>
        <w:spacing w:after="160" w:line="360" w:lineRule="auto"/>
        <w:jc w:val="center"/>
        <w:rPr>
          <w:rFonts w:ascii="Sylfaen" w:hAnsi="Sylfaen"/>
          <w:i/>
          <w:iCs/>
        </w:rPr>
      </w:pPr>
      <w:r w:rsidRPr="00571A7C">
        <w:rPr>
          <w:rFonts w:ascii="Sylfaen" w:hAnsi="Sylfaen"/>
          <w:b/>
          <w:bCs/>
          <w:i/>
          <w:iCs/>
        </w:rPr>
        <w:t>Figure 1.</w:t>
      </w:r>
      <w:r w:rsidR="00AF6825" w:rsidRPr="00571A7C">
        <w:rPr>
          <w:rFonts w:ascii="Sylfaen" w:hAnsi="Sylfaen"/>
          <w:b/>
          <w:bCs/>
          <w:i/>
          <w:iCs/>
        </w:rPr>
        <w:t xml:space="preserve"> </w:t>
      </w:r>
      <w:r w:rsidR="00A57EC0" w:rsidRPr="00571A7C">
        <w:rPr>
          <w:rFonts w:ascii="Sylfaen" w:hAnsi="Sylfaen"/>
          <w:b/>
          <w:bCs/>
          <w:i/>
          <w:iCs/>
        </w:rPr>
        <w:t xml:space="preserve">Structure of </w:t>
      </w:r>
      <w:r w:rsidR="002175EB" w:rsidRPr="00571A7C">
        <w:rPr>
          <w:rFonts w:ascii="Sylfaen" w:hAnsi="Sylfaen"/>
          <w:b/>
          <w:bCs/>
          <w:i/>
          <w:iCs/>
        </w:rPr>
        <w:t xml:space="preserve">Native </w:t>
      </w:r>
      <w:r w:rsidR="00A57EC0" w:rsidRPr="00571A7C">
        <w:rPr>
          <w:rFonts w:ascii="Sylfaen" w:hAnsi="Sylfaen"/>
          <w:b/>
          <w:bCs/>
          <w:i/>
          <w:iCs/>
        </w:rPr>
        <w:t>Huntingtin Protein</w:t>
      </w:r>
      <w:r w:rsidR="00E10BCC" w:rsidRPr="00571A7C">
        <w:rPr>
          <w:rFonts w:ascii="Sylfaen" w:hAnsi="Sylfaen"/>
          <w:b/>
          <w:bCs/>
          <w:i/>
          <w:iCs/>
        </w:rPr>
        <w:t xml:space="preserve"> Produced by X-Ray Diffraction. </w:t>
      </w:r>
      <w:r w:rsidR="00642467" w:rsidRPr="00571A7C">
        <w:rPr>
          <w:rFonts w:ascii="Sylfaen" w:hAnsi="Sylfaen"/>
          <w:i/>
          <w:iCs/>
        </w:rPr>
        <w:t>The p</w:t>
      </w:r>
      <w:r w:rsidR="00AE5E77" w:rsidRPr="00571A7C">
        <w:rPr>
          <w:rFonts w:ascii="Sylfaen" w:hAnsi="Sylfaen"/>
          <w:i/>
          <w:iCs/>
        </w:rPr>
        <w:t>rotein</w:t>
      </w:r>
      <w:r w:rsidR="00642467" w:rsidRPr="00571A7C">
        <w:rPr>
          <w:rFonts w:ascii="Sylfaen" w:hAnsi="Sylfaen"/>
          <w:i/>
          <w:iCs/>
        </w:rPr>
        <w:t xml:space="preserve"> </w:t>
      </w:r>
      <w:r w:rsidR="00853394" w:rsidRPr="00571A7C">
        <w:rPr>
          <w:rFonts w:ascii="Sylfaen" w:hAnsi="Sylfaen"/>
          <w:i/>
          <w:iCs/>
        </w:rPr>
        <w:t xml:space="preserve">used </w:t>
      </w:r>
      <w:r w:rsidR="00C77512" w:rsidRPr="00571A7C">
        <w:rPr>
          <w:rFonts w:ascii="Sylfaen" w:hAnsi="Sylfaen"/>
          <w:i/>
          <w:iCs/>
        </w:rPr>
        <w:t xml:space="preserve">was produced from the genome of </w:t>
      </w:r>
      <w:r w:rsidR="00F629A2" w:rsidRPr="00571A7C">
        <w:rPr>
          <w:rFonts w:ascii="Sylfaen" w:hAnsi="Sylfaen"/>
          <w:i/>
          <w:iCs/>
        </w:rPr>
        <w:t>Homo sapiens.</w:t>
      </w:r>
      <w:r w:rsidR="00901DC4" w:rsidRPr="00571A7C">
        <w:rPr>
          <w:rFonts w:ascii="Sylfaen" w:hAnsi="Sylfaen"/>
          <w:i/>
          <w:iCs/>
        </w:rPr>
        <w:t xml:space="preserve"> The three domains of the </w:t>
      </w:r>
      <w:r w:rsidR="00746AFF" w:rsidRPr="00571A7C">
        <w:rPr>
          <w:rFonts w:ascii="Sylfaen" w:hAnsi="Sylfaen"/>
          <w:i/>
          <w:iCs/>
        </w:rPr>
        <w:t xml:space="preserve">cyclic </w:t>
      </w:r>
      <w:r w:rsidR="00FF17B7" w:rsidRPr="00571A7C">
        <w:rPr>
          <w:rFonts w:ascii="Sylfaen" w:hAnsi="Sylfaen"/>
          <w:i/>
          <w:iCs/>
        </w:rPr>
        <w:t>homotrimer</w:t>
      </w:r>
      <w:r w:rsidR="00901DC4" w:rsidRPr="00571A7C">
        <w:rPr>
          <w:rFonts w:ascii="Sylfaen" w:hAnsi="Sylfaen"/>
          <w:i/>
          <w:iCs/>
        </w:rPr>
        <w:t xml:space="preserve"> protein are coloured gr</w:t>
      </w:r>
      <w:r w:rsidR="00CA146D" w:rsidRPr="00571A7C">
        <w:rPr>
          <w:rFonts w:ascii="Sylfaen" w:hAnsi="Sylfaen"/>
          <w:i/>
          <w:iCs/>
        </w:rPr>
        <w:t>een, orange, and purple respectively</w:t>
      </w:r>
      <w:r w:rsidR="004F525A" w:rsidRPr="00571A7C">
        <w:rPr>
          <w:rFonts w:ascii="Sylfaen" w:hAnsi="Sylfaen"/>
          <w:i/>
          <w:iCs/>
        </w:rPr>
        <w:t xml:space="preserve"> (Kim et al., 2009)</w:t>
      </w:r>
      <w:r w:rsidR="00CA146D" w:rsidRPr="00571A7C">
        <w:rPr>
          <w:rFonts w:ascii="Sylfaen" w:hAnsi="Sylfaen"/>
          <w:i/>
          <w:iCs/>
        </w:rPr>
        <w:t>.</w:t>
      </w:r>
    </w:p>
    <w:p w14:paraId="0B585A38" w14:textId="77777777" w:rsidR="005950D0" w:rsidRPr="00571A7C" w:rsidRDefault="005950D0" w:rsidP="005950D0">
      <w:pPr>
        <w:spacing w:after="160" w:line="360" w:lineRule="auto"/>
        <w:rPr>
          <w:rFonts w:ascii="Sylfaen" w:hAnsi="Sylfaen"/>
        </w:rPr>
      </w:pPr>
    </w:p>
    <w:p w14:paraId="1D271C70" w14:textId="35556BD7" w:rsidR="00BF63BE" w:rsidRPr="00571A7C" w:rsidRDefault="00BF63BE" w:rsidP="006A7AC6">
      <w:pPr>
        <w:spacing w:after="160" w:line="360" w:lineRule="auto"/>
        <w:jc w:val="center"/>
        <w:rPr>
          <w:rFonts w:ascii="Sylfaen" w:hAnsi="Sylfaen"/>
        </w:rPr>
      </w:pPr>
      <w:r w:rsidRPr="00571A7C">
        <w:rPr>
          <w:rFonts w:ascii="Sylfaen" w:hAnsi="Sylfaen"/>
          <w:noProof/>
        </w:rPr>
        <w:drawing>
          <wp:inline distT="0" distB="0" distL="0" distR="0" wp14:anchorId="2916EC4D" wp14:editId="72275458">
            <wp:extent cx="4820323" cy="3096057"/>
            <wp:effectExtent l="0" t="0" r="0" b="9525"/>
            <wp:docPr id="1022555565" name="Picture 1" descr="Figure 2. Diagram Showing the Differences in the CAG Repeat Region Between a Healthy and Disease-Causing HTT Gene. &#10;&#10;The yellow boxes show parts of the CAG repeat region and its expansion in the disease-causing HTT gene (labelled “Huntington’s Disease Gene”). Normal and misfolded / disease-causing proteins are portrayed by yellow (non-repeated) and red (repeated) circles which represent individual glutamine molecules. Arrows show how each “CAG” codes for a single glutamine molecule (NIST, 2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2555565" name="Picture 1" descr="Figure 2. Diagram Showing the Differences in the CAG Repeat Region Between a Healthy and Disease-Causing HTT Gene. &#10;&#10;The yellow boxes show parts of the CAG repeat region and its expansion in the disease-causing HTT gene (labelled “Huntington’s Disease Gene”). Normal and misfolded / disease-causing proteins are portrayed by yellow (non-repeated) and red (repeated) circles which represent individual glutamine molecules. Arrows show how each “CAG” codes for a single glutamine molecule (NIST, 2011)."/>
                    <pic:cNvPicPr/>
                  </pic:nvPicPr>
                  <pic:blipFill>
                    <a:blip r:embed="rId9"/>
                    <a:stretch>
                      <a:fillRect/>
                    </a:stretch>
                  </pic:blipFill>
                  <pic:spPr>
                    <a:xfrm>
                      <a:off x="0" y="0"/>
                      <a:ext cx="4820323" cy="3096057"/>
                    </a:xfrm>
                    <a:prstGeom prst="rect">
                      <a:avLst/>
                    </a:prstGeom>
                  </pic:spPr>
                </pic:pic>
              </a:graphicData>
            </a:graphic>
          </wp:inline>
        </w:drawing>
      </w:r>
    </w:p>
    <w:p w14:paraId="0E48BE29" w14:textId="4AF34680" w:rsidR="006A7AC6" w:rsidRPr="00571A7C" w:rsidRDefault="00363EF4" w:rsidP="006A7AC6">
      <w:pPr>
        <w:spacing w:after="160" w:line="360" w:lineRule="auto"/>
        <w:jc w:val="center"/>
        <w:rPr>
          <w:rFonts w:ascii="Sylfaen" w:hAnsi="Sylfaen"/>
          <w:i/>
          <w:iCs/>
        </w:rPr>
      </w:pPr>
      <w:r w:rsidRPr="00571A7C">
        <w:rPr>
          <w:rFonts w:ascii="Sylfaen" w:hAnsi="Sylfaen"/>
          <w:b/>
          <w:bCs/>
          <w:i/>
          <w:iCs/>
        </w:rPr>
        <w:t xml:space="preserve">Figure </w:t>
      </w:r>
      <w:r w:rsidR="00BC2F85" w:rsidRPr="00571A7C">
        <w:rPr>
          <w:rFonts w:ascii="Sylfaen" w:hAnsi="Sylfaen"/>
          <w:b/>
          <w:bCs/>
          <w:i/>
          <w:iCs/>
        </w:rPr>
        <w:t>2</w:t>
      </w:r>
      <w:r w:rsidRPr="00571A7C">
        <w:rPr>
          <w:rFonts w:ascii="Sylfaen" w:hAnsi="Sylfaen"/>
          <w:b/>
          <w:bCs/>
          <w:i/>
          <w:iCs/>
        </w:rPr>
        <w:t xml:space="preserve">. </w:t>
      </w:r>
      <w:r w:rsidR="00B71211" w:rsidRPr="00571A7C">
        <w:rPr>
          <w:rFonts w:ascii="Sylfaen" w:hAnsi="Sylfaen"/>
          <w:b/>
          <w:bCs/>
          <w:i/>
          <w:iCs/>
        </w:rPr>
        <w:t xml:space="preserve">Diagram </w:t>
      </w:r>
      <w:r w:rsidR="00B903EE" w:rsidRPr="00571A7C">
        <w:rPr>
          <w:rFonts w:ascii="Sylfaen" w:hAnsi="Sylfaen"/>
          <w:b/>
          <w:bCs/>
          <w:i/>
          <w:iCs/>
        </w:rPr>
        <w:t>S</w:t>
      </w:r>
      <w:r w:rsidR="00B71211" w:rsidRPr="00571A7C">
        <w:rPr>
          <w:rFonts w:ascii="Sylfaen" w:hAnsi="Sylfaen"/>
          <w:b/>
          <w:bCs/>
          <w:i/>
          <w:iCs/>
        </w:rPr>
        <w:t xml:space="preserve">howing the </w:t>
      </w:r>
      <w:r w:rsidR="00B903EE" w:rsidRPr="00571A7C">
        <w:rPr>
          <w:rFonts w:ascii="Sylfaen" w:hAnsi="Sylfaen"/>
          <w:b/>
          <w:bCs/>
          <w:i/>
          <w:iCs/>
        </w:rPr>
        <w:t>D</w:t>
      </w:r>
      <w:r w:rsidR="00B71211" w:rsidRPr="00571A7C">
        <w:rPr>
          <w:rFonts w:ascii="Sylfaen" w:hAnsi="Sylfaen"/>
          <w:b/>
          <w:bCs/>
          <w:i/>
          <w:iCs/>
        </w:rPr>
        <w:t xml:space="preserve">ifferences </w:t>
      </w:r>
      <w:r w:rsidR="00365A08" w:rsidRPr="00571A7C">
        <w:rPr>
          <w:rFonts w:ascii="Sylfaen" w:hAnsi="Sylfaen"/>
          <w:b/>
          <w:bCs/>
          <w:i/>
          <w:iCs/>
        </w:rPr>
        <w:t xml:space="preserve">in the CAG </w:t>
      </w:r>
      <w:r w:rsidR="00B903EE" w:rsidRPr="00571A7C">
        <w:rPr>
          <w:rFonts w:ascii="Sylfaen" w:hAnsi="Sylfaen"/>
          <w:b/>
          <w:bCs/>
          <w:i/>
          <w:iCs/>
        </w:rPr>
        <w:t>R</w:t>
      </w:r>
      <w:r w:rsidR="00365A08" w:rsidRPr="00571A7C">
        <w:rPr>
          <w:rFonts w:ascii="Sylfaen" w:hAnsi="Sylfaen"/>
          <w:b/>
          <w:bCs/>
          <w:i/>
          <w:iCs/>
        </w:rPr>
        <w:t xml:space="preserve">epeat </w:t>
      </w:r>
      <w:r w:rsidR="00B903EE" w:rsidRPr="00571A7C">
        <w:rPr>
          <w:rFonts w:ascii="Sylfaen" w:hAnsi="Sylfaen"/>
          <w:b/>
          <w:bCs/>
          <w:i/>
          <w:iCs/>
        </w:rPr>
        <w:t>R</w:t>
      </w:r>
      <w:r w:rsidR="00365A08" w:rsidRPr="00571A7C">
        <w:rPr>
          <w:rFonts w:ascii="Sylfaen" w:hAnsi="Sylfaen"/>
          <w:b/>
          <w:bCs/>
          <w:i/>
          <w:iCs/>
        </w:rPr>
        <w:t xml:space="preserve">egion </w:t>
      </w:r>
      <w:r w:rsidR="00001020" w:rsidRPr="00571A7C">
        <w:rPr>
          <w:rFonts w:ascii="Sylfaen" w:hAnsi="Sylfaen"/>
          <w:b/>
          <w:bCs/>
          <w:i/>
          <w:iCs/>
        </w:rPr>
        <w:t>B</w:t>
      </w:r>
      <w:r w:rsidR="00B71211" w:rsidRPr="00571A7C">
        <w:rPr>
          <w:rFonts w:ascii="Sylfaen" w:hAnsi="Sylfaen"/>
          <w:b/>
          <w:bCs/>
          <w:i/>
          <w:iCs/>
        </w:rPr>
        <w:t xml:space="preserve">etween </w:t>
      </w:r>
      <w:r w:rsidR="00C24691" w:rsidRPr="00571A7C">
        <w:rPr>
          <w:rFonts w:ascii="Sylfaen" w:hAnsi="Sylfaen"/>
          <w:b/>
          <w:bCs/>
          <w:i/>
          <w:iCs/>
        </w:rPr>
        <w:t xml:space="preserve">a </w:t>
      </w:r>
      <w:r w:rsidR="00001020" w:rsidRPr="00571A7C">
        <w:rPr>
          <w:rFonts w:ascii="Sylfaen" w:hAnsi="Sylfaen"/>
          <w:b/>
          <w:bCs/>
          <w:i/>
          <w:iCs/>
        </w:rPr>
        <w:t>H</w:t>
      </w:r>
      <w:r w:rsidR="00B71211" w:rsidRPr="00571A7C">
        <w:rPr>
          <w:rFonts w:ascii="Sylfaen" w:hAnsi="Sylfaen"/>
          <w:b/>
          <w:bCs/>
          <w:i/>
          <w:iCs/>
        </w:rPr>
        <w:t xml:space="preserve">ealthy and </w:t>
      </w:r>
      <w:r w:rsidR="00001020" w:rsidRPr="00571A7C">
        <w:rPr>
          <w:rFonts w:ascii="Sylfaen" w:hAnsi="Sylfaen"/>
          <w:b/>
          <w:bCs/>
          <w:i/>
          <w:iCs/>
        </w:rPr>
        <w:t>D</w:t>
      </w:r>
      <w:r w:rsidR="00C24691" w:rsidRPr="00571A7C">
        <w:rPr>
          <w:rFonts w:ascii="Sylfaen" w:hAnsi="Sylfaen"/>
          <w:b/>
          <w:bCs/>
          <w:i/>
          <w:iCs/>
        </w:rPr>
        <w:t>isease-</w:t>
      </w:r>
      <w:r w:rsidR="00001020" w:rsidRPr="00571A7C">
        <w:rPr>
          <w:rFonts w:ascii="Sylfaen" w:hAnsi="Sylfaen"/>
          <w:b/>
          <w:bCs/>
          <w:i/>
          <w:iCs/>
        </w:rPr>
        <w:t>C</w:t>
      </w:r>
      <w:r w:rsidR="00C24691" w:rsidRPr="00571A7C">
        <w:rPr>
          <w:rFonts w:ascii="Sylfaen" w:hAnsi="Sylfaen"/>
          <w:b/>
          <w:bCs/>
          <w:i/>
          <w:iCs/>
        </w:rPr>
        <w:t xml:space="preserve">ausing HTT </w:t>
      </w:r>
      <w:r w:rsidR="00001020" w:rsidRPr="00571A7C">
        <w:rPr>
          <w:rFonts w:ascii="Sylfaen" w:hAnsi="Sylfaen"/>
          <w:b/>
          <w:bCs/>
          <w:i/>
          <w:iCs/>
        </w:rPr>
        <w:t>G</w:t>
      </w:r>
      <w:r w:rsidR="00C24691" w:rsidRPr="00571A7C">
        <w:rPr>
          <w:rFonts w:ascii="Sylfaen" w:hAnsi="Sylfaen"/>
          <w:b/>
          <w:bCs/>
          <w:i/>
          <w:iCs/>
        </w:rPr>
        <w:t>ene</w:t>
      </w:r>
      <w:r w:rsidR="00775ED9" w:rsidRPr="00571A7C">
        <w:rPr>
          <w:rFonts w:ascii="Sylfaen" w:hAnsi="Sylfaen"/>
          <w:b/>
          <w:bCs/>
          <w:i/>
          <w:iCs/>
        </w:rPr>
        <w:t xml:space="preserve">. </w:t>
      </w:r>
      <w:r w:rsidR="00AE5860" w:rsidRPr="00571A7C">
        <w:rPr>
          <w:rFonts w:ascii="Sylfaen" w:hAnsi="Sylfaen"/>
          <w:i/>
          <w:iCs/>
        </w:rPr>
        <w:t xml:space="preserve">The yellow boxes show parts of the CAG repeat region and </w:t>
      </w:r>
      <w:r w:rsidR="00FE03C3" w:rsidRPr="00571A7C">
        <w:rPr>
          <w:rFonts w:ascii="Sylfaen" w:hAnsi="Sylfaen"/>
          <w:i/>
          <w:iCs/>
        </w:rPr>
        <w:t xml:space="preserve">its expansion in the disease-causing HTT gene </w:t>
      </w:r>
      <w:r w:rsidR="00A57726" w:rsidRPr="00571A7C">
        <w:rPr>
          <w:rFonts w:ascii="Sylfaen" w:hAnsi="Sylfaen"/>
          <w:i/>
          <w:iCs/>
        </w:rPr>
        <w:t>(labelled “Huntington’s Disease Gene”).</w:t>
      </w:r>
      <w:r w:rsidR="006D43BF" w:rsidRPr="00571A7C">
        <w:rPr>
          <w:rFonts w:ascii="Sylfaen" w:hAnsi="Sylfaen"/>
          <w:i/>
          <w:iCs/>
        </w:rPr>
        <w:t xml:space="preserve"> </w:t>
      </w:r>
      <w:r w:rsidR="00991E5D" w:rsidRPr="00571A7C">
        <w:rPr>
          <w:rFonts w:ascii="Sylfaen" w:hAnsi="Sylfaen"/>
          <w:i/>
          <w:iCs/>
        </w:rPr>
        <w:t xml:space="preserve">Normal and </w:t>
      </w:r>
      <w:r w:rsidR="00991E5D" w:rsidRPr="00571A7C">
        <w:rPr>
          <w:rFonts w:ascii="Sylfaen" w:hAnsi="Sylfaen"/>
          <w:i/>
          <w:iCs/>
        </w:rPr>
        <w:lastRenderedPageBreak/>
        <w:t xml:space="preserve">misfolded / disease-causing proteins are </w:t>
      </w:r>
      <w:r w:rsidR="00AA0B46" w:rsidRPr="00571A7C">
        <w:rPr>
          <w:rFonts w:ascii="Sylfaen" w:hAnsi="Sylfaen"/>
          <w:i/>
          <w:iCs/>
        </w:rPr>
        <w:t>portrayed by</w:t>
      </w:r>
      <w:r w:rsidR="00DD3FC7" w:rsidRPr="00571A7C">
        <w:rPr>
          <w:rFonts w:ascii="Sylfaen" w:hAnsi="Sylfaen"/>
          <w:i/>
          <w:iCs/>
        </w:rPr>
        <w:t xml:space="preserve"> yellow </w:t>
      </w:r>
      <w:r w:rsidR="00AA0B46" w:rsidRPr="00571A7C">
        <w:rPr>
          <w:rFonts w:ascii="Sylfaen" w:hAnsi="Sylfaen"/>
          <w:i/>
          <w:iCs/>
        </w:rPr>
        <w:t>(</w:t>
      </w:r>
      <w:r w:rsidR="00A551EF" w:rsidRPr="00571A7C">
        <w:rPr>
          <w:rFonts w:ascii="Sylfaen" w:hAnsi="Sylfaen"/>
          <w:i/>
          <w:iCs/>
        </w:rPr>
        <w:t>non-repeated</w:t>
      </w:r>
      <w:r w:rsidR="00CA608A" w:rsidRPr="00571A7C">
        <w:rPr>
          <w:rFonts w:ascii="Sylfaen" w:hAnsi="Sylfaen"/>
          <w:i/>
          <w:iCs/>
        </w:rPr>
        <w:t xml:space="preserve">) and red (repeated) circles which </w:t>
      </w:r>
      <w:r w:rsidR="0066013E" w:rsidRPr="00571A7C">
        <w:rPr>
          <w:rFonts w:ascii="Sylfaen" w:hAnsi="Sylfaen"/>
          <w:i/>
          <w:iCs/>
        </w:rPr>
        <w:t>represent individual glutamine molecules.</w:t>
      </w:r>
      <w:r w:rsidR="008216A8" w:rsidRPr="00571A7C">
        <w:rPr>
          <w:rFonts w:ascii="Sylfaen" w:hAnsi="Sylfaen"/>
          <w:i/>
          <w:iCs/>
        </w:rPr>
        <w:t xml:space="preserve"> Arrows show how each “CAG” codes for a single glutamine molecule</w:t>
      </w:r>
      <w:r w:rsidR="0042771B" w:rsidRPr="00571A7C">
        <w:rPr>
          <w:rFonts w:ascii="Sylfaen" w:hAnsi="Sylfaen"/>
          <w:i/>
          <w:iCs/>
        </w:rPr>
        <w:t xml:space="preserve"> (NIST, 20</w:t>
      </w:r>
      <w:r w:rsidR="009B7557" w:rsidRPr="00571A7C">
        <w:rPr>
          <w:rFonts w:ascii="Sylfaen" w:hAnsi="Sylfaen"/>
          <w:i/>
          <w:iCs/>
        </w:rPr>
        <w:t>11</w:t>
      </w:r>
      <w:r w:rsidR="0042771B" w:rsidRPr="00571A7C">
        <w:rPr>
          <w:rFonts w:ascii="Sylfaen" w:hAnsi="Sylfaen"/>
          <w:i/>
          <w:iCs/>
        </w:rPr>
        <w:t>)</w:t>
      </w:r>
      <w:r w:rsidR="008216A8" w:rsidRPr="00571A7C">
        <w:rPr>
          <w:rFonts w:ascii="Sylfaen" w:hAnsi="Sylfaen"/>
          <w:i/>
          <w:iCs/>
        </w:rPr>
        <w:t>.</w:t>
      </w:r>
    </w:p>
    <w:p w14:paraId="67CCC165" w14:textId="77777777" w:rsidR="00DB612C" w:rsidRPr="00571A7C" w:rsidRDefault="00DB612C" w:rsidP="003F5FDE">
      <w:pPr>
        <w:spacing w:after="160" w:line="360" w:lineRule="auto"/>
        <w:jc w:val="both"/>
        <w:rPr>
          <w:rFonts w:ascii="Sylfaen" w:hAnsi="Sylfaen"/>
        </w:rPr>
      </w:pPr>
    </w:p>
    <w:p w14:paraId="2D8B66ED" w14:textId="039B1E20" w:rsidR="003B3442" w:rsidRPr="00571A7C" w:rsidRDefault="60650A52" w:rsidP="003F5FDE">
      <w:pPr>
        <w:spacing w:after="160" w:line="360" w:lineRule="auto"/>
        <w:jc w:val="both"/>
        <w:rPr>
          <w:rFonts w:ascii="Sylfaen" w:hAnsi="Sylfaen"/>
        </w:rPr>
      </w:pPr>
      <w:r w:rsidRPr="60650A52">
        <w:rPr>
          <w:rFonts w:ascii="Sylfaen" w:hAnsi="Sylfaen"/>
        </w:rPr>
        <w:t>The accumulation of these mutant huntingtin (mHTT) proteins leads to a breakdown in regular motor function, cognition, and behaviour (Pagan, Torres-Yaghi and Altshuler, 2017). The mHTT proteins were found to play a key role in mitochondrial dysfunction and the impairment of the electron transport chain, which is a key component of metabolism and energy production in cells. This leads to higher oxidative stress and the release of reactive oxygen species, such as hydrogen peroxide, which ultimately damages cellular machinery and destroys neurones (Liu et al., 2017). It was also found that larger mHTT proteins – with significantly longer polyglutamine sequences – may undergo cleavage and produce shorter protein fragments due to structural breakdown. This leads to the aggregation of these protein fragments to form inclusion bodies in the nuclei (Figure 3), which will disrupt neural activity once reaching neurotoxic levels, eventually leading to cell death (Rubinsztein and Carmichael, 2003).</w:t>
      </w:r>
    </w:p>
    <w:p w14:paraId="315790DB" w14:textId="77777777" w:rsidR="003B3442" w:rsidRPr="00571A7C" w:rsidRDefault="003B3442" w:rsidP="003F5FDE">
      <w:pPr>
        <w:spacing w:after="160" w:line="360" w:lineRule="auto"/>
        <w:jc w:val="both"/>
        <w:rPr>
          <w:rFonts w:ascii="Sylfaen" w:hAnsi="Sylfaen"/>
        </w:rPr>
      </w:pPr>
    </w:p>
    <w:p w14:paraId="21923436" w14:textId="26B4F311" w:rsidR="003B3442" w:rsidRPr="00571A7C" w:rsidRDefault="003B3442" w:rsidP="003B3442">
      <w:pPr>
        <w:spacing w:after="160" w:line="360" w:lineRule="auto"/>
        <w:jc w:val="center"/>
        <w:rPr>
          <w:rFonts w:ascii="Sylfaen" w:hAnsi="Sylfaen"/>
        </w:rPr>
      </w:pPr>
      <w:r w:rsidRPr="00571A7C">
        <w:rPr>
          <w:rFonts w:ascii="Sylfaen" w:hAnsi="Sylfaen"/>
          <w:noProof/>
        </w:rPr>
        <w:lastRenderedPageBreak/>
        <w:drawing>
          <wp:inline distT="0" distB="0" distL="0" distR="0" wp14:anchorId="06DD9079" wp14:editId="10586AE9">
            <wp:extent cx="1469985" cy="4114755"/>
            <wp:effectExtent l="0" t="0" r="0" b="635"/>
            <wp:docPr id="1109580056" name="Picture 1" descr="Figure 3. Diagram Showing the Misfolding and Subsequent Aggregation of Mutant Huntingtin Fragments to Form an Inclusion Body (de Pril, 201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580056" name=""/>
                    <pic:cNvPicPr/>
                  </pic:nvPicPr>
                  <pic:blipFill rotWithShape="1">
                    <a:blip r:embed="rId10"/>
                    <a:srcRect r="4775"/>
                    <a:stretch/>
                  </pic:blipFill>
                  <pic:spPr bwMode="auto">
                    <a:xfrm>
                      <a:off x="0" y="0"/>
                      <a:ext cx="1469985" cy="4114755"/>
                    </a:xfrm>
                    <a:prstGeom prst="rect">
                      <a:avLst/>
                    </a:prstGeom>
                    <a:ln>
                      <a:noFill/>
                    </a:ln>
                    <a:extLst>
                      <a:ext uri="{53640926-AAD7-44D8-BBD7-CCE9431645EC}">
                        <a14:shadowObscured xmlns:a14="http://schemas.microsoft.com/office/drawing/2010/main"/>
                      </a:ext>
                    </a:extLst>
                  </pic:spPr>
                </pic:pic>
              </a:graphicData>
            </a:graphic>
          </wp:inline>
        </w:drawing>
      </w:r>
    </w:p>
    <w:p w14:paraId="451E7E9F" w14:textId="21141D38" w:rsidR="003B3442" w:rsidRPr="00571A7C" w:rsidRDefault="009418EF" w:rsidP="003B3442">
      <w:pPr>
        <w:spacing w:after="160" w:line="360" w:lineRule="auto"/>
        <w:jc w:val="center"/>
        <w:rPr>
          <w:rFonts w:ascii="Sylfaen" w:hAnsi="Sylfaen"/>
          <w:i/>
          <w:iCs/>
        </w:rPr>
      </w:pPr>
      <w:r w:rsidRPr="00571A7C">
        <w:rPr>
          <w:rFonts w:ascii="Sylfaen" w:hAnsi="Sylfaen"/>
          <w:b/>
          <w:bCs/>
          <w:i/>
          <w:iCs/>
        </w:rPr>
        <w:t xml:space="preserve">Figure </w:t>
      </w:r>
      <w:r w:rsidR="00BC2F85" w:rsidRPr="00571A7C">
        <w:rPr>
          <w:rFonts w:ascii="Sylfaen" w:hAnsi="Sylfaen"/>
          <w:b/>
          <w:bCs/>
          <w:i/>
          <w:iCs/>
        </w:rPr>
        <w:t>3</w:t>
      </w:r>
      <w:r w:rsidRPr="00571A7C">
        <w:rPr>
          <w:rFonts w:ascii="Sylfaen" w:hAnsi="Sylfaen"/>
          <w:b/>
          <w:bCs/>
          <w:i/>
          <w:iCs/>
        </w:rPr>
        <w:t xml:space="preserve">. </w:t>
      </w:r>
      <w:r w:rsidR="00287053" w:rsidRPr="00571A7C">
        <w:rPr>
          <w:rFonts w:ascii="Sylfaen" w:hAnsi="Sylfaen"/>
          <w:b/>
          <w:bCs/>
          <w:i/>
          <w:iCs/>
        </w:rPr>
        <w:t xml:space="preserve">Diagram </w:t>
      </w:r>
      <w:r w:rsidR="00822DDE" w:rsidRPr="00571A7C">
        <w:rPr>
          <w:rFonts w:ascii="Sylfaen" w:hAnsi="Sylfaen"/>
          <w:b/>
          <w:bCs/>
          <w:i/>
          <w:iCs/>
        </w:rPr>
        <w:t>S</w:t>
      </w:r>
      <w:r w:rsidR="00287053" w:rsidRPr="00571A7C">
        <w:rPr>
          <w:rFonts w:ascii="Sylfaen" w:hAnsi="Sylfaen"/>
          <w:b/>
          <w:bCs/>
          <w:i/>
          <w:iCs/>
        </w:rPr>
        <w:t xml:space="preserve">howing the </w:t>
      </w:r>
      <w:r w:rsidR="00822DDE" w:rsidRPr="00571A7C">
        <w:rPr>
          <w:rFonts w:ascii="Sylfaen" w:hAnsi="Sylfaen"/>
          <w:b/>
          <w:bCs/>
          <w:i/>
          <w:iCs/>
        </w:rPr>
        <w:t>M</w:t>
      </w:r>
      <w:r w:rsidR="00287053" w:rsidRPr="00571A7C">
        <w:rPr>
          <w:rFonts w:ascii="Sylfaen" w:hAnsi="Sylfaen"/>
          <w:b/>
          <w:bCs/>
          <w:i/>
          <w:iCs/>
        </w:rPr>
        <w:t xml:space="preserve">isfolding and </w:t>
      </w:r>
      <w:r w:rsidR="00822DDE" w:rsidRPr="00571A7C">
        <w:rPr>
          <w:rFonts w:ascii="Sylfaen" w:hAnsi="Sylfaen"/>
          <w:b/>
          <w:bCs/>
          <w:i/>
          <w:iCs/>
        </w:rPr>
        <w:t>S</w:t>
      </w:r>
      <w:r w:rsidR="00287053" w:rsidRPr="00571A7C">
        <w:rPr>
          <w:rFonts w:ascii="Sylfaen" w:hAnsi="Sylfaen"/>
          <w:b/>
          <w:bCs/>
          <w:i/>
          <w:iCs/>
        </w:rPr>
        <w:t xml:space="preserve">ubsequent </w:t>
      </w:r>
      <w:r w:rsidR="00822DDE" w:rsidRPr="00571A7C">
        <w:rPr>
          <w:rFonts w:ascii="Sylfaen" w:hAnsi="Sylfaen"/>
          <w:b/>
          <w:bCs/>
          <w:i/>
          <w:iCs/>
        </w:rPr>
        <w:t>A</w:t>
      </w:r>
      <w:r w:rsidR="00287053" w:rsidRPr="00571A7C">
        <w:rPr>
          <w:rFonts w:ascii="Sylfaen" w:hAnsi="Sylfaen"/>
          <w:b/>
          <w:bCs/>
          <w:i/>
          <w:iCs/>
        </w:rPr>
        <w:t xml:space="preserve">ggregation of </w:t>
      </w:r>
      <w:r w:rsidR="00822DDE" w:rsidRPr="00571A7C">
        <w:rPr>
          <w:rFonts w:ascii="Sylfaen" w:hAnsi="Sylfaen"/>
          <w:b/>
          <w:bCs/>
          <w:i/>
          <w:iCs/>
        </w:rPr>
        <w:t>M</w:t>
      </w:r>
      <w:r w:rsidR="00287053" w:rsidRPr="00571A7C">
        <w:rPr>
          <w:rFonts w:ascii="Sylfaen" w:hAnsi="Sylfaen"/>
          <w:b/>
          <w:bCs/>
          <w:i/>
          <w:iCs/>
        </w:rPr>
        <w:t xml:space="preserve">utant </w:t>
      </w:r>
      <w:r w:rsidR="00822DDE" w:rsidRPr="00571A7C">
        <w:rPr>
          <w:rFonts w:ascii="Sylfaen" w:hAnsi="Sylfaen"/>
          <w:b/>
          <w:bCs/>
          <w:i/>
          <w:iCs/>
        </w:rPr>
        <w:t>H</w:t>
      </w:r>
      <w:r w:rsidR="00287053" w:rsidRPr="00571A7C">
        <w:rPr>
          <w:rFonts w:ascii="Sylfaen" w:hAnsi="Sylfaen"/>
          <w:b/>
          <w:bCs/>
          <w:i/>
          <w:iCs/>
        </w:rPr>
        <w:t xml:space="preserve">untingtin </w:t>
      </w:r>
      <w:r w:rsidR="00822DDE" w:rsidRPr="00571A7C">
        <w:rPr>
          <w:rFonts w:ascii="Sylfaen" w:hAnsi="Sylfaen"/>
          <w:b/>
          <w:bCs/>
          <w:i/>
          <w:iCs/>
        </w:rPr>
        <w:t>F</w:t>
      </w:r>
      <w:r w:rsidR="000B35D9" w:rsidRPr="00571A7C">
        <w:rPr>
          <w:rFonts w:ascii="Sylfaen" w:hAnsi="Sylfaen"/>
          <w:b/>
          <w:bCs/>
          <w:i/>
          <w:iCs/>
        </w:rPr>
        <w:t xml:space="preserve">ragments to </w:t>
      </w:r>
      <w:r w:rsidR="00822DDE" w:rsidRPr="00571A7C">
        <w:rPr>
          <w:rFonts w:ascii="Sylfaen" w:hAnsi="Sylfaen"/>
          <w:b/>
          <w:bCs/>
          <w:i/>
          <w:iCs/>
        </w:rPr>
        <w:t>F</w:t>
      </w:r>
      <w:r w:rsidR="000B35D9" w:rsidRPr="00571A7C">
        <w:rPr>
          <w:rFonts w:ascii="Sylfaen" w:hAnsi="Sylfaen"/>
          <w:b/>
          <w:bCs/>
          <w:i/>
          <w:iCs/>
        </w:rPr>
        <w:t xml:space="preserve">orm an </w:t>
      </w:r>
      <w:r w:rsidR="00822DDE" w:rsidRPr="00571A7C">
        <w:rPr>
          <w:rFonts w:ascii="Sylfaen" w:hAnsi="Sylfaen"/>
          <w:b/>
          <w:bCs/>
          <w:i/>
          <w:iCs/>
        </w:rPr>
        <w:t>I</w:t>
      </w:r>
      <w:r w:rsidR="000B35D9" w:rsidRPr="00571A7C">
        <w:rPr>
          <w:rFonts w:ascii="Sylfaen" w:hAnsi="Sylfaen"/>
          <w:b/>
          <w:bCs/>
          <w:i/>
          <w:iCs/>
        </w:rPr>
        <w:t xml:space="preserve">nclusion </w:t>
      </w:r>
      <w:r w:rsidR="00822DDE" w:rsidRPr="00571A7C">
        <w:rPr>
          <w:rFonts w:ascii="Sylfaen" w:hAnsi="Sylfaen"/>
          <w:b/>
          <w:bCs/>
          <w:i/>
          <w:iCs/>
        </w:rPr>
        <w:t>B</w:t>
      </w:r>
      <w:r w:rsidR="000B35D9" w:rsidRPr="00571A7C">
        <w:rPr>
          <w:rFonts w:ascii="Sylfaen" w:hAnsi="Sylfaen"/>
          <w:b/>
          <w:bCs/>
          <w:i/>
          <w:iCs/>
        </w:rPr>
        <w:t>ody</w:t>
      </w:r>
      <w:r w:rsidR="000620AF" w:rsidRPr="00571A7C">
        <w:rPr>
          <w:rFonts w:ascii="Sylfaen" w:hAnsi="Sylfaen"/>
          <w:i/>
          <w:iCs/>
        </w:rPr>
        <w:t xml:space="preserve"> (de Pril, 2011)</w:t>
      </w:r>
      <w:r w:rsidR="00D06C07" w:rsidRPr="00571A7C">
        <w:rPr>
          <w:rFonts w:ascii="Sylfaen" w:hAnsi="Sylfaen"/>
          <w:i/>
          <w:iCs/>
        </w:rPr>
        <w:t>.</w:t>
      </w:r>
    </w:p>
    <w:p w14:paraId="3A5F76CC" w14:textId="77777777" w:rsidR="003B3442" w:rsidRPr="00571A7C" w:rsidRDefault="003B3442" w:rsidP="003B3442">
      <w:pPr>
        <w:spacing w:after="160" w:line="360" w:lineRule="auto"/>
        <w:rPr>
          <w:rFonts w:ascii="Sylfaen" w:hAnsi="Sylfaen"/>
        </w:rPr>
      </w:pPr>
    </w:p>
    <w:p w14:paraId="49BC082F" w14:textId="2742DB93" w:rsidR="00990D5E" w:rsidRDefault="00C37745" w:rsidP="00B322FB">
      <w:pPr>
        <w:spacing w:after="160" w:line="360" w:lineRule="auto"/>
        <w:jc w:val="both"/>
        <w:rPr>
          <w:rFonts w:ascii="Sylfaen" w:hAnsi="Sylfaen"/>
        </w:rPr>
      </w:pPr>
      <w:r w:rsidRPr="00571A7C">
        <w:rPr>
          <w:rFonts w:ascii="Sylfaen" w:hAnsi="Sylfaen"/>
        </w:rPr>
        <w:t>Th</w:t>
      </w:r>
      <w:r w:rsidR="00863467" w:rsidRPr="00571A7C">
        <w:rPr>
          <w:rFonts w:ascii="Sylfaen" w:hAnsi="Sylfaen"/>
        </w:rPr>
        <w:t>e disruption of neural activity</w:t>
      </w:r>
      <w:r w:rsidR="002A0E26" w:rsidRPr="00571A7C">
        <w:rPr>
          <w:rFonts w:ascii="Sylfaen" w:hAnsi="Sylfaen"/>
        </w:rPr>
        <w:t xml:space="preserve">, </w:t>
      </w:r>
      <w:r w:rsidR="00863467" w:rsidRPr="00571A7C">
        <w:rPr>
          <w:rFonts w:ascii="Sylfaen" w:hAnsi="Sylfaen"/>
        </w:rPr>
        <w:t xml:space="preserve">and </w:t>
      </w:r>
      <w:r w:rsidR="002A0E26" w:rsidRPr="00571A7C">
        <w:rPr>
          <w:rFonts w:ascii="Sylfaen" w:hAnsi="Sylfaen"/>
        </w:rPr>
        <w:t xml:space="preserve">later </w:t>
      </w:r>
      <w:r w:rsidR="00863467" w:rsidRPr="00571A7C">
        <w:rPr>
          <w:rFonts w:ascii="Sylfaen" w:hAnsi="Sylfaen"/>
        </w:rPr>
        <w:t>cell death</w:t>
      </w:r>
      <w:r w:rsidR="002A0E26" w:rsidRPr="00571A7C">
        <w:rPr>
          <w:rFonts w:ascii="Sylfaen" w:hAnsi="Sylfaen"/>
        </w:rPr>
        <w:t>,</w:t>
      </w:r>
      <w:r w:rsidRPr="00571A7C">
        <w:rPr>
          <w:rFonts w:ascii="Sylfaen" w:hAnsi="Sylfaen"/>
        </w:rPr>
        <w:t xml:space="preserve"> leads to the expression of the hallmark symptoms of HD. </w:t>
      </w:r>
      <w:r w:rsidR="00250E9C" w:rsidRPr="00571A7C">
        <w:rPr>
          <w:rFonts w:ascii="Sylfaen" w:hAnsi="Sylfaen"/>
        </w:rPr>
        <w:t xml:space="preserve">Late-stage HD </w:t>
      </w:r>
      <w:r w:rsidR="00E34F30" w:rsidRPr="00571A7C">
        <w:rPr>
          <w:rFonts w:ascii="Sylfaen" w:hAnsi="Sylfaen"/>
        </w:rPr>
        <w:t xml:space="preserve">can </w:t>
      </w:r>
      <w:r w:rsidR="00250E9C" w:rsidRPr="00571A7C">
        <w:rPr>
          <w:rFonts w:ascii="Sylfaen" w:hAnsi="Sylfaen"/>
        </w:rPr>
        <w:t>require full</w:t>
      </w:r>
      <w:r w:rsidR="00DD4181">
        <w:rPr>
          <w:rFonts w:ascii="Sylfaen" w:hAnsi="Sylfaen"/>
        </w:rPr>
        <w:t>-</w:t>
      </w:r>
      <w:r w:rsidR="00250E9C" w:rsidRPr="00571A7C">
        <w:rPr>
          <w:rFonts w:ascii="Sylfaen" w:hAnsi="Sylfaen"/>
        </w:rPr>
        <w:t>time nursing care because of the severity of these symptoms, which onset most commonly around the age of 40 – though they can rarely start even earlier or later (NHS, 2022)</w:t>
      </w:r>
      <w:r w:rsidR="009F609A" w:rsidRPr="00571A7C">
        <w:rPr>
          <w:rFonts w:ascii="Sylfaen" w:hAnsi="Sylfaen"/>
        </w:rPr>
        <w:t>.</w:t>
      </w:r>
    </w:p>
    <w:p w14:paraId="4AEE696C" w14:textId="77777777" w:rsidR="00BD4071" w:rsidRPr="00571A7C" w:rsidRDefault="00BD4071" w:rsidP="00B322FB">
      <w:pPr>
        <w:spacing w:after="160" w:line="360" w:lineRule="auto"/>
        <w:jc w:val="both"/>
        <w:rPr>
          <w:rFonts w:ascii="Sylfaen" w:hAnsi="Sylfaen"/>
        </w:rPr>
      </w:pPr>
    </w:p>
    <w:p w14:paraId="4CF05474" w14:textId="73F938AC" w:rsidR="009F609A" w:rsidRPr="00571A7C" w:rsidRDefault="008143FC" w:rsidP="00BD4071">
      <w:pPr>
        <w:pStyle w:val="Heading1"/>
      </w:pPr>
      <w:r w:rsidRPr="00571A7C">
        <w:t>Prevalence</w:t>
      </w:r>
      <w:r w:rsidR="00841CE7" w:rsidRPr="00571A7C">
        <w:t xml:space="preserve"> and Inheritance</w:t>
      </w:r>
      <w:r w:rsidR="009F609A" w:rsidRPr="00571A7C">
        <w:t xml:space="preserve"> </w:t>
      </w:r>
    </w:p>
    <w:p w14:paraId="37B8BCE6" w14:textId="3389BBA0" w:rsidR="002D7E09" w:rsidRPr="00571A7C" w:rsidRDefault="00F57ED8" w:rsidP="003F5FDE">
      <w:pPr>
        <w:spacing w:after="160" w:line="360" w:lineRule="auto"/>
        <w:jc w:val="both"/>
        <w:rPr>
          <w:rFonts w:ascii="Sylfaen" w:hAnsi="Sylfaen"/>
        </w:rPr>
      </w:pPr>
      <w:r w:rsidRPr="00571A7C">
        <w:rPr>
          <w:rFonts w:ascii="Sylfaen" w:hAnsi="Sylfaen"/>
        </w:rPr>
        <w:t xml:space="preserve">HD’s prevalence can be higher or lower </w:t>
      </w:r>
      <w:r w:rsidR="00841173" w:rsidRPr="00571A7C">
        <w:rPr>
          <w:rFonts w:ascii="Sylfaen" w:hAnsi="Sylfaen"/>
        </w:rPr>
        <w:t xml:space="preserve">for a given population depending on the lineage of the </w:t>
      </w:r>
      <w:r w:rsidR="00A45C5C" w:rsidRPr="00571A7C">
        <w:rPr>
          <w:rFonts w:ascii="Sylfaen" w:hAnsi="Sylfaen"/>
        </w:rPr>
        <w:t xml:space="preserve">population in question. </w:t>
      </w:r>
      <w:r w:rsidR="005D1B85" w:rsidRPr="00571A7C">
        <w:rPr>
          <w:rFonts w:ascii="Sylfaen" w:hAnsi="Sylfaen"/>
        </w:rPr>
        <w:t>For exampl</w:t>
      </w:r>
      <w:r w:rsidR="005B786C" w:rsidRPr="00571A7C">
        <w:rPr>
          <w:rFonts w:ascii="Sylfaen" w:hAnsi="Sylfaen"/>
        </w:rPr>
        <w:t>e,</w:t>
      </w:r>
      <w:r w:rsidR="003E3804" w:rsidRPr="00571A7C">
        <w:rPr>
          <w:rFonts w:ascii="Sylfaen" w:hAnsi="Sylfaen"/>
        </w:rPr>
        <w:t xml:space="preserve"> </w:t>
      </w:r>
      <w:r w:rsidR="00DD4181">
        <w:rPr>
          <w:rFonts w:ascii="Sylfaen" w:hAnsi="Sylfaen"/>
        </w:rPr>
        <w:t>i</w:t>
      </w:r>
      <w:r w:rsidR="003E3804" w:rsidRPr="00571A7C">
        <w:rPr>
          <w:rFonts w:ascii="Sylfaen" w:hAnsi="Sylfaen"/>
        </w:rPr>
        <w:t xml:space="preserve">n Europe, North America, and Australia, </w:t>
      </w:r>
      <w:r w:rsidR="00DD4181">
        <w:rPr>
          <w:rFonts w:ascii="Sylfaen" w:hAnsi="Sylfaen"/>
        </w:rPr>
        <w:t xml:space="preserve">the </w:t>
      </w:r>
      <w:r w:rsidR="003E3804" w:rsidRPr="00571A7C">
        <w:rPr>
          <w:rFonts w:ascii="Sylfaen" w:hAnsi="Sylfaen"/>
        </w:rPr>
        <w:t xml:space="preserve">overall prevalence </w:t>
      </w:r>
      <w:r w:rsidR="005D1B85" w:rsidRPr="00571A7C">
        <w:rPr>
          <w:rFonts w:ascii="Sylfaen" w:hAnsi="Sylfaen"/>
        </w:rPr>
        <w:t>is</w:t>
      </w:r>
      <w:r w:rsidR="003E3804" w:rsidRPr="00571A7C">
        <w:rPr>
          <w:rFonts w:ascii="Sylfaen" w:hAnsi="Sylfaen"/>
        </w:rPr>
        <w:t xml:space="preserve"> 5.70 per 100,000</w:t>
      </w:r>
      <w:r w:rsidR="005D1B85" w:rsidRPr="00571A7C">
        <w:rPr>
          <w:rFonts w:ascii="Sylfaen" w:hAnsi="Sylfaen"/>
        </w:rPr>
        <w:t xml:space="preserve">, with Europe </w:t>
      </w:r>
      <w:r w:rsidR="00712366" w:rsidRPr="00571A7C">
        <w:rPr>
          <w:rFonts w:ascii="Sylfaen" w:hAnsi="Sylfaen"/>
        </w:rPr>
        <w:t xml:space="preserve">alone </w:t>
      </w:r>
      <w:r w:rsidR="005D1B85" w:rsidRPr="00571A7C">
        <w:rPr>
          <w:rFonts w:ascii="Sylfaen" w:hAnsi="Sylfaen"/>
        </w:rPr>
        <w:t xml:space="preserve">having </w:t>
      </w:r>
      <w:r w:rsidR="00712366" w:rsidRPr="00571A7C">
        <w:rPr>
          <w:rFonts w:ascii="Sylfaen" w:hAnsi="Sylfaen"/>
        </w:rPr>
        <w:t>~10 per 100,000</w:t>
      </w:r>
      <w:r w:rsidR="00A26584" w:rsidRPr="00571A7C">
        <w:rPr>
          <w:rFonts w:ascii="Sylfaen" w:hAnsi="Sylfaen"/>
        </w:rPr>
        <w:t>.</w:t>
      </w:r>
      <w:r w:rsidR="003E3804" w:rsidRPr="00571A7C">
        <w:rPr>
          <w:rFonts w:ascii="Sylfaen" w:hAnsi="Sylfaen"/>
        </w:rPr>
        <w:t xml:space="preserve"> </w:t>
      </w:r>
      <w:r w:rsidR="00A26584" w:rsidRPr="00571A7C">
        <w:rPr>
          <w:rFonts w:ascii="Sylfaen" w:hAnsi="Sylfaen"/>
        </w:rPr>
        <w:t>I</w:t>
      </w:r>
      <w:r w:rsidR="003E3804" w:rsidRPr="00571A7C">
        <w:rPr>
          <w:rFonts w:ascii="Sylfaen" w:hAnsi="Sylfaen"/>
        </w:rPr>
        <w:t xml:space="preserve">n Asia, </w:t>
      </w:r>
      <w:r w:rsidR="00DD4181">
        <w:rPr>
          <w:rFonts w:ascii="Sylfaen" w:hAnsi="Sylfaen"/>
        </w:rPr>
        <w:t xml:space="preserve">the </w:t>
      </w:r>
      <w:r w:rsidR="003E3804" w:rsidRPr="00571A7C">
        <w:rPr>
          <w:rFonts w:ascii="Sylfaen" w:hAnsi="Sylfaen"/>
        </w:rPr>
        <w:t xml:space="preserve">overall prevalence </w:t>
      </w:r>
      <w:r w:rsidR="00712366" w:rsidRPr="00571A7C">
        <w:rPr>
          <w:rFonts w:ascii="Sylfaen" w:hAnsi="Sylfaen"/>
        </w:rPr>
        <w:t>is</w:t>
      </w:r>
      <w:r w:rsidR="003E3804" w:rsidRPr="00571A7C">
        <w:rPr>
          <w:rFonts w:ascii="Sylfaen" w:hAnsi="Sylfaen"/>
        </w:rPr>
        <w:t xml:space="preserve"> 0.40 per 100,000</w:t>
      </w:r>
      <w:r w:rsidR="00CD0848" w:rsidRPr="00571A7C">
        <w:rPr>
          <w:rFonts w:ascii="Sylfaen" w:hAnsi="Sylfaen"/>
        </w:rPr>
        <w:t xml:space="preserve"> </w:t>
      </w:r>
      <w:r w:rsidR="00B2771F" w:rsidRPr="00571A7C">
        <w:rPr>
          <w:rFonts w:ascii="Sylfaen" w:hAnsi="Sylfaen"/>
        </w:rPr>
        <w:t>(Pringsheim et al., 2012)</w:t>
      </w:r>
      <w:r w:rsidR="002A2B9F" w:rsidRPr="00571A7C">
        <w:rPr>
          <w:rFonts w:ascii="Sylfaen" w:hAnsi="Sylfaen"/>
        </w:rPr>
        <w:t>.</w:t>
      </w:r>
      <w:r w:rsidR="00F67C68" w:rsidRPr="00571A7C">
        <w:rPr>
          <w:rFonts w:ascii="Sylfaen" w:hAnsi="Sylfaen"/>
        </w:rPr>
        <w:t xml:space="preserve"> </w:t>
      </w:r>
      <w:r w:rsidR="009B077A" w:rsidRPr="00571A7C">
        <w:rPr>
          <w:rFonts w:ascii="Sylfaen" w:hAnsi="Sylfaen"/>
        </w:rPr>
        <w:t xml:space="preserve">Not only does this portray the rarity of HD, </w:t>
      </w:r>
      <w:r w:rsidR="009B077A" w:rsidRPr="00571A7C">
        <w:rPr>
          <w:rFonts w:ascii="Sylfaen" w:hAnsi="Sylfaen"/>
        </w:rPr>
        <w:lastRenderedPageBreak/>
        <w:t xml:space="preserve">but it also shows how </w:t>
      </w:r>
      <w:r w:rsidR="00BE6493" w:rsidRPr="00571A7C">
        <w:rPr>
          <w:rFonts w:ascii="Sylfaen" w:hAnsi="Sylfaen"/>
        </w:rPr>
        <w:t>genetic disorders can have significantly different prevalence rates around the worl</w:t>
      </w:r>
      <w:r w:rsidR="00CA121B" w:rsidRPr="00571A7C">
        <w:rPr>
          <w:rFonts w:ascii="Sylfaen" w:hAnsi="Sylfaen"/>
        </w:rPr>
        <w:t>d</w:t>
      </w:r>
      <w:r w:rsidR="008352FC" w:rsidRPr="00571A7C">
        <w:rPr>
          <w:rFonts w:ascii="Sylfaen" w:hAnsi="Sylfaen"/>
        </w:rPr>
        <w:t xml:space="preserve"> because of </w:t>
      </w:r>
      <w:r w:rsidR="00F667EE" w:rsidRPr="00571A7C">
        <w:rPr>
          <w:rFonts w:ascii="Sylfaen" w:hAnsi="Sylfaen"/>
        </w:rPr>
        <w:t xml:space="preserve">a region’s population’s </w:t>
      </w:r>
      <w:r w:rsidR="008352FC" w:rsidRPr="00571A7C">
        <w:rPr>
          <w:rFonts w:ascii="Sylfaen" w:hAnsi="Sylfaen"/>
        </w:rPr>
        <w:t>lineage</w:t>
      </w:r>
      <w:r w:rsidR="002D7E09" w:rsidRPr="00571A7C">
        <w:rPr>
          <w:rFonts w:ascii="Sylfaen" w:hAnsi="Sylfaen"/>
        </w:rPr>
        <w:t>.</w:t>
      </w:r>
    </w:p>
    <w:p w14:paraId="7D90AE79" w14:textId="16F096FA" w:rsidR="00BE4E67" w:rsidRPr="00571A7C" w:rsidRDefault="60650A52" w:rsidP="003F5FDE">
      <w:pPr>
        <w:spacing w:after="160" w:line="360" w:lineRule="auto"/>
        <w:jc w:val="both"/>
        <w:rPr>
          <w:rFonts w:ascii="Sylfaen" w:hAnsi="Sylfaen"/>
        </w:rPr>
      </w:pPr>
      <w:r w:rsidRPr="60650A52">
        <w:rPr>
          <w:rFonts w:ascii="Sylfaen" w:hAnsi="Sylfaen"/>
        </w:rPr>
        <w:t>Although there has been an increase in prevalence rates worldwide, for example, a 15-20% increase per decade in studies in Australia, North America, and Western Europe (Rawlins et al., 2016), this increase cannot be attributed solely to any increase in incidence. Factors such as better diagnostic screening, public willingness to get tested, and more funding play major roles in the reported increase in prevalence (Wexler et al., 2016). Another factor to note for recent prevalence and incidence rates is that HD does not receive equal attention across the world. Some countries, such as those in the UK, for example, have the funding and research power needed to produce modern diagnostic and treatment techniques. Some countries, such as those attributed to being third-world countries, may not have the same funding and research power, which means large numbers of patients are missed for diagnosi</w:t>
      </w:r>
      <w:r w:rsidR="008C5FCE">
        <w:rPr>
          <w:rFonts w:ascii="Sylfaen" w:hAnsi="Sylfaen"/>
        </w:rPr>
        <w:t>s</w:t>
      </w:r>
      <w:r w:rsidRPr="60650A52">
        <w:rPr>
          <w:rFonts w:ascii="Sylfaen" w:hAnsi="Sylfaen"/>
        </w:rPr>
        <w:t xml:space="preserve"> and treatment. </w:t>
      </w:r>
    </w:p>
    <w:p w14:paraId="655B5DB1" w14:textId="2A22367A" w:rsidR="002D7E09" w:rsidRPr="00571A7C" w:rsidRDefault="002D7E09" w:rsidP="003F5FDE">
      <w:pPr>
        <w:spacing w:after="160" w:line="360" w:lineRule="auto"/>
        <w:jc w:val="both"/>
        <w:rPr>
          <w:rFonts w:ascii="Sylfaen" w:hAnsi="Sylfaen"/>
        </w:rPr>
      </w:pPr>
      <w:r w:rsidRPr="00571A7C">
        <w:rPr>
          <w:rFonts w:ascii="Sylfaen" w:hAnsi="Sylfaen"/>
        </w:rPr>
        <w:t>In terms of incidence rates, in Europe, North America, and Australia, incidence rates ranged from 0.11 to 0.8 per 100,000 per year. In Asia, incidence rates ranged from 0.046 to 0.16 per 100,000 per year. According to one study’s examination of these incidence rates, no trends towards a decrease or increase in incidence over time were observed, meaning incidence has largely remained the same but prevalence has increased (Pringsheim et al., 2012). Interestingly, another study (Roos, 2010) only examined incidence in 45- to 64-year-olds and revealed an incidence rate of 0.8 per 100,000 per year (Mercy et al., 2008). This relatively high incidence rate could be explained by the fact that symptoms often develop between the ages of 30 and 50, so any symptoms that have developed enough to be noticed and attributed to HD may be spotted in the study’s range of 45- to 64-year-olds, leading to a diagnosis and an increased incidence rate for this age range. However, this study was only conducted in Cambridgeshire, United Kingdom, so this incidence rate may not represent 45- to 64-year-olds in Europe, North America, Australia, and Asia as accurately.</w:t>
      </w:r>
    </w:p>
    <w:p w14:paraId="78B7BAFF" w14:textId="7D460195" w:rsidR="00263F17" w:rsidRPr="00571A7C" w:rsidRDefault="60650A52" w:rsidP="003F5FDE">
      <w:pPr>
        <w:spacing w:after="160" w:line="360" w:lineRule="auto"/>
        <w:jc w:val="both"/>
        <w:rPr>
          <w:rFonts w:ascii="Sylfaen" w:hAnsi="Sylfaen"/>
        </w:rPr>
      </w:pPr>
      <w:r w:rsidRPr="60650A52">
        <w:rPr>
          <w:rFonts w:ascii="Sylfaen" w:hAnsi="Sylfaen"/>
        </w:rPr>
        <w:t xml:space="preserve">As mentioned previously, due to HD being a dominant genetic disorder, if one parent has the disorder, then their children have a 50% chance of having the </w:t>
      </w:r>
      <w:proofErr w:type="spellStart"/>
      <w:r w:rsidRPr="60650A52">
        <w:rPr>
          <w:rFonts w:ascii="Sylfaen" w:hAnsi="Sylfaen"/>
        </w:rPr>
        <w:t>mHTT</w:t>
      </w:r>
      <w:proofErr w:type="spellEnd"/>
      <w:r w:rsidRPr="60650A52">
        <w:rPr>
          <w:rFonts w:ascii="Sylfaen" w:hAnsi="Sylfaen"/>
        </w:rPr>
        <w:t xml:space="preserve"> gene (Walker, 2007). However, there are certain thresholds associated with the number of CAG repeats that influence the inheritance of HD - if the HTT gene contains ≤26 CAG repeats, it is considered normal, but if it contains ≥40, it is considered to be associated with HD, and the individual will likely have the disorder (Myers, 2004). Furthermore, if the gene contains over 28 CAG repeats, it may not be </w:t>
      </w:r>
      <w:r w:rsidRPr="60650A52">
        <w:rPr>
          <w:rFonts w:ascii="Sylfaen" w:hAnsi="Sylfaen"/>
        </w:rPr>
        <w:lastRenderedPageBreak/>
        <w:t>associated with HD but instead could pose a risk to future offspring. This is because CAG repeats over 28 become increasingly more unstable with length, leading to further expansion. This means that, while both parents may not have an HTT gene of abnormal length if one parent has an HTT gene with over 28 CAG repeats, their children may still have a chance of acquiring an mHTT gene, and by extension, HD (Walker, 2007). This increasing length through generations leads to earlier age onset due to larger quantities of neurotoxic polyglutamine being produced, increasing the disease’s severity. This is known as genetic anticipation (</w:t>
      </w:r>
      <w:proofErr w:type="spellStart"/>
      <w:r w:rsidRPr="60650A52">
        <w:rPr>
          <w:rFonts w:ascii="Sylfaen" w:hAnsi="Sylfaen"/>
        </w:rPr>
        <w:t>Dayalu</w:t>
      </w:r>
      <w:proofErr w:type="spellEnd"/>
      <w:r w:rsidRPr="60650A52">
        <w:rPr>
          <w:rFonts w:ascii="Sylfaen" w:hAnsi="Sylfaen"/>
        </w:rPr>
        <w:t xml:space="preserve"> and Albin, 2015).</w:t>
      </w:r>
    </w:p>
    <w:p w14:paraId="2635EDD0" w14:textId="77777777" w:rsidR="00990D5E" w:rsidRPr="00571A7C" w:rsidRDefault="00990D5E" w:rsidP="00990D5E">
      <w:pPr>
        <w:rPr>
          <w:rFonts w:ascii="Sylfaen" w:hAnsi="Sylfaen"/>
        </w:rPr>
      </w:pPr>
    </w:p>
    <w:p w14:paraId="4ADBEAD7" w14:textId="7152077F" w:rsidR="009F609A" w:rsidRPr="00571A7C" w:rsidRDefault="00412D53" w:rsidP="00BD4071">
      <w:pPr>
        <w:pStyle w:val="Heading1"/>
      </w:pPr>
      <w:r w:rsidRPr="00571A7C">
        <w:t>Diagnosis and Treatment</w:t>
      </w:r>
    </w:p>
    <w:p w14:paraId="39555446" w14:textId="2E2031C2" w:rsidR="006169A7" w:rsidRPr="00571A7C" w:rsidRDefault="60650A52" w:rsidP="003F5FDE">
      <w:pPr>
        <w:spacing w:after="160" w:line="360" w:lineRule="auto"/>
        <w:jc w:val="both"/>
        <w:rPr>
          <w:rFonts w:ascii="Sylfaen" w:hAnsi="Sylfaen"/>
        </w:rPr>
      </w:pPr>
      <w:r w:rsidRPr="60650A52">
        <w:rPr>
          <w:rFonts w:ascii="Sylfaen" w:hAnsi="Sylfaen"/>
        </w:rPr>
        <w:t xml:space="preserve">Because HD is monogenetic – meaning it is caused by a single faulty gene – diagnosis is relatively straightforward. The diagnostic test consists of a blood test that, when analysed, allows for the quantity of CAG repeats in each HTT allele to be determined (Myers, 2004). This means the test can determine the probability of developing HD in the future because a result of ≥40 implies a 100% risk, 36-39 implies a 60-70% risk, 27-35 implies a 0% personal risk - with risk to offspring acquiring the mHTT gene - and ≤26 implies a 0% risk (de Die-Smulders et al., 2013). Individuals in the UK who wish to get the test, such as after finding out one of their parents has HD and wish to know their probability of developing HD, can visit a regional genetics clinic once they have arranged the appointment with their GP. Patients who are awaiting testing at a clinic usually have a few counselling sessions to discuss testing implications and any concerns before deciding to follow through on testing. Follow-up counselling and support are also offered once a patient receives their test results (Huntington’s Disease Association, No Date). Prenatal testing also exists to predict the foetus’s risk of developing HD, however, this can lead to an ethical dilemma around the act of testing and knowing, as well as the possibility of selective abortion (Spurdle et al., 1991). Other potential options for individuals with HD who want children include pre-implantation genetic diagnosis, which is a form of IVF where the zygote is genetically tested for HD prior to implantation, egg or sperm donations, adoption, or conceiving naturally without any testing, although this would require accepting the risk of the child inheriting HD (Huntington’s Disease Association, No Date). </w:t>
      </w:r>
    </w:p>
    <w:p w14:paraId="5D03C8DF" w14:textId="38C49E96" w:rsidR="00990D5E" w:rsidRPr="00571A7C" w:rsidRDefault="00BC0547" w:rsidP="003F5FDE">
      <w:pPr>
        <w:spacing w:after="160" w:line="360" w:lineRule="auto"/>
        <w:jc w:val="both"/>
        <w:rPr>
          <w:rFonts w:ascii="Sylfaen" w:hAnsi="Sylfaen"/>
        </w:rPr>
      </w:pPr>
      <w:r w:rsidRPr="00571A7C">
        <w:rPr>
          <w:rFonts w:ascii="Sylfaen" w:hAnsi="Sylfaen"/>
        </w:rPr>
        <w:t xml:space="preserve">When a diagnosis is given to a patient, potential treatments will be discussed. These treatments are not aimed at curing, as a cure has not yet been discovered, but are instead aimed at regulating </w:t>
      </w:r>
      <w:r w:rsidRPr="00571A7C">
        <w:rPr>
          <w:rFonts w:ascii="Sylfaen" w:hAnsi="Sylfaen"/>
        </w:rPr>
        <w:lastRenderedPageBreak/>
        <w:t xml:space="preserve">symptoms. These consist of nutrition management to </w:t>
      </w:r>
      <w:proofErr w:type="gramStart"/>
      <w:r w:rsidR="00BE5798" w:rsidRPr="00571A7C">
        <w:rPr>
          <w:rFonts w:ascii="Sylfaen" w:hAnsi="Sylfaen"/>
        </w:rPr>
        <w:t>counter</w:t>
      </w:r>
      <w:r w:rsidR="00E67BC3">
        <w:rPr>
          <w:rFonts w:ascii="Sylfaen" w:hAnsi="Sylfaen"/>
        </w:rPr>
        <w:t xml:space="preserve"> </w:t>
      </w:r>
      <w:r w:rsidR="00BE5798" w:rsidRPr="00571A7C">
        <w:rPr>
          <w:rFonts w:ascii="Sylfaen" w:hAnsi="Sylfaen"/>
        </w:rPr>
        <w:t>weight</w:t>
      </w:r>
      <w:proofErr w:type="gramEnd"/>
      <w:r w:rsidRPr="00571A7C">
        <w:rPr>
          <w:rFonts w:ascii="Sylfaen" w:hAnsi="Sylfaen"/>
        </w:rPr>
        <w:t xml:space="preserve"> loss due to dysphagia, thickening agents for liquids to make them easier and safer to swallow, and reminders from carers to eat slowly to prevent choking (Walker, 2007). As for medications, tetrabenazine is used to treat chorea. It does this by lowering dopamine levels, which reduces nerve cell communication and ultimately chorea. Consequently, the lowered dopamine levels are reflected in an increased risk of suicidal ideations</w:t>
      </w:r>
      <w:r w:rsidR="00B560B1" w:rsidRPr="00571A7C">
        <w:rPr>
          <w:rFonts w:ascii="Sylfaen" w:hAnsi="Sylfaen"/>
        </w:rPr>
        <w:t xml:space="preserve">, although </w:t>
      </w:r>
      <w:r w:rsidR="007F3589" w:rsidRPr="00571A7C">
        <w:rPr>
          <w:rFonts w:ascii="Sylfaen" w:hAnsi="Sylfaen"/>
        </w:rPr>
        <w:t>tetrabenazine</w:t>
      </w:r>
      <w:r w:rsidR="00B560B1" w:rsidRPr="00571A7C">
        <w:rPr>
          <w:rFonts w:ascii="Sylfaen" w:hAnsi="Sylfaen"/>
        </w:rPr>
        <w:t xml:space="preserve"> is not the only </w:t>
      </w:r>
      <w:r w:rsidR="00DF4B6A" w:rsidRPr="00571A7C">
        <w:rPr>
          <w:rFonts w:ascii="Sylfaen" w:hAnsi="Sylfaen"/>
        </w:rPr>
        <w:t>factor behind this increased risk</w:t>
      </w:r>
      <w:r w:rsidRPr="00571A7C">
        <w:rPr>
          <w:rFonts w:ascii="Sylfaen" w:hAnsi="Sylfaen"/>
        </w:rPr>
        <w:t xml:space="preserve"> (FDA, 2008).</w:t>
      </w:r>
    </w:p>
    <w:p w14:paraId="10ADBCFF" w14:textId="77777777" w:rsidR="009F609A" w:rsidRPr="00571A7C" w:rsidRDefault="009F609A" w:rsidP="009F609A">
      <w:pPr>
        <w:spacing w:after="160" w:line="360" w:lineRule="auto"/>
        <w:jc w:val="both"/>
        <w:rPr>
          <w:rFonts w:ascii="Sylfaen" w:hAnsi="Sylfaen"/>
        </w:rPr>
      </w:pPr>
    </w:p>
    <w:p w14:paraId="0015EFF5" w14:textId="6E6CBA8F" w:rsidR="009F609A" w:rsidRPr="00571A7C" w:rsidRDefault="00412D53" w:rsidP="00BD4071">
      <w:pPr>
        <w:pStyle w:val="Heading1"/>
      </w:pPr>
      <w:r w:rsidRPr="00571A7C">
        <w:t>Current Research</w:t>
      </w:r>
    </w:p>
    <w:p w14:paraId="75D2980D" w14:textId="5548A0ED" w:rsidR="000C4154" w:rsidRPr="00571A7C" w:rsidRDefault="00D23911" w:rsidP="003F5FDE">
      <w:pPr>
        <w:spacing w:after="160" w:line="360" w:lineRule="auto"/>
        <w:jc w:val="both"/>
        <w:rPr>
          <w:rFonts w:ascii="Sylfaen" w:hAnsi="Sylfaen"/>
        </w:rPr>
      </w:pPr>
      <w:r w:rsidRPr="00571A7C">
        <w:rPr>
          <w:rFonts w:ascii="Sylfaen" w:hAnsi="Sylfaen"/>
        </w:rPr>
        <w:t xml:space="preserve">There are a wide variety of research studies taking place to combat HD. In 2020 alone, there were 200 clinical trials based on potential therapies and biomarkers (Clinicaltrials.gov, 2020). Some research studies are actively looking into reducing the levels of mHTT protein by looking for ways to increase the rate at which cells dispose of it. These studies have shown that mHTT levels can be reduced through the application of autophagy-inducing factors, both natural and artificial (Djajadikerta et al., 2020). </w:t>
      </w:r>
      <w:r w:rsidR="006E6A49" w:rsidRPr="00571A7C">
        <w:rPr>
          <w:rFonts w:ascii="Sylfaen" w:hAnsi="Sylfaen"/>
        </w:rPr>
        <w:t>Autophagy</w:t>
      </w:r>
      <w:r w:rsidR="00852CDE" w:rsidRPr="00571A7C">
        <w:rPr>
          <w:rFonts w:ascii="Sylfaen" w:hAnsi="Sylfaen"/>
        </w:rPr>
        <w:t xml:space="preserve"> is </w:t>
      </w:r>
      <w:r w:rsidR="00261D06" w:rsidRPr="00571A7C">
        <w:rPr>
          <w:rFonts w:ascii="Sylfaen" w:hAnsi="Sylfaen"/>
        </w:rPr>
        <w:t>the cells</w:t>
      </w:r>
      <w:r w:rsidR="00DD4181">
        <w:rPr>
          <w:rFonts w:ascii="Sylfaen" w:hAnsi="Sylfaen"/>
        </w:rPr>
        <w:t>’</w:t>
      </w:r>
      <w:r w:rsidR="00261D06" w:rsidRPr="00571A7C">
        <w:rPr>
          <w:rFonts w:ascii="Sylfaen" w:hAnsi="Sylfaen"/>
        </w:rPr>
        <w:t xml:space="preserve"> process</w:t>
      </w:r>
      <w:r w:rsidR="004541AE" w:rsidRPr="00571A7C">
        <w:rPr>
          <w:rFonts w:ascii="Sylfaen" w:hAnsi="Sylfaen"/>
        </w:rPr>
        <w:t>es</w:t>
      </w:r>
      <w:r w:rsidR="00261D06" w:rsidRPr="00571A7C">
        <w:rPr>
          <w:rFonts w:ascii="Sylfaen" w:hAnsi="Sylfaen"/>
        </w:rPr>
        <w:t xml:space="preserve"> </w:t>
      </w:r>
      <w:r w:rsidR="00DD4181">
        <w:rPr>
          <w:rFonts w:ascii="Sylfaen" w:hAnsi="Sylfaen"/>
        </w:rPr>
        <w:t>of recycling</w:t>
      </w:r>
      <w:r w:rsidR="00261D06" w:rsidRPr="00571A7C">
        <w:rPr>
          <w:rFonts w:ascii="Sylfaen" w:hAnsi="Sylfaen"/>
        </w:rPr>
        <w:t xml:space="preserve"> old and damaged cellular parts</w:t>
      </w:r>
      <w:r w:rsidR="006D18AD" w:rsidRPr="00571A7C">
        <w:rPr>
          <w:rFonts w:ascii="Sylfaen" w:hAnsi="Sylfaen"/>
        </w:rPr>
        <w:t>, such as mHTT and its fragments</w:t>
      </w:r>
      <w:r w:rsidR="00AA06E3" w:rsidRPr="00571A7C">
        <w:rPr>
          <w:rFonts w:ascii="Sylfaen" w:hAnsi="Sylfaen"/>
        </w:rPr>
        <w:t xml:space="preserve"> (Klionsky, 2008)</w:t>
      </w:r>
      <w:r w:rsidR="00261D06" w:rsidRPr="00571A7C">
        <w:rPr>
          <w:rFonts w:ascii="Sylfaen" w:hAnsi="Sylfaen"/>
        </w:rPr>
        <w:t>.</w:t>
      </w:r>
      <w:r w:rsidR="00661458" w:rsidRPr="00571A7C">
        <w:rPr>
          <w:rFonts w:ascii="Sylfaen" w:hAnsi="Sylfaen"/>
        </w:rPr>
        <w:t xml:space="preserve"> </w:t>
      </w:r>
      <w:r w:rsidRPr="00571A7C">
        <w:rPr>
          <w:rFonts w:ascii="Sylfaen" w:hAnsi="Sylfaen"/>
        </w:rPr>
        <w:t xml:space="preserve">Other studies have demonstrated that gene silencing is a potential route as it takes advantage of the fact that HD is monogenic. They aim to reduce </w:t>
      </w:r>
      <w:r w:rsidR="00DD4181">
        <w:rPr>
          <w:rFonts w:ascii="Sylfaen" w:hAnsi="Sylfaen"/>
        </w:rPr>
        <w:t xml:space="preserve">the </w:t>
      </w:r>
      <w:r w:rsidRPr="00571A7C">
        <w:rPr>
          <w:rFonts w:ascii="Sylfaen" w:hAnsi="Sylfaen"/>
        </w:rPr>
        <w:t>production of mHTT protein by application of ASOs – antisense oligosaccharides – which bind to mHTT mRNA and prevent its transcription, effectively reducing the protein concentrations and halting its neurodegenerative effects. (Munoz-Sanjuan and Bates, 2011). Another study investigate</w:t>
      </w:r>
      <w:r w:rsidR="005D176B" w:rsidRPr="00571A7C">
        <w:rPr>
          <w:rFonts w:ascii="Sylfaen" w:hAnsi="Sylfaen"/>
        </w:rPr>
        <w:t>d</w:t>
      </w:r>
      <w:r w:rsidRPr="00571A7C">
        <w:rPr>
          <w:rFonts w:ascii="Sylfaen" w:hAnsi="Sylfaen"/>
        </w:rPr>
        <w:t xml:space="preserve"> the potential application of stem-cell therapy for the regeneration of damaged neurons by transplanting stem cells into afflicted regions of the brain (Clelland, Barker and Watts, 2008)</w:t>
      </w:r>
      <w:r w:rsidR="009F609A" w:rsidRPr="00571A7C">
        <w:rPr>
          <w:rFonts w:ascii="Sylfaen" w:hAnsi="Sylfaen"/>
        </w:rPr>
        <w:t>.</w:t>
      </w:r>
      <w:r w:rsidR="00BB4D5A" w:rsidRPr="00571A7C">
        <w:rPr>
          <w:rFonts w:ascii="Sylfaen" w:hAnsi="Sylfaen"/>
        </w:rPr>
        <w:t xml:space="preserve"> </w:t>
      </w:r>
    </w:p>
    <w:p w14:paraId="1AAC87B6" w14:textId="699308BF" w:rsidR="00A11B0F" w:rsidRPr="00571A7C" w:rsidRDefault="000B621A" w:rsidP="003F5FDE">
      <w:pPr>
        <w:spacing w:after="160" w:line="360" w:lineRule="auto"/>
        <w:jc w:val="both"/>
        <w:rPr>
          <w:rFonts w:ascii="Sylfaen" w:hAnsi="Sylfaen"/>
        </w:rPr>
      </w:pPr>
      <w:r w:rsidRPr="00571A7C">
        <w:rPr>
          <w:rFonts w:ascii="Sylfaen" w:hAnsi="Sylfaen"/>
        </w:rPr>
        <w:t xml:space="preserve">A novel </w:t>
      </w:r>
      <w:r w:rsidR="008F1A0D" w:rsidRPr="00571A7C">
        <w:rPr>
          <w:rFonts w:ascii="Sylfaen" w:hAnsi="Sylfaen"/>
        </w:rPr>
        <w:t>staging</w:t>
      </w:r>
      <w:r w:rsidRPr="00571A7C">
        <w:rPr>
          <w:rFonts w:ascii="Sylfaen" w:hAnsi="Sylfaen"/>
        </w:rPr>
        <w:t xml:space="preserve"> system for HD was also created</w:t>
      </w:r>
      <w:r w:rsidR="008F1A0D" w:rsidRPr="00571A7C">
        <w:rPr>
          <w:rFonts w:ascii="Sylfaen" w:hAnsi="Sylfaen"/>
        </w:rPr>
        <w:t xml:space="preserve"> in a similar way to how cancer is staged from 0 up to 4.</w:t>
      </w:r>
      <w:r w:rsidR="00BA29AB" w:rsidRPr="00571A7C">
        <w:rPr>
          <w:rFonts w:ascii="Sylfaen" w:hAnsi="Sylfaen"/>
        </w:rPr>
        <w:t xml:space="preserve"> Huntington’s Disease Integrated Staging System (HD-ISS)</w:t>
      </w:r>
      <w:r w:rsidR="009F252A" w:rsidRPr="00571A7C">
        <w:rPr>
          <w:rFonts w:ascii="Sylfaen" w:hAnsi="Sylfaen"/>
        </w:rPr>
        <w:t xml:space="preserve"> </w:t>
      </w:r>
      <w:r w:rsidR="00B74C2F" w:rsidRPr="00571A7C">
        <w:rPr>
          <w:rFonts w:ascii="Sylfaen" w:hAnsi="Sylfaen"/>
        </w:rPr>
        <w:t xml:space="preserve">was made with the </w:t>
      </w:r>
      <w:r w:rsidR="005055D3" w:rsidRPr="00571A7C">
        <w:rPr>
          <w:rFonts w:ascii="Sylfaen" w:hAnsi="Sylfaen"/>
        </w:rPr>
        <w:t>intent</w:t>
      </w:r>
      <w:r w:rsidR="009665F7" w:rsidRPr="00571A7C">
        <w:rPr>
          <w:rFonts w:ascii="Sylfaen" w:hAnsi="Sylfaen"/>
        </w:rPr>
        <w:t>ion</w:t>
      </w:r>
      <w:r w:rsidR="00B74C2F" w:rsidRPr="00571A7C">
        <w:rPr>
          <w:rFonts w:ascii="Sylfaen" w:hAnsi="Sylfaen"/>
        </w:rPr>
        <w:t xml:space="preserve"> </w:t>
      </w:r>
      <w:r w:rsidR="00125659" w:rsidRPr="00571A7C">
        <w:rPr>
          <w:rFonts w:ascii="Sylfaen" w:hAnsi="Sylfaen"/>
        </w:rPr>
        <w:t>of</w:t>
      </w:r>
      <w:r w:rsidR="00B74C2F" w:rsidRPr="00571A7C">
        <w:rPr>
          <w:rFonts w:ascii="Sylfaen" w:hAnsi="Sylfaen"/>
        </w:rPr>
        <w:t xml:space="preserve"> </w:t>
      </w:r>
      <w:r w:rsidR="003044EB" w:rsidRPr="00571A7C">
        <w:rPr>
          <w:rFonts w:ascii="Sylfaen" w:hAnsi="Sylfaen"/>
        </w:rPr>
        <w:t>assisting</w:t>
      </w:r>
      <w:r w:rsidR="0043331D" w:rsidRPr="00571A7C">
        <w:rPr>
          <w:rFonts w:ascii="Sylfaen" w:hAnsi="Sylfaen"/>
        </w:rPr>
        <w:t xml:space="preserve"> </w:t>
      </w:r>
      <w:r w:rsidR="00B74C2F" w:rsidRPr="00571A7C">
        <w:rPr>
          <w:rFonts w:ascii="Sylfaen" w:hAnsi="Sylfaen"/>
        </w:rPr>
        <w:t>clinical trials</w:t>
      </w:r>
      <w:r w:rsidR="00A07EF5" w:rsidRPr="00571A7C">
        <w:rPr>
          <w:rFonts w:ascii="Sylfaen" w:hAnsi="Sylfaen"/>
        </w:rPr>
        <w:t xml:space="preserve"> </w:t>
      </w:r>
      <w:r w:rsidR="001C7F35" w:rsidRPr="00571A7C">
        <w:rPr>
          <w:rFonts w:ascii="Sylfaen" w:hAnsi="Sylfaen"/>
        </w:rPr>
        <w:t>target</w:t>
      </w:r>
      <w:r w:rsidR="003044EB" w:rsidRPr="00571A7C">
        <w:rPr>
          <w:rFonts w:ascii="Sylfaen" w:hAnsi="Sylfaen"/>
        </w:rPr>
        <w:t xml:space="preserve"> </w:t>
      </w:r>
      <w:r w:rsidR="001148DD" w:rsidRPr="00571A7C">
        <w:rPr>
          <w:rFonts w:ascii="Sylfaen" w:hAnsi="Sylfaen"/>
        </w:rPr>
        <w:t xml:space="preserve">the </w:t>
      </w:r>
      <w:r w:rsidR="00A07EF5" w:rsidRPr="00571A7C">
        <w:rPr>
          <w:rFonts w:ascii="Sylfaen" w:hAnsi="Sylfaen"/>
        </w:rPr>
        <w:t>earl</w:t>
      </w:r>
      <w:r w:rsidR="005904C8" w:rsidRPr="00571A7C">
        <w:rPr>
          <w:rFonts w:ascii="Sylfaen" w:hAnsi="Sylfaen"/>
        </w:rPr>
        <w:t>iest</w:t>
      </w:r>
      <w:r w:rsidR="00A07EF5" w:rsidRPr="00571A7C">
        <w:rPr>
          <w:rFonts w:ascii="Sylfaen" w:hAnsi="Sylfaen"/>
        </w:rPr>
        <w:t xml:space="preserve"> stages</w:t>
      </w:r>
      <w:r w:rsidR="001148DD" w:rsidRPr="00571A7C">
        <w:rPr>
          <w:rFonts w:ascii="Sylfaen" w:hAnsi="Sylfaen"/>
        </w:rPr>
        <w:t xml:space="preserve"> of HD</w:t>
      </w:r>
      <w:r w:rsidR="00116FE2" w:rsidRPr="00571A7C">
        <w:rPr>
          <w:rFonts w:ascii="Sylfaen" w:hAnsi="Sylfaen"/>
        </w:rPr>
        <w:t xml:space="preserve">, and </w:t>
      </w:r>
      <w:r w:rsidR="00503EB7" w:rsidRPr="00571A7C">
        <w:rPr>
          <w:rFonts w:ascii="Sylfaen" w:hAnsi="Sylfaen"/>
        </w:rPr>
        <w:t>is</w:t>
      </w:r>
      <w:r w:rsidR="00116FE2" w:rsidRPr="00571A7C">
        <w:rPr>
          <w:rFonts w:ascii="Sylfaen" w:hAnsi="Sylfaen"/>
        </w:rPr>
        <w:t xml:space="preserve"> based on </w:t>
      </w:r>
      <w:r w:rsidR="009E2EA0" w:rsidRPr="00571A7C">
        <w:rPr>
          <w:rFonts w:ascii="Sylfaen" w:hAnsi="Sylfaen"/>
        </w:rPr>
        <w:t xml:space="preserve">biological, functional, and clinical </w:t>
      </w:r>
      <w:r w:rsidR="00116FE2" w:rsidRPr="00571A7C">
        <w:rPr>
          <w:rFonts w:ascii="Sylfaen" w:hAnsi="Sylfaen"/>
        </w:rPr>
        <w:t>characteristics</w:t>
      </w:r>
      <w:r w:rsidR="00503EB7" w:rsidRPr="00571A7C">
        <w:rPr>
          <w:rFonts w:ascii="Sylfaen" w:hAnsi="Sylfaen"/>
        </w:rPr>
        <w:t xml:space="preserve"> of HD</w:t>
      </w:r>
      <w:r w:rsidR="009E2EA0" w:rsidRPr="00571A7C">
        <w:rPr>
          <w:rFonts w:ascii="Sylfaen" w:hAnsi="Sylfaen"/>
        </w:rPr>
        <w:t xml:space="preserve">. </w:t>
      </w:r>
      <w:r w:rsidR="00DD4181">
        <w:rPr>
          <w:rFonts w:ascii="Sylfaen" w:hAnsi="Sylfaen"/>
        </w:rPr>
        <w:t>It is</w:t>
      </w:r>
      <w:r w:rsidR="00B11986" w:rsidRPr="00571A7C">
        <w:rPr>
          <w:rFonts w:ascii="Sylfaen" w:hAnsi="Sylfaen"/>
        </w:rPr>
        <w:t xml:space="preserve"> also the first staging system </w:t>
      </w:r>
      <w:r w:rsidR="00F21190" w:rsidRPr="00571A7C">
        <w:rPr>
          <w:rFonts w:ascii="Sylfaen" w:hAnsi="Sylfaen"/>
        </w:rPr>
        <w:t xml:space="preserve">ever </w:t>
      </w:r>
      <w:r w:rsidR="00B11986" w:rsidRPr="00571A7C">
        <w:rPr>
          <w:rFonts w:ascii="Sylfaen" w:hAnsi="Sylfaen"/>
        </w:rPr>
        <w:t>created for a genetic neurological disorder</w:t>
      </w:r>
      <w:r w:rsidR="000E34F7" w:rsidRPr="00571A7C">
        <w:rPr>
          <w:rFonts w:ascii="Sylfaen" w:hAnsi="Sylfaen"/>
        </w:rPr>
        <w:t xml:space="preserve"> (Tabrizi et al., 2022)</w:t>
      </w:r>
      <w:r w:rsidR="00F21190" w:rsidRPr="00571A7C">
        <w:rPr>
          <w:rFonts w:ascii="Sylfaen" w:hAnsi="Sylfaen"/>
        </w:rPr>
        <w:t>.</w:t>
      </w:r>
    </w:p>
    <w:p w14:paraId="032E9BAE" w14:textId="6DAF9535" w:rsidR="002F4E14" w:rsidRPr="00571A7C" w:rsidRDefault="60650A52" w:rsidP="003F5FDE">
      <w:pPr>
        <w:spacing w:after="160" w:line="360" w:lineRule="auto"/>
        <w:jc w:val="both"/>
        <w:rPr>
          <w:rFonts w:ascii="Sylfaen" w:hAnsi="Sylfaen"/>
        </w:rPr>
      </w:pPr>
      <w:r w:rsidRPr="60650A52">
        <w:rPr>
          <w:rFonts w:ascii="Sylfaen" w:hAnsi="Sylfaen"/>
        </w:rPr>
        <w:lastRenderedPageBreak/>
        <w:t>A recent study discovered that autophagy is impaired in people with HD, leading to a build-up of biochemical waste in affected neurones, eventually causing cell death. Using a technique developed by the researchers, they were able to reprogram adult skin cells from someone symptomatic with HD into medium spiny neurones using specific signalling molecules. It was necessary to use adult skin cells as stem cells would only be useful for studying a cell’s early developmental state, whereas HD is most commonly symptomatic in adulthood. The HD-afflicted medium spiny neurones were observed producing chemicals that set off a cascade of events, including autophagy impairment. The researchers also identified a chemical, ‘G2’, using high throughput screening of a database of autophagy enhancers, added this to the neurones, and observed how G2 enhanced autophagy and prevented cell death (Oh et al., 2022).</w:t>
      </w:r>
    </w:p>
    <w:p w14:paraId="2D91ACC7" w14:textId="5CC9D7AE" w:rsidR="009F609A" w:rsidRPr="00571A7C" w:rsidRDefault="00913BEA" w:rsidP="003F5FDE">
      <w:pPr>
        <w:spacing w:after="160" w:line="360" w:lineRule="auto"/>
        <w:jc w:val="both"/>
        <w:rPr>
          <w:rFonts w:ascii="Sylfaen" w:hAnsi="Sylfaen"/>
        </w:rPr>
      </w:pPr>
      <w:r w:rsidRPr="00571A7C">
        <w:rPr>
          <w:rFonts w:ascii="Sylfaen" w:hAnsi="Sylfaen"/>
        </w:rPr>
        <w:t>A</w:t>
      </w:r>
      <w:r w:rsidR="004140A3" w:rsidRPr="00571A7C">
        <w:rPr>
          <w:rFonts w:ascii="Sylfaen" w:hAnsi="Sylfaen"/>
        </w:rPr>
        <w:t xml:space="preserve"> research study </w:t>
      </w:r>
      <w:r w:rsidRPr="00571A7C">
        <w:rPr>
          <w:rFonts w:ascii="Sylfaen" w:hAnsi="Sylfaen"/>
        </w:rPr>
        <w:t>investigat</w:t>
      </w:r>
      <w:r w:rsidR="00420E86" w:rsidRPr="00571A7C">
        <w:rPr>
          <w:rFonts w:ascii="Sylfaen" w:hAnsi="Sylfaen"/>
        </w:rPr>
        <w:t>ing</w:t>
      </w:r>
      <w:r w:rsidRPr="00571A7C">
        <w:rPr>
          <w:rFonts w:ascii="Sylfaen" w:hAnsi="Sylfaen"/>
        </w:rPr>
        <w:t xml:space="preserve"> </w:t>
      </w:r>
      <w:r w:rsidR="00454721" w:rsidRPr="00571A7C">
        <w:rPr>
          <w:rFonts w:ascii="Sylfaen" w:hAnsi="Sylfaen"/>
        </w:rPr>
        <w:t xml:space="preserve">the drug pridopidine </w:t>
      </w:r>
      <w:r w:rsidR="006310AB" w:rsidRPr="00571A7C">
        <w:rPr>
          <w:rFonts w:ascii="Sylfaen" w:hAnsi="Sylfaen"/>
        </w:rPr>
        <w:t>as a</w:t>
      </w:r>
      <w:r w:rsidR="00DD4181">
        <w:rPr>
          <w:rFonts w:ascii="Sylfaen" w:hAnsi="Sylfaen"/>
        </w:rPr>
        <w:t>n</w:t>
      </w:r>
      <w:r w:rsidR="006310AB" w:rsidRPr="00571A7C">
        <w:rPr>
          <w:rFonts w:ascii="Sylfaen" w:hAnsi="Sylfaen"/>
        </w:rPr>
        <w:t xml:space="preserve"> HD treatment</w:t>
      </w:r>
      <w:r w:rsidR="00420E86" w:rsidRPr="00571A7C">
        <w:rPr>
          <w:rFonts w:ascii="Sylfaen" w:hAnsi="Sylfaen"/>
        </w:rPr>
        <w:t xml:space="preserve"> </w:t>
      </w:r>
      <w:r w:rsidRPr="00571A7C">
        <w:rPr>
          <w:rFonts w:ascii="Sylfaen" w:hAnsi="Sylfaen"/>
        </w:rPr>
        <w:t xml:space="preserve">has </w:t>
      </w:r>
      <w:r w:rsidR="00420E86" w:rsidRPr="00571A7C">
        <w:rPr>
          <w:rFonts w:ascii="Sylfaen" w:hAnsi="Sylfaen"/>
        </w:rPr>
        <w:t xml:space="preserve">also </w:t>
      </w:r>
      <w:r w:rsidRPr="00571A7C">
        <w:rPr>
          <w:rFonts w:ascii="Sylfaen" w:hAnsi="Sylfaen"/>
        </w:rPr>
        <w:t>shown promise</w:t>
      </w:r>
      <w:r w:rsidR="00342047" w:rsidRPr="00571A7C">
        <w:rPr>
          <w:rFonts w:ascii="Sylfaen" w:hAnsi="Sylfaen"/>
        </w:rPr>
        <w:t xml:space="preserve">. The </w:t>
      </w:r>
      <w:r w:rsidR="00153AC3" w:rsidRPr="00571A7C">
        <w:rPr>
          <w:rFonts w:ascii="Sylfaen" w:hAnsi="Sylfaen"/>
        </w:rPr>
        <w:t xml:space="preserve">drug </w:t>
      </w:r>
      <w:r w:rsidR="0051300D" w:rsidRPr="00571A7C">
        <w:rPr>
          <w:rFonts w:ascii="Sylfaen" w:hAnsi="Sylfaen"/>
        </w:rPr>
        <w:t xml:space="preserve">helps to encourage </w:t>
      </w:r>
      <w:r w:rsidR="00DD4181">
        <w:rPr>
          <w:rFonts w:ascii="Sylfaen" w:hAnsi="Sylfaen"/>
        </w:rPr>
        <w:t xml:space="preserve">the </w:t>
      </w:r>
      <w:r w:rsidR="0051300D" w:rsidRPr="00571A7C">
        <w:rPr>
          <w:rFonts w:ascii="Sylfaen" w:hAnsi="Sylfaen"/>
        </w:rPr>
        <w:t>production of</w:t>
      </w:r>
      <w:r w:rsidR="00F568C3" w:rsidRPr="00571A7C">
        <w:rPr>
          <w:rFonts w:ascii="Sylfaen" w:hAnsi="Sylfaen"/>
        </w:rPr>
        <w:t xml:space="preserve"> a </w:t>
      </w:r>
      <w:r w:rsidR="00FA07C4" w:rsidRPr="00571A7C">
        <w:rPr>
          <w:rFonts w:ascii="Sylfaen" w:hAnsi="Sylfaen"/>
        </w:rPr>
        <w:t xml:space="preserve">neuroprotective </w:t>
      </w:r>
      <w:r w:rsidR="00F568C3" w:rsidRPr="00571A7C">
        <w:rPr>
          <w:rFonts w:ascii="Sylfaen" w:hAnsi="Sylfaen"/>
        </w:rPr>
        <w:t>protein</w:t>
      </w:r>
      <w:r w:rsidR="00917236" w:rsidRPr="00571A7C">
        <w:rPr>
          <w:rFonts w:ascii="Sylfaen" w:hAnsi="Sylfaen"/>
        </w:rPr>
        <w:t xml:space="preserve"> known as </w:t>
      </w:r>
      <w:r w:rsidR="00DD4181">
        <w:rPr>
          <w:rFonts w:ascii="Sylfaen" w:hAnsi="Sylfaen"/>
        </w:rPr>
        <w:t xml:space="preserve">a </w:t>
      </w:r>
      <w:r w:rsidR="00917236" w:rsidRPr="00571A7C">
        <w:rPr>
          <w:rFonts w:ascii="Sylfaen" w:hAnsi="Sylfaen"/>
        </w:rPr>
        <w:t>brain-derived neurotrophic factor</w:t>
      </w:r>
      <w:r w:rsidR="0024262D" w:rsidRPr="00571A7C">
        <w:rPr>
          <w:rFonts w:ascii="Sylfaen" w:hAnsi="Sylfaen"/>
        </w:rPr>
        <w:t>, which is found at reduced levels in people with HD.</w:t>
      </w:r>
      <w:r w:rsidR="00F13E52" w:rsidRPr="00571A7C">
        <w:rPr>
          <w:rFonts w:ascii="Sylfaen" w:hAnsi="Sylfaen"/>
        </w:rPr>
        <w:t xml:space="preserve"> </w:t>
      </w:r>
      <w:r w:rsidR="00776367" w:rsidRPr="00571A7C">
        <w:rPr>
          <w:rFonts w:ascii="Sylfaen" w:hAnsi="Sylfaen"/>
        </w:rPr>
        <w:t xml:space="preserve">The protein has been described as </w:t>
      </w:r>
      <w:r w:rsidR="00BF7F89" w:rsidRPr="00571A7C">
        <w:rPr>
          <w:rFonts w:ascii="Sylfaen" w:hAnsi="Sylfaen"/>
        </w:rPr>
        <w:t>a preventative in mHTT-induced cell death</w:t>
      </w:r>
      <w:r w:rsidR="00F86A30" w:rsidRPr="00571A7C">
        <w:rPr>
          <w:rFonts w:ascii="Sylfaen" w:hAnsi="Sylfaen"/>
        </w:rPr>
        <w:t xml:space="preserve"> </w:t>
      </w:r>
      <w:proofErr w:type="gramStart"/>
      <w:r w:rsidR="00F86A30" w:rsidRPr="00571A7C">
        <w:rPr>
          <w:rFonts w:ascii="Sylfaen" w:hAnsi="Sylfaen"/>
        </w:rPr>
        <w:t xml:space="preserve">and </w:t>
      </w:r>
      <w:r w:rsidR="0057383C" w:rsidRPr="00571A7C">
        <w:rPr>
          <w:rFonts w:ascii="Sylfaen" w:hAnsi="Sylfaen"/>
        </w:rPr>
        <w:t>also</w:t>
      </w:r>
      <w:proofErr w:type="gramEnd"/>
      <w:r w:rsidR="0057383C" w:rsidRPr="00571A7C">
        <w:rPr>
          <w:rFonts w:ascii="Sylfaen" w:hAnsi="Sylfaen"/>
        </w:rPr>
        <w:t xml:space="preserve"> leads to a reduction in the </w:t>
      </w:r>
      <w:r w:rsidR="00AD2D87" w:rsidRPr="00571A7C">
        <w:rPr>
          <w:rFonts w:ascii="Sylfaen" w:hAnsi="Sylfaen"/>
        </w:rPr>
        <w:t>HD</w:t>
      </w:r>
      <w:r w:rsidR="00BE5798">
        <w:rPr>
          <w:rFonts w:ascii="Sylfaen" w:hAnsi="Sylfaen"/>
        </w:rPr>
        <w:t>-</w:t>
      </w:r>
      <w:r w:rsidR="0057383C" w:rsidRPr="00571A7C">
        <w:rPr>
          <w:rFonts w:ascii="Sylfaen" w:hAnsi="Sylfaen"/>
        </w:rPr>
        <w:t>impairment of cellular processes</w:t>
      </w:r>
      <w:r w:rsidR="00116C1B" w:rsidRPr="00571A7C">
        <w:rPr>
          <w:rFonts w:ascii="Sylfaen" w:hAnsi="Sylfaen"/>
        </w:rPr>
        <w:t>. A PET imaging study was used to</w:t>
      </w:r>
      <w:r w:rsidR="00EF7041" w:rsidRPr="00571A7C">
        <w:rPr>
          <w:rFonts w:ascii="Sylfaen" w:hAnsi="Sylfaen"/>
        </w:rPr>
        <w:t xml:space="preserve"> study the drug</w:t>
      </w:r>
      <w:r w:rsidR="001B399A" w:rsidRPr="00571A7C">
        <w:rPr>
          <w:rFonts w:ascii="Sylfaen" w:hAnsi="Sylfaen"/>
        </w:rPr>
        <w:t>’</w:t>
      </w:r>
      <w:r w:rsidR="00EF7041" w:rsidRPr="00571A7C">
        <w:rPr>
          <w:rFonts w:ascii="Sylfaen" w:hAnsi="Sylfaen"/>
        </w:rPr>
        <w:t xml:space="preserve">s occupation of the brain receptor </w:t>
      </w:r>
      <w:r w:rsidR="00027327" w:rsidRPr="00571A7C">
        <w:rPr>
          <w:rFonts w:ascii="Sylfaen" w:hAnsi="Sylfaen"/>
        </w:rPr>
        <w:t>‘S1R’</w:t>
      </w:r>
      <w:r w:rsidR="006E6789" w:rsidRPr="00571A7C">
        <w:rPr>
          <w:rFonts w:ascii="Sylfaen" w:hAnsi="Sylfaen"/>
        </w:rPr>
        <w:t xml:space="preserve"> and showed that it occupied 90% of them.</w:t>
      </w:r>
      <w:r w:rsidR="00615723" w:rsidRPr="00571A7C">
        <w:rPr>
          <w:rFonts w:ascii="Sylfaen" w:hAnsi="Sylfaen"/>
        </w:rPr>
        <w:t xml:space="preserve"> Th</w:t>
      </w:r>
      <w:r w:rsidR="00CB092D" w:rsidRPr="00571A7C">
        <w:rPr>
          <w:rFonts w:ascii="Sylfaen" w:hAnsi="Sylfaen"/>
        </w:rPr>
        <w:t>ese results were</w:t>
      </w:r>
      <w:r w:rsidR="00615723" w:rsidRPr="00571A7C">
        <w:rPr>
          <w:rFonts w:ascii="Sylfaen" w:hAnsi="Sylfaen"/>
        </w:rPr>
        <w:t xml:space="preserve"> used to support the </w:t>
      </w:r>
      <w:r w:rsidR="00465672" w:rsidRPr="00571A7C">
        <w:rPr>
          <w:rFonts w:ascii="Sylfaen" w:hAnsi="Sylfaen"/>
        </w:rPr>
        <w:t xml:space="preserve">testing of the </w:t>
      </w:r>
      <w:r w:rsidR="00A03F1E" w:rsidRPr="00571A7C">
        <w:rPr>
          <w:rFonts w:ascii="Sylfaen" w:hAnsi="Sylfaen"/>
        </w:rPr>
        <w:t xml:space="preserve">drug’s </w:t>
      </w:r>
      <w:r w:rsidR="00615723" w:rsidRPr="00571A7C">
        <w:rPr>
          <w:rFonts w:ascii="Sylfaen" w:hAnsi="Sylfaen"/>
        </w:rPr>
        <w:t>appropriate dose</w:t>
      </w:r>
      <w:r w:rsidR="007D1CE2" w:rsidRPr="00571A7C">
        <w:rPr>
          <w:rFonts w:ascii="Sylfaen" w:hAnsi="Sylfaen"/>
        </w:rPr>
        <w:t xml:space="preserve"> </w:t>
      </w:r>
      <w:r w:rsidR="00465672" w:rsidRPr="00571A7C">
        <w:rPr>
          <w:rFonts w:ascii="Sylfaen" w:hAnsi="Sylfaen"/>
        </w:rPr>
        <w:t xml:space="preserve">in </w:t>
      </w:r>
      <w:r w:rsidR="00B166DE" w:rsidRPr="00571A7C">
        <w:rPr>
          <w:rFonts w:ascii="Sylfaen" w:hAnsi="Sylfaen"/>
        </w:rPr>
        <w:t>the</w:t>
      </w:r>
      <w:r w:rsidR="00465672" w:rsidRPr="00571A7C">
        <w:rPr>
          <w:rFonts w:ascii="Sylfaen" w:hAnsi="Sylfaen"/>
        </w:rPr>
        <w:t xml:space="preserve"> trial </w:t>
      </w:r>
      <w:r w:rsidR="007E16E2" w:rsidRPr="00571A7C">
        <w:rPr>
          <w:rFonts w:ascii="Sylfaen" w:hAnsi="Sylfaen"/>
        </w:rPr>
        <w:t>(Huntington</w:t>
      </w:r>
      <w:r w:rsidR="00827122" w:rsidRPr="00571A7C">
        <w:rPr>
          <w:rFonts w:ascii="Sylfaen" w:hAnsi="Sylfaen"/>
        </w:rPr>
        <w:t xml:space="preserve"> Study Group</w:t>
      </w:r>
      <w:r w:rsidR="007E16E2" w:rsidRPr="00571A7C">
        <w:rPr>
          <w:rFonts w:ascii="Sylfaen" w:hAnsi="Sylfaen"/>
        </w:rPr>
        <w:t>, 2022</w:t>
      </w:r>
      <w:r w:rsidR="00827122" w:rsidRPr="00571A7C">
        <w:rPr>
          <w:rFonts w:ascii="Sylfaen" w:hAnsi="Sylfaen"/>
        </w:rPr>
        <w:t xml:space="preserve">; </w:t>
      </w:r>
      <w:r w:rsidR="00D97BD2" w:rsidRPr="00571A7C">
        <w:rPr>
          <w:rFonts w:ascii="Sylfaen" w:hAnsi="Sylfaen"/>
        </w:rPr>
        <w:t>Reilmann et al., 2021</w:t>
      </w:r>
      <w:r w:rsidR="007E16E2" w:rsidRPr="00571A7C">
        <w:rPr>
          <w:rFonts w:ascii="Sylfaen" w:hAnsi="Sylfaen"/>
        </w:rPr>
        <w:t>)</w:t>
      </w:r>
      <w:r w:rsidR="007D1CE2" w:rsidRPr="00571A7C">
        <w:rPr>
          <w:rFonts w:ascii="Sylfaen" w:hAnsi="Sylfaen"/>
        </w:rPr>
        <w:t>.</w:t>
      </w:r>
    </w:p>
    <w:p w14:paraId="7A31BB08" w14:textId="77777777" w:rsidR="009F609A" w:rsidRPr="00571A7C" w:rsidRDefault="009F609A" w:rsidP="009F609A">
      <w:pPr>
        <w:spacing w:after="160" w:line="360" w:lineRule="auto"/>
        <w:jc w:val="both"/>
        <w:rPr>
          <w:rFonts w:ascii="Sylfaen" w:hAnsi="Sylfaen"/>
        </w:rPr>
      </w:pPr>
    </w:p>
    <w:p w14:paraId="60E10A81" w14:textId="3C4FDD71" w:rsidR="009F609A" w:rsidRPr="00571A7C" w:rsidRDefault="00F533AA" w:rsidP="00BD4071">
      <w:pPr>
        <w:pStyle w:val="Heading1"/>
      </w:pPr>
      <w:r w:rsidRPr="00571A7C">
        <w:t>Conclusion</w:t>
      </w:r>
    </w:p>
    <w:p w14:paraId="6317F642" w14:textId="46640607" w:rsidR="00313E93" w:rsidRPr="00571A7C" w:rsidRDefault="00E528B4" w:rsidP="003F5FDE">
      <w:pPr>
        <w:spacing w:line="360" w:lineRule="auto"/>
        <w:jc w:val="both"/>
        <w:rPr>
          <w:rFonts w:ascii="Sylfaen" w:hAnsi="Sylfaen"/>
        </w:rPr>
      </w:pPr>
      <w:r w:rsidRPr="00571A7C">
        <w:rPr>
          <w:rFonts w:ascii="Sylfaen" w:hAnsi="Sylfaen"/>
        </w:rPr>
        <w:t xml:space="preserve">In conclusion, Huntington’s disorder is caused by a mutation in the HTT gene leading to defective </w:t>
      </w:r>
      <w:r w:rsidR="00793B31" w:rsidRPr="00571A7C">
        <w:rPr>
          <w:rFonts w:ascii="Sylfaen" w:hAnsi="Sylfaen"/>
        </w:rPr>
        <w:t xml:space="preserve">huntingtin </w:t>
      </w:r>
      <w:r w:rsidRPr="00571A7C">
        <w:rPr>
          <w:rFonts w:ascii="Sylfaen" w:hAnsi="Sylfaen"/>
        </w:rPr>
        <w:t>protein that produce</w:t>
      </w:r>
      <w:r w:rsidR="00BE5798">
        <w:rPr>
          <w:rFonts w:ascii="Sylfaen" w:hAnsi="Sylfaen"/>
        </w:rPr>
        <w:t>s</w:t>
      </w:r>
      <w:r w:rsidRPr="00571A7C">
        <w:rPr>
          <w:rFonts w:ascii="Sylfaen" w:hAnsi="Sylfaen"/>
        </w:rPr>
        <w:t xml:space="preserve"> neurotoxic fragments of polyglutamine. This neurotoxicity leads to the expression of nerve-related psychological and physical symptoms due to neural damage in the brain. </w:t>
      </w:r>
      <w:r w:rsidR="00DD4181">
        <w:rPr>
          <w:rFonts w:ascii="Sylfaen" w:hAnsi="Sylfaen"/>
        </w:rPr>
        <w:t>It is</w:t>
      </w:r>
      <w:r w:rsidRPr="00571A7C">
        <w:rPr>
          <w:rFonts w:ascii="Sylfaen" w:hAnsi="Sylfaen"/>
        </w:rPr>
        <w:t xml:space="preserve"> a relatively rare disorder with 10 in 100,000 Europeans being afflicted, despite being autosomal-dominant. </w:t>
      </w:r>
      <w:r w:rsidR="00DD4181">
        <w:rPr>
          <w:rFonts w:ascii="Sylfaen" w:hAnsi="Sylfaen"/>
        </w:rPr>
        <w:t>It is</w:t>
      </w:r>
      <w:r w:rsidRPr="00571A7C">
        <w:rPr>
          <w:rFonts w:ascii="Sylfaen" w:hAnsi="Sylfaen"/>
        </w:rPr>
        <w:t xml:space="preserve"> diagnosed through a blood test that determines CAG repeat quantities in alleles to determine susceptibility. </w:t>
      </w:r>
      <w:r w:rsidR="00DD4181">
        <w:rPr>
          <w:rFonts w:ascii="Sylfaen" w:hAnsi="Sylfaen"/>
        </w:rPr>
        <w:t>It is</w:t>
      </w:r>
      <w:r w:rsidRPr="00571A7C">
        <w:rPr>
          <w:rFonts w:ascii="Sylfaen" w:hAnsi="Sylfaen"/>
        </w:rPr>
        <w:t xml:space="preserve"> treated through a mix of therapies, dietary and habit changes, and medication. Current research aims to combat this disorder through gene silencing, neural regeneration, and autophagic-induction</w:t>
      </w:r>
      <w:r w:rsidR="009F609A" w:rsidRPr="00571A7C">
        <w:rPr>
          <w:rFonts w:ascii="Sylfaen" w:hAnsi="Sylfaen"/>
        </w:rPr>
        <w:t>.</w:t>
      </w:r>
      <w:r w:rsidR="00D0534F" w:rsidRPr="00571A7C">
        <w:rPr>
          <w:rFonts w:ascii="Sylfaen" w:hAnsi="Sylfaen"/>
        </w:rPr>
        <w:t xml:space="preserve"> R</w:t>
      </w:r>
      <w:r w:rsidR="00F77597" w:rsidRPr="00571A7C">
        <w:rPr>
          <w:rFonts w:ascii="Sylfaen" w:hAnsi="Sylfaen"/>
        </w:rPr>
        <w:t xml:space="preserve">esearch </w:t>
      </w:r>
      <w:r w:rsidR="00FF784E" w:rsidRPr="00571A7C">
        <w:rPr>
          <w:rFonts w:ascii="Sylfaen" w:hAnsi="Sylfaen"/>
        </w:rPr>
        <w:t xml:space="preserve">within the last year </w:t>
      </w:r>
      <w:r w:rsidR="00F77597" w:rsidRPr="00571A7C">
        <w:rPr>
          <w:rFonts w:ascii="Sylfaen" w:hAnsi="Sylfaen"/>
        </w:rPr>
        <w:t>has led to the creation of a novel stag</w:t>
      </w:r>
      <w:r w:rsidR="001D0B79" w:rsidRPr="00571A7C">
        <w:rPr>
          <w:rFonts w:ascii="Sylfaen" w:hAnsi="Sylfaen"/>
        </w:rPr>
        <w:t>ing</w:t>
      </w:r>
      <w:r w:rsidR="00F77597" w:rsidRPr="00571A7C">
        <w:rPr>
          <w:rFonts w:ascii="Sylfaen" w:hAnsi="Sylfaen"/>
        </w:rPr>
        <w:t xml:space="preserve"> system</w:t>
      </w:r>
      <w:r w:rsidR="00E71D70">
        <w:rPr>
          <w:rFonts w:ascii="Sylfaen" w:hAnsi="Sylfaen"/>
        </w:rPr>
        <w:t xml:space="preserve"> to help</w:t>
      </w:r>
      <w:r w:rsidR="00AE7440">
        <w:rPr>
          <w:rFonts w:ascii="Sylfaen" w:hAnsi="Sylfaen"/>
        </w:rPr>
        <w:t xml:space="preserve"> with trialling more effective treatments</w:t>
      </w:r>
      <w:r w:rsidR="00CB6ADD" w:rsidRPr="00571A7C">
        <w:rPr>
          <w:rFonts w:ascii="Sylfaen" w:hAnsi="Sylfaen"/>
        </w:rPr>
        <w:t xml:space="preserve">, the discovery of </w:t>
      </w:r>
      <w:r w:rsidR="00CB6ADD" w:rsidRPr="00571A7C">
        <w:rPr>
          <w:rFonts w:ascii="Sylfaen" w:hAnsi="Sylfaen"/>
        </w:rPr>
        <w:lastRenderedPageBreak/>
        <w:t>Huntington’s disorder</w:t>
      </w:r>
      <w:r w:rsidR="00640FB9" w:rsidRPr="00571A7C">
        <w:rPr>
          <w:rFonts w:ascii="Sylfaen" w:hAnsi="Sylfaen"/>
        </w:rPr>
        <w:t xml:space="preserve"> </w:t>
      </w:r>
      <w:r w:rsidR="00755329" w:rsidRPr="00571A7C">
        <w:rPr>
          <w:rFonts w:ascii="Sylfaen" w:hAnsi="Sylfaen"/>
        </w:rPr>
        <w:t>impairing autophagy processes</w:t>
      </w:r>
      <w:r w:rsidR="00640FB9" w:rsidRPr="00571A7C">
        <w:rPr>
          <w:rFonts w:ascii="Sylfaen" w:hAnsi="Sylfaen"/>
        </w:rPr>
        <w:t xml:space="preserve">, </w:t>
      </w:r>
      <w:r w:rsidR="002E6317" w:rsidRPr="00571A7C">
        <w:rPr>
          <w:rFonts w:ascii="Sylfaen" w:hAnsi="Sylfaen"/>
        </w:rPr>
        <w:t>and the clinical trialling of a new</w:t>
      </w:r>
      <w:r w:rsidR="002F5C1D" w:rsidRPr="00571A7C">
        <w:rPr>
          <w:rFonts w:ascii="Sylfaen" w:hAnsi="Sylfaen"/>
        </w:rPr>
        <w:t xml:space="preserve"> and promising</w:t>
      </w:r>
      <w:r w:rsidR="002E6317" w:rsidRPr="00571A7C">
        <w:rPr>
          <w:rFonts w:ascii="Sylfaen" w:hAnsi="Sylfaen"/>
        </w:rPr>
        <w:t xml:space="preserve"> drug</w:t>
      </w:r>
      <w:r w:rsidR="00FF784E" w:rsidRPr="00571A7C">
        <w:rPr>
          <w:rFonts w:ascii="Sylfaen" w:hAnsi="Sylfaen"/>
        </w:rPr>
        <w:t>.</w:t>
      </w:r>
    </w:p>
    <w:p w14:paraId="0ADC393D" w14:textId="77777777" w:rsidR="009F609A" w:rsidRPr="00571A7C" w:rsidRDefault="009F609A" w:rsidP="00990D5E">
      <w:pPr>
        <w:jc w:val="both"/>
        <w:rPr>
          <w:rFonts w:ascii="Sylfaen" w:hAnsi="Sylfaen"/>
        </w:rPr>
      </w:pPr>
    </w:p>
    <w:p w14:paraId="229BC55B" w14:textId="4F260081" w:rsidR="00A10993" w:rsidRPr="00571A7C" w:rsidRDefault="00990D5E" w:rsidP="00BD4071">
      <w:pPr>
        <w:pStyle w:val="Heading1"/>
        <w:rPr>
          <w:sz w:val="36"/>
        </w:rPr>
      </w:pPr>
      <w:r w:rsidRPr="00571A7C">
        <w:t>References</w:t>
      </w:r>
    </w:p>
    <w:p w14:paraId="43278B42" w14:textId="1DEF2679" w:rsidR="007D74BC" w:rsidRPr="00CF51AC" w:rsidRDefault="60650A52" w:rsidP="00BE5798">
      <w:pPr>
        <w:spacing w:after="160" w:line="360" w:lineRule="auto"/>
        <w:rPr>
          <w:rFonts w:ascii="Sylfaen" w:hAnsi="Sylfaen" w:cs="Times New Roman"/>
        </w:rPr>
      </w:pPr>
      <w:r w:rsidRPr="60650A52">
        <w:rPr>
          <w:rFonts w:ascii="Sylfaen" w:hAnsi="Sylfaen" w:cs="Times New Roman"/>
        </w:rPr>
        <w:t>Alzheimer’s Society. (2020). ‘Alzheimer’s Society’s view on demography’. Available at: https://www.alzheimers.org.uk/about-us/policy-and-influencing/what-we-think/demography#:~:text=Research%20conducted%20shows%20that%2C%20in,the%20current%20rate%20of%20prevalence (Accessed 04 Jun</w:t>
      </w:r>
      <w:r w:rsidR="008C5FCE">
        <w:rPr>
          <w:rFonts w:ascii="Sylfaen" w:hAnsi="Sylfaen" w:cs="Times New Roman"/>
        </w:rPr>
        <w:t>e</w:t>
      </w:r>
      <w:r w:rsidRPr="60650A52">
        <w:rPr>
          <w:rFonts w:ascii="Sylfaen" w:hAnsi="Sylfaen" w:cs="Times New Roman"/>
        </w:rPr>
        <w:t xml:space="preserve"> 2023).</w:t>
      </w:r>
    </w:p>
    <w:p w14:paraId="5F163792" w14:textId="743FF9CB" w:rsidR="007D74BC" w:rsidRPr="00BE5798" w:rsidRDefault="60650A52" w:rsidP="00BE5798">
      <w:pPr>
        <w:spacing w:after="160" w:line="360" w:lineRule="auto"/>
        <w:rPr>
          <w:rFonts w:ascii="Sylfaen" w:hAnsi="Sylfaen" w:cs="Times New Roman"/>
        </w:rPr>
      </w:pPr>
      <w:r w:rsidRPr="60650A52">
        <w:rPr>
          <w:rFonts w:ascii="Sylfaen" w:hAnsi="Sylfaen" w:cs="Times New Roman"/>
        </w:rPr>
        <w:t>Alzheimer’s Society. (No Date). ‘Is dementia hereditary?’ Available at: https://www.alzheimers.org.uk/about-dementia/risk-factors-and-prevention/is-dementia-hereditary (</w:t>
      </w:r>
      <w:bookmarkStart w:id="1" w:name="_Hlk140524669"/>
      <w:r w:rsidRPr="60650A52">
        <w:rPr>
          <w:rFonts w:ascii="Sylfaen" w:hAnsi="Sylfaen" w:cs="Times New Roman"/>
        </w:rPr>
        <w:t>Accessed 04 Jun</w:t>
      </w:r>
      <w:r w:rsidR="008C5FCE">
        <w:rPr>
          <w:rFonts w:ascii="Sylfaen" w:hAnsi="Sylfaen" w:cs="Times New Roman"/>
        </w:rPr>
        <w:t>e</w:t>
      </w:r>
      <w:r w:rsidRPr="60650A52">
        <w:rPr>
          <w:rFonts w:ascii="Sylfaen" w:hAnsi="Sylfaen" w:cs="Times New Roman"/>
        </w:rPr>
        <w:t xml:space="preserve"> 2023).</w:t>
      </w:r>
      <w:bookmarkEnd w:id="1"/>
    </w:p>
    <w:p w14:paraId="725EB8A6" w14:textId="555ED58F" w:rsidR="007D74BC" w:rsidRPr="00BE5798" w:rsidRDefault="60650A52" w:rsidP="00BE5798">
      <w:pPr>
        <w:spacing w:after="160" w:line="360" w:lineRule="auto"/>
        <w:rPr>
          <w:rFonts w:ascii="Sylfaen" w:hAnsi="Sylfaen"/>
        </w:rPr>
      </w:pPr>
      <w:r w:rsidRPr="60650A52">
        <w:rPr>
          <w:rFonts w:ascii="Sylfaen" w:hAnsi="Sylfaen"/>
        </w:rPr>
        <w:t>Balogun, B., Sutherland, N. and Powell, T. (2022). ‘Huntington’s disease’. Number CDP 2022/0191. Available at: https://researchbriefings.files.parliament.uk/documents/CDP-2022-0191/CDP-2022-0191.pdf (Accessed 26 May 2023).</w:t>
      </w:r>
    </w:p>
    <w:p w14:paraId="36DEA5A0" w14:textId="03E79329" w:rsidR="007D74BC" w:rsidRPr="00BE5798" w:rsidRDefault="60650A52" w:rsidP="00BE5798">
      <w:pPr>
        <w:spacing w:after="160" w:line="360" w:lineRule="auto"/>
        <w:rPr>
          <w:rFonts w:ascii="Sylfaen" w:hAnsi="Sylfaen" w:cs="Times New Roman"/>
        </w:rPr>
      </w:pPr>
      <w:r w:rsidRPr="60650A52">
        <w:rPr>
          <w:rFonts w:ascii="Sylfaen" w:hAnsi="Sylfaen" w:cs="Times New Roman"/>
        </w:rPr>
        <w:t xml:space="preserve">CDC. (2019). ‘About Dementia’. </w:t>
      </w:r>
      <w:r w:rsidRPr="60650A52">
        <w:rPr>
          <w:rFonts w:ascii="Sylfaen" w:hAnsi="Sylfaen" w:cs="Times New Roman"/>
          <w:i/>
          <w:iCs/>
        </w:rPr>
        <w:t>Alzheimer’s Disease and Related Dementias</w:t>
      </w:r>
      <w:r w:rsidRPr="60650A52">
        <w:rPr>
          <w:rFonts w:ascii="Sylfaen" w:hAnsi="Sylfaen" w:cs="Times New Roman"/>
        </w:rPr>
        <w:t>. Available at: https://www.cdc.gov/aging/dementia/index.html#:~:text=Dementia%20is%20not%20a%20specific,a%20part%20of%20normal%20aging (Accessed 04 Jun</w:t>
      </w:r>
      <w:r w:rsidR="008C5FCE">
        <w:rPr>
          <w:rFonts w:ascii="Sylfaen" w:hAnsi="Sylfaen" w:cs="Times New Roman"/>
        </w:rPr>
        <w:t>e</w:t>
      </w:r>
      <w:r w:rsidRPr="60650A52">
        <w:rPr>
          <w:rFonts w:ascii="Sylfaen" w:hAnsi="Sylfaen" w:cs="Times New Roman"/>
        </w:rPr>
        <w:t xml:space="preserve"> 2023).</w:t>
      </w:r>
    </w:p>
    <w:p w14:paraId="1684C591" w14:textId="37FE4B66" w:rsidR="007D74BC" w:rsidRPr="00BE5798" w:rsidRDefault="60650A52" w:rsidP="00BE5798">
      <w:pPr>
        <w:spacing w:after="160" w:line="360" w:lineRule="auto"/>
        <w:rPr>
          <w:rFonts w:ascii="Sylfaen" w:hAnsi="Sylfaen"/>
        </w:rPr>
      </w:pPr>
      <w:r w:rsidRPr="60650A52">
        <w:rPr>
          <w:rFonts w:ascii="Sylfaen" w:hAnsi="Sylfaen"/>
        </w:rPr>
        <w:t xml:space="preserve">Clelland, C.D., Barker, R.A. and Watts, C. (2008). ‘Cell therapy in Huntington disease’. </w:t>
      </w:r>
      <w:r w:rsidRPr="60650A52">
        <w:rPr>
          <w:rFonts w:ascii="Sylfaen" w:hAnsi="Sylfaen"/>
          <w:i/>
          <w:iCs/>
        </w:rPr>
        <w:t>Neurosurgical Focus</w:t>
      </w:r>
      <w:r w:rsidRPr="60650A52">
        <w:rPr>
          <w:rFonts w:ascii="Sylfaen" w:hAnsi="Sylfaen"/>
        </w:rPr>
        <w:t>, 24(3-4), p.E9.</w:t>
      </w:r>
    </w:p>
    <w:p w14:paraId="7E9C085D" w14:textId="63E01CD2" w:rsidR="007D74BC" w:rsidRPr="00BE5798" w:rsidRDefault="60650A52" w:rsidP="00BE5798">
      <w:pPr>
        <w:spacing w:after="160" w:line="360" w:lineRule="auto"/>
        <w:rPr>
          <w:rFonts w:ascii="Sylfaen" w:hAnsi="Sylfaen"/>
        </w:rPr>
      </w:pPr>
      <w:r w:rsidRPr="60650A52">
        <w:rPr>
          <w:rFonts w:ascii="Sylfaen" w:hAnsi="Sylfaen"/>
        </w:rPr>
        <w:t>Clinicaltrials.gov. (2020). ‘Search of: Huntington Disease - List Results - ClinicalTrials.gov’. Available at: https://clinicaltrials.gov/ct2/results?cond=Huntington+Disease&amp;term=&amp;cntry=&amp;state=&amp;city=&amp;dist= (Accessed 10 Feb</w:t>
      </w:r>
      <w:r w:rsidR="008C5FCE">
        <w:rPr>
          <w:rFonts w:ascii="Sylfaen" w:hAnsi="Sylfaen"/>
        </w:rPr>
        <w:t>ruary</w:t>
      </w:r>
      <w:r w:rsidRPr="60650A52">
        <w:rPr>
          <w:rFonts w:ascii="Sylfaen" w:hAnsi="Sylfaen"/>
        </w:rPr>
        <w:t xml:space="preserve"> 2022).</w:t>
      </w:r>
    </w:p>
    <w:p w14:paraId="42F9DCEF" w14:textId="561DE7BB" w:rsidR="007D74BC" w:rsidRPr="00BE5798" w:rsidRDefault="60650A52" w:rsidP="00BE5798">
      <w:pPr>
        <w:spacing w:after="160" w:line="360" w:lineRule="auto"/>
        <w:rPr>
          <w:rFonts w:ascii="Sylfaen" w:hAnsi="Sylfaen"/>
        </w:rPr>
      </w:pPr>
      <w:r w:rsidRPr="60650A52">
        <w:rPr>
          <w:rFonts w:ascii="Sylfaen" w:hAnsi="Sylfaen"/>
        </w:rPr>
        <w:t xml:space="preserve">Dayalu, </w:t>
      </w:r>
      <w:proofErr w:type="gramStart"/>
      <w:r w:rsidRPr="60650A52">
        <w:rPr>
          <w:rFonts w:ascii="Sylfaen" w:hAnsi="Sylfaen"/>
        </w:rPr>
        <w:t>P.</w:t>
      </w:r>
      <w:proofErr w:type="gramEnd"/>
      <w:r w:rsidRPr="60650A52">
        <w:rPr>
          <w:rFonts w:ascii="Sylfaen" w:hAnsi="Sylfaen"/>
        </w:rPr>
        <w:t xml:space="preserve"> and Albin, R.L. (2015). ‘Huntington Disease’. </w:t>
      </w:r>
      <w:r w:rsidRPr="60650A52">
        <w:rPr>
          <w:rFonts w:ascii="Sylfaen" w:hAnsi="Sylfaen"/>
          <w:i/>
          <w:iCs/>
        </w:rPr>
        <w:t>Neurologic Clinics</w:t>
      </w:r>
      <w:r w:rsidRPr="60650A52">
        <w:rPr>
          <w:rFonts w:ascii="Sylfaen" w:hAnsi="Sylfaen"/>
        </w:rPr>
        <w:t>, 33(1), pp.101–114.</w:t>
      </w:r>
    </w:p>
    <w:p w14:paraId="069D8E20" w14:textId="7DABC6EE" w:rsidR="007D74BC" w:rsidRPr="00BE5798" w:rsidRDefault="60650A52" w:rsidP="00BE5798">
      <w:pPr>
        <w:spacing w:after="160" w:line="360" w:lineRule="auto"/>
        <w:rPr>
          <w:rFonts w:ascii="Sylfaen" w:hAnsi="Sylfaen"/>
        </w:rPr>
      </w:pPr>
      <w:r w:rsidRPr="60650A52">
        <w:rPr>
          <w:rFonts w:ascii="Sylfaen" w:hAnsi="Sylfaen"/>
        </w:rPr>
        <w:t xml:space="preserve">de Die-Smulders, C.E.M., de Wert, G.M.W.R., Liebaers, I., Tibben, A. and Evers-Kiebooms, G. (2013). ‘Reproductive options for prospective parents in families with Huntington’s disease: clinical, psychological and ethical </w:t>
      </w:r>
      <w:proofErr w:type="gramStart"/>
      <w:r w:rsidRPr="60650A52">
        <w:rPr>
          <w:rFonts w:ascii="Sylfaen" w:hAnsi="Sylfaen"/>
        </w:rPr>
        <w:t>reflections’</w:t>
      </w:r>
      <w:proofErr w:type="gramEnd"/>
      <w:r w:rsidRPr="60650A52">
        <w:rPr>
          <w:rFonts w:ascii="Sylfaen" w:hAnsi="Sylfaen"/>
        </w:rPr>
        <w:t xml:space="preserve">. </w:t>
      </w:r>
      <w:r w:rsidRPr="60650A52">
        <w:rPr>
          <w:rFonts w:ascii="Sylfaen" w:hAnsi="Sylfaen"/>
          <w:i/>
          <w:iCs/>
        </w:rPr>
        <w:t>Human Reproduction Update</w:t>
      </w:r>
      <w:r w:rsidRPr="60650A52">
        <w:rPr>
          <w:rFonts w:ascii="Sylfaen" w:hAnsi="Sylfaen"/>
        </w:rPr>
        <w:t>, 19(3), pp.304–315.</w:t>
      </w:r>
    </w:p>
    <w:p w14:paraId="7F4632D0" w14:textId="36D37D82" w:rsidR="007D74BC" w:rsidRPr="00BE5798" w:rsidRDefault="60650A52" w:rsidP="00BE5798">
      <w:pPr>
        <w:spacing w:after="160" w:line="360" w:lineRule="auto"/>
        <w:rPr>
          <w:rFonts w:ascii="Sylfaen" w:hAnsi="Sylfaen"/>
        </w:rPr>
      </w:pPr>
      <w:r w:rsidRPr="60650A52">
        <w:rPr>
          <w:rFonts w:ascii="Sylfaen" w:hAnsi="Sylfaen"/>
        </w:rPr>
        <w:lastRenderedPageBreak/>
        <w:t xml:space="preserve">Djajadikerta, A., Keshri, S., Pavel, M., Prestil, R., Ryan, L. and Rubinsztein, D.C. (2020). ‘Autophagy Induction as a Therapeutic Strategy for Neurodegenerative Diseases’. </w:t>
      </w:r>
      <w:r w:rsidRPr="60650A52">
        <w:rPr>
          <w:rFonts w:ascii="Sylfaen" w:hAnsi="Sylfaen"/>
          <w:i/>
          <w:iCs/>
        </w:rPr>
        <w:t>Journal of Molecular Biology</w:t>
      </w:r>
      <w:r w:rsidRPr="60650A52">
        <w:rPr>
          <w:rFonts w:ascii="Sylfaen" w:hAnsi="Sylfaen"/>
        </w:rPr>
        <w:t>, 432(8), pp.2799–2821.</w:t>
      </w:r>
    </w:p>
    <w:p w14:paraId="431845CE" w14:textId="6E75D60D" w:rsidR="007D74BC" w:rsidRPr="00BE5798" w:rsidRDefault="60650A52" w:rsidP="00BE5798">
      <w:pPr>
        <w:spacing w:after="160" w:line="360" w:lineRule="auto"/>
        <w:rPr>
          <w:rFonts w:ascii="Sylfaen" w:hAnsi="Sylfaen"/>
        </w:rPr>
      </w:pPr>
      <w:r w:rsidRPr="60650A52">
        <w:rPr>
          <w:rFonts w:ascii="Sylfaen" w:hAnsi="Sylfaen"/>
        </w:rPr>
        <w:t>FDA (2008). ‘FDA Approves First Drug for Treatment of Chorea in Huntington’s Disease’. Available at: https://web.archive.org/web/20080821020643/https:/www.fda.gov/bbs/topics/NEWS/2008/NEW01874.html (Accessed 10 Feb</w:t>
      </w:r>
      <w:r w:rsidR="008C5FCE">
        <w:rPr>
          <w:rFonts w:ascii="Sylfaen" w:hAnsi="Sylfaen"/>
        </w:rPr>
        <w:t>ruary</w:t>
      </w:r>
      <w:r w:rsidRPr="60650A52">
        <w:rPr>
          <w:rFonts w:ascii="Sylfaen" w:hAnsi="Sylfaen"/>
        </w:rPr>
        <w:t xml:space="preserve"> 2022).</w:t>
      </w:r>
    </w:p>
    <w:p w14:paraId="153ACD93" w14:textId="408544D7" w:rsidR="007D74BC" w:rsidRPr="00BE5798" w:rsidRDefault="60650A52" w:rsidP="00BE5798">
      <w:pPr>
        <w:spacing w:after="160" w:line="360" w:lineRule="auto"/>
        <w:rPr>
          <w:rFonts w:ascii="Sylfaen" w:hAnsi="Sylfaen"/>
        </w:rPr>
      </w:pPr>
      <w:r w:rsidRPr="60650A52">
        <w:rPr>
          <w:rFonts w:ascii="Sylfaen" w:hAnsi="Sylfaen"/>
        </w:rPr>
        <w:t xml:space="preserve">Frank, S. (2013). ‘Treatment of Huntington’s Disease’. </w:t>
      </w:r>
      <w:r w:rsidRPr="60650A52">
        <w:rPr>
          <w:rFonts w:ascii="Sylfaen" w:hAnsi="Sylfaen"/>
          <w:i/>
          <w:iCs/>
        </w:rPr>
        <w:t>Neurotherapeutics</w:t>
      </w:r>
      <w:r w:rsidRPr="60650A52">
        <w:rPr>
          <w:rFonts w:ascii="Sylfaen" w:hAnsi="Sylfaen"/>
        </w:rPr>
        <w:t>, 11(1), pp.153–160.</w:t>
      </w:r>
    </w:p>
    <w:p w14:paraId="0BED3CCC" w14:textId="09135C9C" w:rsidR="007D74BC" w:rsidRPr="00BB66BF" w:rsidRDefault="60650A52" w:rsidP="00BE5798">
      <w:pPr>
        <w:spacing w:after="160" w:line="360" w:lineRule="auto"/>
        <w:rPr>
          <w:rFonts w:ascii="Sylfaen" w:hAnsi="Sylfaen" w:cs="Times New Roman"/>
        </w:rPr>
      </w:pPr>
      <w:r w:rsidRPr="60650A52">
        <w:rPr>
          <w:rFonts w:ascii="Sylfaen" w:hAnsi="Sylfaen" w:cs="Times New Roman"/>
        </w:rPr>
        <w:t xml:space="preserve">Huntington Study Group (2022). ‘PRidopidine Outcome </w:t>
      </w:r>
      <w:proofErr w:type="gramStart"/>
      <w:r w:rsidRPr="60650A52">
        <w:rPr>
          <w:rFonts w:ascii="Sylfaen" w:hAnsi="Sylfaen" w:cs="Times New Roman"/>
        </w:rPr>
        <w:t>On</w:t>
      </w:r>
      <w:proofErr w:type="gramEnd"/>
      <w:r w:rsidRPr="60650A52">
        <w:rPr>
          <w:rFonts w:ascii="Sylfaen" w:hAnsi="Sylfaen" w:cs="Times New Roman"/>
        </w:rPr>
        <w:t xml:space="preserve"> Function in Huntington Disease (PROOF-HD)’. Available at: https://huntingtonstudygroup.org/proof-hd/ (Accessed 05 Jun</w:t>
      </w:r>
      <w:r w:rsidR="008C5FCE">
        <w:rPr>
          <w:rFonts w:ascii="Sylfaen" w:hAnsi="Sylfaen" w:cs="Times New Roman"/>
        </w:rPr>
        <w:t>e</w:t>
      </w:r>
      <w:r w:rsidRPr="60650A52">
        <w:rPr>
          <w:rFonts w:ascii="Sylfaen" w:hAnsi="Sylfaen" w:cs="Times New Roman"/>
        </w:rPr>
        <w:t xml:space="preserve"> 2023).</w:t>
      </w:r>
    </w:p>
    <w:p w14:paraId="27422106" w14:textId="61B51E6E" w:rsidR="007D74BC" w:rsidRPr="00BB66BF" w:rsidRDefault="60650A52" w:rsidP="00BE5798">
      <w:pPr>
        <w:spacing w:after="160" w:line="360" w:lineRule="auto"/>
        <w:rPr>
          <w:rFonts w:ascii="Sylfaen" w:hAnsi="Sylfaen" w:cs="Times New Roman"/>
        </w:rPr>
      </w:pPr>
      <w:r w:rsidRPr="60650A52">
        <w:rPr>
          <w:rFonts w:ascii="Times New Roman" w:hAnsi="Times New Roman" w:cs="Times New Roman"/>
        </w:rPr>
        <w:t>‌</w:t>
      </w:r>
      <w:r w:rsidRPr="60650A52">
        <w:rPr>
          <w:rFonts w:ascii="Sylfaen" w:hAnsi="Sylfaen" w:cs="Times New Roman"/>
        </w:rPr>
        <w:t>Huntington’s Disease Association. (No Date). ‘Genetic testing’. Available at: https://www.hda.org.uk/information-and-support/getting-help/genetic-testing/ (Accessed 05 Jun</w:t>
      </w:r>
      <w:r w:rsidR="008C5FCE">
        <w:rPr>
          <w:rFonts w:ascii="Sylfaen" w:hAnsi="Sylfaen" w:cs="Times New Roman"/>
        </w:rPr>
        <w:t>e</w:t>
      </w:r>
      <w:r w:rsidRPr="60650A52">
        <w:rPr>
          <w:rFonts w:ascii="Sylfaen" w:hAnsi="Sylfaen" w:cs="Times New Roman"/>
        </w:rPr>
        <w:t xml:space="preserve"> 2023).</w:t>
      </w:r>
    </w:p>
    <w:p w14:paraId="2EF99E86" w14:textId="2463A441" w:rsidR="007D74BC" w:rsidRPr="00BE5798" w:rsidRDefault="60650A52" w:rsidP="00BE5798">
      <w:pPr>
        <w:spacing w:after="160" w:line="360" w:lineRule="auto"/>
        <w:rPr>
          <w:rFonts w:ascii="Sylfaen" w:hAnsi="Sylfaen" w:cs="Times New Roman"/>
        </w:rPr>
      </w:pPr>
      <w:r w:rsidRPr="60650A52">
        <w:rPr>
          <w:rFonts w:ascii="Sylfaen" w:hAnsi="Sylfaen" w:cs="Times New Roman"/>
        </w:rPr>
        <w:t>Huntington’s Disease Association. (No Date). ‘Starting a family’. Available at: https://www.hda.org.uk/information-and-support/getting-help/starting-a-family/ (Accessed 05 Jun</w:t>
      </w:r>
      <w:r w:rsidR="008C5FCE">
        <w:rPr>
          <w:rFonts w:ascii="Sylfaen" w:hAnsi="Sylfaen" w:cs="Times New Roman"/>
        </w:rPr>
        <w:t>e</w:t>
      </w:r>
      <w:r w:rsidRPr="60650A52">
        <w:rPr>
          <w:rFonts w:ascii="Sylfaen" w:hAnsi="Sylfaen" w:cs="Times New Roman"/>
        </w:rPr>
        <w:t xml:space="preserve"> 2023).</w:t>
      </w:r>
    </w:p>
    <w:p w14:paraId="39434F20" w14:textId="7BF6713B" w:rsidR="007D74BC" w:rsidRPr="00BE5798" w:rsidRDefault="60650A52" w:rsidP="00BE5798">
      <w:pPr>
        <w:spacing w:after="160" w:line="360" w:lineRule="auto"/>
        <w:rPr>
          <w:rFonts w:ascii="Sylfaen" w:hAnsi="Sylfaen" w:cs="Times New Roman"/>
        </w:rPr>
      </w:pPr>
      <w:r w:rsidRPr="60650A52">
        <w:rPr>
          <w:rFonts w:ascii="Sylfaen" w:hAnsi="Sylfaen" w:cs="Times New Roman"/>
        </w:rPr>
        <w:t xml:space="preserve">Kim, M.W., Chelliah, Y., Kim, S.W., Otwinowski, Z. and Bezprozvanny, I. (2009). ‘Secondary Structure of Huntingtin Amino-Terminal Region’. </w:t>
      </w:r>
      <w:r w:rsidRPr="60650A52">
        <w:rPr>
          <w:rFonts w:ascii="Sylfaen" w:hAnsi="Sylfaen" w:cs="Times New Roman"/>
          <w:i/>
          <w:iCs/>
        </w:rPr>
        <w:t>Structure</w:t>
      </w:r>
      <w:r w:rsidRPr="60650A52">
        <w:rPr>
          <w:rFonts w:ascii="Sylfaen" w:hAnsi="Sylfaen" w:cs="Times New Roman"/>
        </w:rPr>
        <w:t>, 17(9), pp.1205–1212.</w:t>
      </w:r>
    </w:p>
    <w:p w14:paraId="663F4D4C" w14:textId="2270CE64" w:rsidR="007D74BC" w:rsidRPr="00BE5798" w:rsidRDefault="60650A52" w:rsidP="00BE5798">
      <w:pPr>
        <w:spacing w:after="160" w:line="360" w:lineRule="auto"/>
        <w:rPr>
          <w:rFonts w:ascii="Sylfaen" w:hAnsi="Sylfaen"/>
        </w:rPr>
      </w:pPr>
      <w:r w:rsidRPr="60650A52">
        <w:rPr>
          <w:rFonts w:ascii="Sylfaen" w:hAnsi="Sylfaen"/>
        </w:rPr>
        <w:t xml:space="preserve">Klionsky, D.J. (2008). ‘Autophagy revisited: A conversation with Christian de Duve’. </w:t>
      </w:r>
      <w:r w:rsidRPr="60650A52">
        <w:rPr>
          <w:rFonts w:ascii="Sylfaen" w:hAnsi="Sylfaen"/>
          <w:i/>
          <w:iCs/>
        </w:rPr>
        <w:t>Autophagy</w:t>
      </w:r>
      <w:r w:rsidRPr="60650A52">
        <w:rPr>
          <w:rFonts w:ascii="Sylfaen" w:hAnsi="Sylfaen"/>
        </w:rPr>
        <w:t>, vol 4, pp.740-743.</w:t>
      </w:r>
    </w:p>
    <w:p w14:paraId="2585522C" w14:textId="0E39EFF1" w:rsidR="007D74BC" w:rsidRPr="00BE5798" w:rsidRDefault="60650A52" w:rsidP="00BE5798">
      <w:pPr>
        <w:spacing w:after="160" w:line="360" w:lineRule="auto"/>
        <w:rPr>
          <w:rFonts w:ascii="Sylfaen" w:hAnsi="Sylfaen"/>
        </w:rPr>
      </w:pPr>
      <w:r w:rsidRPr="60650A52">
        <w:rPr>
          <w:rFonts w:ascii="Sylfaen" w:hAnsi="Sylfaen"/>
        </w:rPr>
        <w:t xml:space="preserve">Liu, Z., Zhou, T., Ziegler, A.C., Dimitrion, P. and Zuo, L. (2017). ‘Oxidative Stress in Neurodegenerative Diseases: From Molecular Mechanisms to Clinical Applications’. </w:t>
      </w:r>
      <w:r w:rsidRPr="60650A52">
        <w:rPr>
          <w:rFonts w:ascii="Sylfaen" w:hAnsi="Sylfaen"/>
          <w:i/>
          <w:iCs/>
        </w:rPr>
        <w:t>Oxidative Medicine and Cellular Longevity</w:t>
      </w:r>
      <w:r w:rsidRPr="60650A52">
        <w:rPr>
          <w:rFonts w:ascii="Sylfaen" w:hAnsi="Sylfaen"/>
        </w:rPr>
        <w:t>, pp.1–11.</w:t>
      </w:r>
    </w:p>
    <w:p w14:paraId="06AE3B9A" w14:textId="073C3BA2" w:rsidR="007D74BC" w:rsidRPr="00BE5798" w:rsidRDefault="60650A52" w:rsidP="00BE5798">
      <w:pPr>
        <w:spacing w:after="160" w:line="360" w:lineRule="auto"/>
        <w:rPr>
          <w:rFonts w:ascii="Sylfaen" w:hAnsi="Sylfaen" w:cs="Times New Roman"/>
        </w:rPr>
      </w:pPr>
      <w:r w:rsidRPr="60650A52">
        <w:rPr>
          <w:rFonts w:ascii="Times New Roman" w:hAnsi="Times New Roman" w:cs="Times New Roman"/>
        </w:rPr>
        <w:t>‌</w:t>
      </w:r>
      <w:r w:rsidRPr="60650A52">
        <w:rPr>
          <w:rFonts w:ascii="Sylfaen" w:hAnsi="Sylfaen" w:cs="Times New Roman"/>
        </w:rPr>
        <w:t xml:space="preserve">Mercy, L., Hodges, J.R., Dawson, K.S., Barker, R.A. and Brayne, C. (2008). ‘Incidence of early-onset dementias in Cambridgeshire, United Kingdom’. </w:t>
      </w:r>
      <w:r w:rsidRPr="60650A52">
        <w:rPr>
          <w:rFonts w:ascii="Sylfaen" w:hAnsi="Sylfaen" w:cs="Times New Roman"/>
          <w:i/>
          <w:iCs/>
        </w:rPr>
        <w:t>Neurology</w:t>
      </w:r>
      <w:r w:rsidRPr="60650A52">
        <w:rPr>
          <w:rFonts w:ascii="Sylfaen" w:hAnsi="Sylfaen" w:cs="Times New Roman"/>
        </w:rPr>
        <w:t>, 71(19), pp.1496–1499.</w:t>
      </w:r>
    </w:p>
    <w:p w14:paraId="65313FB6" w14:textId="205EBECB" w:rsidR="007D74BC" w:rsidRPr="00BE5798" w:rsidRDefault="60650A52" w:rsidP="00BE5798">
      <w:pPr>
        <w:spacing w:after="160" w:line="360" w:lineRule="auto"/>
        <w:rPr>
          <w:rFonts w:ascii="Sylfaen" w:hAnsi="Sylfaen"/>
        </w:rPr>
      </w:pPr>
      <w:r w:rsidRPr="60650A52">
        <w:rPr>
          <w:rFonts w:ascii="Sylfaen" w:hAnsi="Sylfaen"/>
        </w:rPr>
        <w:lastRenderedPageBreak/>
        <w:t xml:space="preserve">Munoz-Sanjuan, I. and Bates, G.P. (2011). ‘The importance of integrating basic and clinical research toward the development of new therapies for Huntington disease’. </w:t>
      </w:r>
      <w:r w:rsidRPr="60650A52">
        <w:rPr>
          <w:rFonts w:ascii="Sylfaen" w:hAnsi="Sylfaen"/>
          <w:i/>
          <w:iCs/>
        </w:rPr>
        <w:t>Journal of Clinical Investigation</w:t>
      </w:r>
      <w:r w:rsidRPr="60650A52">
        <w:rPr>
          <w:rFonts w:ascii="Sylfaen" w:hAnsi="Sylfaen"/>
        </w:rPr>
        <w:t>, 121(2), pp.476–483.</w:t>
      </w:r>
    </w:p>
    <w:p w14:paraId="2D660EDF" w14:textId="451D1ADC" w:rsidR="007D74BC" w:rsidRPr="00BE5798" w:rsidRDefault="60650A52" w:rsidP="00BE5798">
      <w:pPr>
        <w:spacing w:after="160" w:line="360" w:lineRule="auto"/>
        <w:rPr>
          <w:rFonts w:ascii="Sylfaen" w:hAnsi="Sylfaen"/>
        </w:rPr>
      </w:pPr>
      <w:r w:rsidRPr="60650A52">
        <w:rPr>
          <w:rFonts w:ascii="Sylfaen" w:hAnsi="Sylfaen"/>
        </w:rPr>
        <w:t xml:space="preserve">Myers, R.H. (2004). ‘Huntington’s disease </w:t>
      </w:r>
      <w:proofErr w:type="gramStart"/>
      <w:r w:rsidRPr="60650A52">
        <w:rPr>
          <w:rFonts w:ascii="Sylfaen" w:hAnsi="Sylfaen"/>
        </w:rPr>
        <w:t>genetics’</w:t>
      </w:r>
      <w:proofErr w:type="gramEnd"/>
      <w:r w:rsidRPr="60650A52">
        <w:rPr>
          <w:rFonts w:ascii="Sylfaen" w:hAnsi="Sylfaen"/>
        </w:rPr>
        <w:t xml:space="preserve">. </w:t>
      </w:r>
      <w:r w:rsidRPr="60650A52">
        <w:rPr>
          <w:rFonts w:ascii="Sylfaen" w:hAnsi="Sylfaen"/>
          <w:i/>
          <w:iCs/>
        </w:rPr>
        <w:t>NeuroRX</w:t>
      </w:r>
      <w:r w:rsidRPr="60650A52">
        <w:rPr>
          <w:rFonts w:ascii="Sylfaen" w:hAnsi="Sylfaen"/>
        </w:rPr>
        <w:t>, 1(2), pp.255–262.</w:t>
      </w:r>
    </w:p>
    <w:p w14:paraId="3F554E1D" w14:textId="42FBE0AE" w:rsidR="007D74BC" w:rsidRPr="00BE5798" w:rsidRDefault="60650A52" w:rsidP="00BE5798">
      <w:pPr>
        <w:spacing w:after="160" w:line="360" w:lineRule="auto"/>
        <w:rPr>
          <w:rFonts w:ascii="Sylfaen" w:hAnsi="Sylfaen"/>
        </w:rPr>
      </w:pPr>
      <w:r w:rsidRPr="60650A52">
        <w:rPr>
          <w:rFonts w:ascii="Sylfaen" w:hAnsi="Sylfaen"/>
        </w:rPr>
        <w:t>NHS (2022). ‘Symptoms - Huntington’s disease’. Available at: https://www.nhs.uk/conditions/huntingtons-disease/ (Accessed 10 Feb</w:t>
      </w:r>
      <w:r w:rsidR="008C5FCE">
        <w:rPr>
          <w:rFonts w:ascii="Sylfaen" w:hAnsi="Sylfaen"/>
        </w:rPr>
        <w:t>ruary</w:t>
      </w:r>
      <w:r w:rsidRPr="60650A52">
        <w:rPr>
          <w:rFonts w:ascii="Sylfaen" w:hAnsi="Sylfaen"/>
        </w:rPr>
        <w:t xml:space="preserve"> 2022).</w:t>
      </w:r>
    </w:p>
    <w:p w14:paraId="46A284DA" w14:textId="53E73BD1" w:rsidR="007D74BC" w:rsidRPr="00BB66BF" w:rsidRDefault="60650A52" w:rsidP="00BE5798">
      <w:pPr>
        <w:spacing w:after="160" w:line="360" w:lineRule="auto"/>
        <w:rPr>
          <w:rFonts w:ascii="Sylfaen" w:hAnsi="Sylfaen"/>
        </w:rPr>
      </w:pPr>
      <w:r w:rsidRPr="60650A52">
        <w:rPr>
          <w:rFonts w:ascii="Sylfaen" w:hAnsi="Sylfaen"/>
        </w:rPr>
        <w:t>NIHR (2022). ‘NIHR Annual Report 2020/2021’. Available at: https://www.nihr.ac.uk/documents/about-us/our-contribution-to-research/research-performance/Final-NIHR-Annual-report%2020_21.pdf (</w:t>
      </w:r>
      <w:bookmarkStart w:id="2" w:name="_Hlk140524606"/>
      <w:r w:rsidRPr="60650A52">
        <w:rPr>
          <w:rFonts w:ascii="Sylfaen" w:hAnsi="Sylfaen"/>
        </w:rPr>
        <w:t>Accessed 26 May 2023).</w:t>
      </w:r>
      <w:bookmarkEnd w:id="2"/>
    </w:p>
    <w:p w14:paraId="63CF82A0" w14:textId="68EE9B23" w:rsidR="007D74BC" w:rsidRPr="00BE5798" w:rsidRDefault="60650A52" w:rsidP="00BE5798">
      <w:pPr>
        <w:spacing w:after="160" w:line="360" w:lineRule="auto"/>
        <w:rPr>
          <w:rFonts w:ascii="Sylfaen" w:hAnsi="Sylfaen" w:cs="Times New Roman"/>
        </w:rPr>
      </w:pPr>
      <w:r w:rsidRPr="60650A52">
        <w:rPr>
          <w:rFonts w:ascii="Sylfaen" w:hAnsi="Sylfaen" w:cs="Times New Roman"/>
        </w:rPr>
        <w:t>NIST. (2011). ‘New NIST SRM Helps Improve Diagnosis of Huntington’s Disease’. Available at: https://www.nist.gov/news-events/news/2011/04/new-nist-srm-helps-improve-diagnosis-huntingtons-disease (Accessed 27 May 2023).</w:t>
      </w:r>
    </w:p>
    <w:p w14:paraId="2AD30F64" w14:textId="4384BF73" w:rsidR="007D74BC" w:rsidRPr="00BE5798" w:rsidRDefault="60650A52" w:rsidP="00BE5798">
      <w:pPr>
        <w:spacing w:after="160" w:line="360" w:lineRule="auto"/>
        <w:rPr>
          <w:rFonts w:ascii="Sylfaen" w:hAnsi="Sylfaen" w:cs="Times New Roman"/>
        </w:rPr>
      </w:pPr>
      <w:r w:rsidRPr="60650A52">
        <w:rPr>
          <w:rFonts w:ascii="Sylfaen" w:hAnsi="Sylfaen" w:cs="Times New Roman"/>
        </w:rPr>
        <w:t xml:space="preserve">Nopoulos, P. (2016). ‘Huntington disease: a single-gene degenerative disorder of the striatum’. </w:t>
      </w:r>
      <w:r w:rsidRPr="60650A52">
        <w:rPr>
          <w:rFonts w:ascii="Sylfaen" w:hAnsi="Sylfaen" w:cs="Times New Roman"/>
          <w:i/>
          <w:iCs/>
        </w:rPr>
        <w:t>Dialogues in Clinical Neuroscience</w:t>
      </w:r>
      <w:r w:rsidRPr="60650A52">
        <w:rPr>
          <w:rFonts w:ascii="Sylfaen" w:hAnsi="Sylfaen" w:cs="Times New Roman"/>
        </w:rPr>
        <w:t>, 18(1), pp.91–98.</w:t>
      </w:r>
    </w:p>
    <w:p w14:paraId="7E022BF1" w14:textId="1EEACBE5" w:rsidR="007D74BC" w:rsidRPr="00BE5798" w:rsidRDefault="60650A52" w:rsidP="00BE5798">
      <w:pPr>
        <w:spacing w:after="160" w:line="360" w:lineRule="auto"/>
        <w:rPr>
          <w:rFonts w:ascii="Sylfaen" w:hAnsi="Sylfaen" w:cs="Times New Roman"/>
        </w:rPr>
      </w:pPr>
      <w:r w:rsidRPr="60650A52">
        <w:rPr>
          <w:rFonts w:ascii="Times New Roman" w:hAnsi="Times New Roman" w:cs="Times New Roman"/>
        </w:rPr>
        <w:t>‌</w:t>
      </w:r>
      <w:r w:rsidRPr="60650A52">
        <w:rPr>
          <w:rFonts w:ascii="Sylfaen" w:hAnsi="Sylfaen" w:cs="Times New Roman"/>
        </w:rPr>
        <w:t xml:space="preserve">Oh, Y.M., Lee, S.W., Kim, W.K., Chen, S., Church, V.A., Cates, K., Li, T., Zhang, B., Dolle, R.E., Dahiya, S., Pak, S.C., Silverman, G.A., Perlmutter, D.H. and Yoo, A.S. (2022). ‘Age-related Huntington’s disease progression modeled in directly reprogrammed patient-derived striatal neurons highlights impaired autophagy’. </w:t>
      </w:r>
      <w:r w:rsidRPr="60650A52">
        <w:rPr>
          <w:rFonts w:ascii="Sylfaen" w:hAnsi="Sylfaen" w:cs="Times New Roman"/>
          <w:i/>
          <w:iCs/>
        </w:rPr>
        <w:t>nature neuroscience</w:t>
      </w:r>
      <w:r w:rsidRPr="60650A52">
        <w:rPr>
          <w:rFonts w:ascii="Sylfaen" w:hAnsi="Sylfaen" w:cs="Times New Roman"/>
        </w:rPr>
        <w:t>, 25(11), pp.1420–1433.</w:t>
      </w:r>
    </w:p>
    <w:p w14:paraId="345CBABB" w14:textId="1D682DDA" w:rsidR="007D74BC" w:rsidRDefault="60650A52" w:rsidP="00BE5798">
      <w:pPr>
        <w:spacing w:after="160" w:line="360" w:lineRule="auto"/>
        <w:rPr>
          <w:rFonts w:ascii="Sylfaen" w:hAnsi="Sylfaen"/>
        </w:rPr>
      </w:pPr>
      <w:r w:rsidRPr="60650A52">
        <w:rPr>
          <w:rFonts w:ascii="Sylfaen" w:hAnsi="Sylfaen"/>
        </w:rPr>
        <w:t xml:space="preserve">Pagan, F., Torres-Yaghi, Y. and Altshuler, M. (2017). ‘The diagnosis and natural history of Huntington disease’. </w:t>
      </w:r>
      <w:r w:rsidRPr="60650A52">
        <w:rPr>
          <w:rFonts w:ascii="Sylfaen" w:hAnsi="Sylfaen"/>
          <w:i/>
          <w:iCs/>
        </w:rPr>
        <w:t>Handbook of clinical neurology</w:t>
      </w:r>
      <w:r w:rsidRPr="60650A52">
        <w:rPr>
          <w:rFonts w:ascii="Sylfaen" w:hAnsi="Sylfaen"/>
        </w:rPr>
        <w:t>, pp.63–67.</w:t>
      </w:r>
    </w:p>
    <w:p w14:paraId="6949C9A4" w14:textId="63DE098D" w:rsidR="00763345" w:rsidRPr="00763345" w:rsidRDefault="60650A52" w:rsidP="00BE5798">
      <w:pPr>
        <w:spacing w:after="160" w:line="360" w:lineRule="auto"/>
        <w:rPr>
          <w:rFonts w:ascii="Sylfaen" w:hAnsi="Sylfaen"/>
        </w:rPr>
      </w:pPr>
      <w:r w:rsidRPr="60650A52">
        <w:rPr>
          <w:rFonts w:ascii="Sylfaen" w:hAnsi="Sylfaen"/>
        </w:rPr>
        <w:t xml:space="preserve">Pril, R. (2011). ‘The ubiquitin proteasome system in Huntington disease: impairment of the proteolytic machinery aggravates huntingtin aggregation and toxicity’. </w:t>
      </w:r>
      <w:r w:rsidRPr="60650A52">
        <w:rPr>
          <w:rFonts w:ascii="Sylfaen" w:hAnsi="Sylfaen"/>
          <w:i/>
          <w:iCs/>
        </w:rPr>
        <w:t>Protection.</w:t>
      </w:r>
    </w:p>
    <w:p w14:paraId="64746D46" w14:textId="25BCCE7C" w:rsidR="007D74BC" w:rsidRPr="00BE5798" w:rsidRDefault="60650A52" w:rsidP="00BE5798">
      <w:pPr>
        <w:spacing w:after="160" w:line="360" w:lineRule="auto"/>
        <w:rPr>
          <w:rFonts w:ascii="Sylfaen" w:hAnsi="Sylfaen"/>
        </w:rPr>
      </w:pPr>
      <w:r w:rsidRPr="60650A52">
        <w:rPr>
          <w:rFonts w:ascii="Sylfaen" w:hAnsi="Sylfaen"/>
        </w:rPr>
        <w:t>Pringsheim, T., Wiltshire, K., Day, L., Dykeman, J., Steeves, T. and Jette, N. (2012). ‘The incidence and prevalence of Huntington’s disease: A systematic review and meta-</w:t>
      </w:r>
      <w:proofErr w:type="gramStart"/>
      <w:r w:rsidRPr="60650A52">
        <w:rPr>
          <w:rFonts w:ascii="Sylfaen" w:hAnsi="Sylfaen"/>
        </w:rPr>
        <w:t>analysis’</w:t>
      </w:r>
      <w:proofErr w:type="gramEnd"/>
      <w:r w:rsidRPr="60650A52">
        <w:rPr>
          <w:rFonts w:ascii="Sylfaen" w:hAnsi="Sylfaen"/>
        </w:rPr>
        <w:t xml:space="preserve">. </w:t>
      </w:r>
      <w:r w:rsidRPr="60650A52">
        <w:rPr>
          <w:rFonts w:ascii="Sylfaen" w:hAnsi="Sylfaen"/>
          <w:i/>
          <w:iCs/>
        </w:rPr>
        <w:t>Mov Disord</w:t>
      </w:r>
      <w:r w:rsidRPr="60650A52">
        <w:rPr>
          <w:rFonts w:ascii="Sylfaen" w:hAnsi="Sylfaen"/>
        </w:rPr>
        <w:t>, 27(9), pp.1083–1091.</w:t>
      </w:r>
    </w:p>
    <w:p w14:paraId="6191125C" w14:textId="3629EA27" w:rsidR="007D74BC" w:rsidRPr="00BE5798" w:rsidRDefault="60650A52" w:rsidP="00BE5798">
      <w:pPr>
        <w:spacing w:after="160" w:line="360" w:lineRule="auto"/>
        <w:rPr>
          <w:rFonts w:ascii="Sylfaen" w:hAnsi="Sylfaen"/>
        </w:rPr>
      </w:pPr>
      <w:r w:rsidRPr="60650A52">
        <w:rPr>
          <w:rFonts w:ascii="Sylfaen" w:hAnsi="Sylfaen"/>
        </w:rPr>
        <w:t xml:space="preserve">Rawlins, M.D., Wexler, N.S., Wexler, A.R., Tabrizi, S.J., Douglas, I., Evans, S.J.W. and Smeeth, L. (2016). ‘The Prevalence of Huntington’s Disease’. </w:t>
      </w:r>
      <w:r w:rsidRPr="60650A52">
        <w:rPr>
          <w:rFonts w:ascii="Sylfaen" w:hAnsi="Sylfaen"/>
          <w:i/>
          <w:iCs/>
        </w:rPr>
        <w:t>Neuroepidemiology</w:t>
      </w:r>
      <w:r w:rsidRPr="60650A52">
        <w:rPr>
          <w:rFonts w:ascii="Sylfaen" w:hAnsi="Sylfaen"/>
        </w:rPr>
        <w:t>, 46(2), pp.144–153.</w:t>
      </w:r>
    </w:p>
    <w:p w14:paraId="157A3DE6" w14:textId="55B3C5E2" w:rsidR="007D74BC" w:rsidRPr="00BE5798" w:rsidRDefault="60650A52" w:rsidP="00BE5798">
      <w:pPr>
        <w:spacing w:after="160" w:line="360" w:lineRule="auto"/>
        <w:rPr>
          <w:rFonts w:ascii="Sylfaen" w:hAnsi="Sylfaen" w:cs="Times New Roman"/>
        </w:rPr>
      </w:pPr>
      <w:r w:rsidRPr="60650A52">
        <w:rPr>
          <w:rFonts w:ascii="Sylfaen" w:hAnsi="Sylfaen" w:cs="Times New Roman"/>
        </w:rPr>
        <w:lastRenderedPageBreak/>
        <w:t xml:space="preserve">Reilmann, R., Rosser, A., Kostyk, S., Geva, M., McGarry, A., Cohen, Y., Gershoni-Emek, N., Mehra, M., Olanow, C.W., Kieburtz, K., Hayden, M.R. and Feigin, A. (2021). ‘F41 The proof-hd phase 3 study: pridopidine’s outcome on function in huntington disease (PROOF)’. </w:t>
      </w:r>
      <w:r w:rsidRPr="60650A52">
        <w:rPr>
          <w:rFonts w:ascii="Sylfaen" w:hAnsi="Sylfaen" w:cs="Times New Roman"/>
          <w:i/>
          <w:iCs/>
        </w:rPr>
        <w:t>Neurology, Neurosurgery &amp; Psychiatry</w:t>
      </w:r>
      <w:r w:rsidRPr="60650A52">
        <w:rPr>
          <w:rFonts w:ascii="Sylfaen" w:hAnsi="Sylfaen" w:cs="Times New Roman"/>
        </w:rPr>
        <w:t>, 92(1).</w:t>
      </w:r>
    </w:p>
    <w:p w14:paraId="0DA5584E" w14:textId="228D0A37" w:rsidR="007D74BC" w:rsidRPr="00BE5798" w:rsidRDefault="60650A52" w:rsidP="00BE5798">
      <w:pPr>
        <w:spacing w:after="160" w:line="360" w:lineRule="auto"/>
        <w:rPr>
          <w:rFonts w:ascii="Sylfaen" w:hAnsi="Sylfaen" w:cs="Times New Roman"/>
        </w:rPr>
      </w:pPr>
      <w:r w:rsidRPr="60650A52">
        <w:rPr>
          <w:rFonts w:ascii="Times New Roman" w:hAnsi="Times New Roman" w:cs="Times New Roman"/>
        </w:rPr>
        <w:t>‌</w:t>
      </w:r>
      <w:r w:rsidRPr="60650A52">
        <w:rPr>
          <w:rFonts w:ascii="Sylfaen" w:hAnsi="Sylfaen" w:cs="Times New Roman"/>
        </w:rPr>
        <w:t xml:space="preserve">Rodrigues, F.B., Abreu, D., Damásio, J., Gonçalves, N., Correia-Guedes, L., Coelho, M., Ferreira, J.J. and REGISTRY Investigators of the European Huntington's Disease Network (2017). ‘Survival, Mortality, Causes and Places of Death in a European Huntington’s Disease Prospective Cohort’. </w:t>
      </w:r>
      <w:r w:rsidRPr="60650A52">
        <w:rPr>
          <w:rFonts w:ascii="Sylfaen" w:hAnsi="Sylfaen" w:cs="Times New Roman"/>
          <w:i/>
          <w:iCs/>
        </w:rPr>
        <w:t>Movement Disorders Clinical Practice</w:t>
      </w:r>
      <w:r w:rsidRPr="60650A52">
        <w:rPr>
          <w:rFonts w:ascii="Sylfaen" w:hAnsi="Sylfaen" w:cs="Times New Roman"/>
        </w:rPr>
        <w:t>, 4(5), pp.737–742.</w:t>
      </w:r>
    </w:p>
    <w:p w14:paraId="1B396136" w14:textId="226F9153" w:rsidR="007D74BC" w:rsidRPr="00BE5798" w:rsidRDefault="60650A52" w:rsidP="00BE5798">
      <w:pPr>
        <w:spacing w:after="160" w:line="360" w:lineRule="auto"/>
        <w:rPr>
          <w:rFonts w:ascii="Sylfaen" w:hAnsi="Sylfaen" w:cs="Times New Roman"/>
        </w:rPr>
      </w:pPr>
      <w:r w:rsidRPr="60650A52">
        <w:rPr>
          <w:rFonts w:ascii="Sylfaen" w:hAnsi="Sylfaen" w:cs="Times New Roman"/>
        </w:rPr>
        <w:t xml:space="preserve">Roos, R.A.C. (2010). ‘Huntington’s disease: a clinical review’. </w:t>
      </w:r>
      <w:r w:rsidRPr="60650A52">
        <w:rPr>
          <w:rFonts w:ascii="Sylfaen" w:hAnsi="Sylfaen" w:cs="Times New Roman"/>
          <w:i/>
          <w:iCs/>
        </w:rPr>
        <w:t>Orphanet J Rare Dis</w:t>
      </w:r>
      <w:r w:rsidRPr="60650A52">
        <w:rPr>
          <w:rFonts w:ascii="Sylfaen" w:hAnsi="Sylfaen" w:cs="Times New Roman"/>
        </w:rPr>
        <w:t>, 5(1), pp.40.</w:t>
      </w:r>
    </w:p>
    <w:p w14:paraId="035302ED" w14:textId="00705CD9" w:rsidR="007D74BC" w:rsidRPr="00BE5798" w:rsidRDefault="60650A52" w:rsidP="00BE5798">
      <w:pPr>
        <w:spacing w:after="160" w:line="360" w:lineRule="auto"/>
        <w:rPr>
          <w:rFonts w:ascii="Sylfaen" w:hAnsi="Sylfaen"/>
        </w:rPr>
      </w:pPr>
      <w:r w:rsidRPr="60650A52">
        <w:rPr>
          <w:rFonts w:ascii="Sylfaen" w:hAnsi="Sylfaen"/>
        </w:rPr>
        <w:t xml:space="preserve">Rubinsztein, D.C. and Carmichael, J. (2003). ‘Huntington’s disease: molecular basis of neurodegeneration’. </w:t>
      </w:r>
      <w:r w:rsidRPr="60650A52">
        <w:rPr>
          <w:rFonts w:ascii="Sylfaen" w:hAnsi="Sylfaen"/>
          <w:i/>
          <w:iCs/>
        </w:rPr>
        <w:t>Expert Reviews in Molecular Medicine</w:t>
      </w:r>
      <w:r w:rsidRPr="60650A52">
        <w:rPr>
          <w:rFonts w:ascii="Sylfaen" w:hAnsi="Sylfaen"/>
        </w:rPr>
        <w:t>, 5(20), pp.1–21.</w:t>
      </w:r>
    </w:p>
    <w:p w14:paraId="22A3FB51" w14:textId="696E64A8" w:rsidR="007D74BC" w:rsidRPr="00BE5798" w:rsidRDefault="60650A52" w:rsidP="00BE5798">
      <w:pPr>
        <w:spacing w:after="160" w:line="360" w:lineRule="auto"/>
        <w:rPr>
          <w:rFonts w:ascii="Sylfaen" w:hAnsi="Sylfaen" w:cs="Times New Roman"/>
        </w:rPr>
      </w:pPr>
      <w:r w:rsidRPr="60650A52">
        <w:rPr>
          <w:rFonts w:ascii="Sylfaen" w:hAnsi="Sylfaen" w:cs="Times New Roman"/>
        </w:rPr>
        <w:t xml:space="preserve">Spurdle, A., Kromberg, J., Rosendorff, J. and Jenkins, T. (1991). ‘Prenatal diagnosis for huntington’s disease: A molecular and psychological study’. </w:t>
      </w:r>
      <w:r w:rsidRPr="60650A52">
        <w:rPr>
          <w:rFonts w:ascii="Sylfaen" w:hAnsi="Sylfaen" w:cs="Times New Roman"/>
          <w:i/>
          <w:iCs/>
        </w:rPr>
        <w:t>Prenat Diagn</w:t>
      </w:r>
      <w:r w:rsidRPr="60650A52">
        <w:rPr>
          <w:rFonts w:ascii="Sylfaen" w:hAnsi="Sylfaen" w:cs="Times New Roman"/>
        </w:rPr>
        <w:t>, 11(3), pp.177–185.</w:t>
      </w:r>
    </w:p>
    <w:p w14:paraId="07ED1545" w14:textId="652DAF61" w:rsidR="007D74BC" w:rsidRPr="00BE5798" w:rsidRDefault="60650A52" w:rsidP="00BE5798">
      <w:pPr>
        <w:spacing w:after="160" w:line="360" w:lineRule="auto"/>
        <w:rPr>
          <w:rFonts w:ascii="Sylfaen" w:hAnsi="Sylfaen" w:cs="Times New Roman"/>
        </w:rPr>
      </w:pPr>
      <w:r w:rsidRPr="60650A52">
        <w:rPr>
          <w:rFonts w:ascii="Sylfaen" w:hAnsi="Sylfaen" w:cs="Times New Roman"/>
        </w:rPr>
        <w:t xml:space="preserve">Tabrizi, S.J., Schobel, S., Gantman, E.C., Mansbach, A., Borowsky, B., Konstantinova, P., Mestre, T.A., Panagoulias, J., Ross, C.A., Zauderer, M., Mullin, A.P., Romero, K., Sivakumaran, S., Turner, E.C., Long, J.D., Sampaio, C. and the Huntington's Disease Regulatory Science Consortium (2022). ‘A biological classification of Huntington’s disease: the Integrated Staging System’. </w:t>
      </w:r>
      <w:r w:rsidRPr="60650A52">
        <w:rPr>
          <w:rFonts w:ascii="Sylfaen" w:hAnsi="Sylfaen" w:cs="Times New Roman"/>
          <w:i/>
          <w:iCs/>
        </w:rPr>
        <w:t>Neurology</w:t>
      </w:r>
      <w:r w:rsidRPr="60650A52">
        <w:rPr>
          <w:rFonts w:ascii="Sylfaen" w:hAnsi="Sylfaen" w:cs="Times New Roman"/>
        </w:rPr>
        <w:t>, 21(7), pp.632–644.</w:t>
      </w:r>
    </w:p>
    <w:p w14:paraId="2D559D15" w14:textId="0684484A" w:rsidR="007D74BC" w:rsidRPr="00BE5798" w:rsidRDefault="60650A52" w:rsidP="00BE5798">
      <w:pPr>
        <w:spacing w:after="160" w:line="360" w:lineRule="auto"/>
        <w:rPr>
          <w:rFonts w:ascii="Sylfaen" w:hAnsi="Sylfaen" w:cs="Times New Roman"/>
        </w:rPr>
      </w:pPr>
      <w:r w:rsidRPr="60650A52">
        <w:rPr>
          <w:rFonts w:ascii="Sylfaen" w:hAnsi="Sylfaen" w:cs="Times New Roman"/>
        </w:rPr>
        <w:t xml:space="preserve">Tanzi, R.E. (2012). ‘The Genetics of Alzheimer Disease’. </w:t>
      </w:r>
      <w:r w:rsidRPr="60650A52">
        <w:rPr>
          <w:rFonts w:ascii="Sylfaen" w:hAnsi="Sylfaen" w:cs="Times New Roman"/>
          <w:i/>
          <w:iCs/>
        </w:rPr>
        <w:t>Cold Spring Harbor Perspectives in Medicine</w:t>
      </w:r>
      <w:r w:rsidRPr="60650A52">
        <w:rPr>
          <w:rFonts w:ascii="Sylfaen" w:hAnsi="Sylfaen" w:cs="Times New Roman"/>
        </w:rPr>
        <w:t>, 2(10), pp.a006296–a006296.</w:t>
      </w:r>
    </w:p>
    <w:p w14:paraId="4877FE21" w14:textId="479C5FF9" w:rsidR="007D74BC" w:rsidRPr="00BE5798" w:rsidRDefault="60650A52" w:rsidP="00BE5798">
      <w:pPr>
        <w:spacing w:after="160" w:line="360" w:lineRule="auto"/>
        <w:rPr>
          <w:rFonts w:ascii="Sylfaen" w:hAnsi="Sylfaen"/>
        </w:rPr>
      </w:pPr>
      <w:r w:rsidRPr="60650A52">
        <w:rPr>
          <w:rFonts w:ascii="Sylfaen" w:hAnsi="Sylfaen"/>
        </w:rPr>
        <w:t xml:space="preserve">Walker, F.O. (2007). ‘Huntington’s disease’. </w:t>
      </w:r>
      <w:r w:rsidRPr="60650A52">
        <w:rPr>
          <w:rFonts w:ascii="Sylfaen" w:hAnsi="Sylfaen"/>
          <w:i/>
          <w:iCs/>
        </w:rPr>
        <w:t>The Lancet</w:t>
      </w:r>
      <w:r w:rsidRPr="60650A52">
        <w:rPr>
          <w:rFonts w:ascii="Sylfaen" w:hAnsi="Sylfaen"/>
        </w:rPr>
        <w:t>, 369(9557), pp.218–228.</w:t>
      </w:r>
    </w:p>
    <w:p w14:paraId="3E5D071D" w14:textId="7F489F84" w:rsidR="007D74BC" w:rsidRDefault="60650A52" w:rsidP="00BE5798">
      <w:pPr>
        <w:spacing w:after="160" w:line="360" w:lineRule="auto"/>
        <w:rPr>
          <w:rFonts w:ascii="Sylfaen" w:hAnsi="Sylfaen"/>
        </w:rPr>
      </w:pPr>
      <w:r w:rsidRPr="60650A52">
        <w:rPr>
          <w:rFonts w:ascii="Sylfaen" w:hAnsi="Sylfaen"/>
        </w:rPr>
        <w:t xml:space="preserve">Wexler, N.S., Collett, L., Wexler, A.R., Rawlins, M.D., Tabrizi, S.J., Douglas, I., Smeeth, L., and Evans, S.J. (2016). ‘Incidence of adult Huntington’s disease in the UK: a UK-based primary care study and a systematic review’. </w:t>
      </w:r>
      <w:r w:rsidRPr="60650A52">
        <w:rPr>
          <w:rFonts w:ascii="Sylfaen" w:hAnsi="Sylfaen"/>
          <w:i/>
          <w:iCs/>
        </w:rPr>
        <w:t>BMJ Open</w:t>
      </w:r>
      <w:r w:rsidRPr="60650A52">
        <w:rPr>
          <w:rFonts w:ascii="Sylfaen" w:hAnsi="Sylfaen"/>
        </w:rPr>
        <w:t xml:space="preserve">, 6(2), </w:t>
      </w:r>
      <w:proofErr w:type="gramStart"/>
      <w:r w:rsidRPr="60650A52">
        <w:rPr>
          <w:rFonts w:ascii="Sylfaen" w:hAnsi="Sylfaen"/>
        </w:rPr>
        <w:t>pp.e</w:t>
      </w:r>
      <w:proofErr w:type="gramEnd"/>
      <w:r w:rsidRPr="60650A52">
        <w:rPr>
          <w:rFonts w:ascii="Sylfaen" w:hAnsi="Sylfaen"/>
        </w:rPr>
        <w:t>009070–e009070.</w:t>
      </w:r>
    </w:p>
    <w:p w14:paraId="30ECA173" w14:textId="18098F15" w:rsidR="00BD4071" w:rsidRPr="00873040" w:rsidRDefault="00BD4071" w:rsidP="00BD4071">
      <w:pPr>
        <w:spacing w:before="120" w:after="120" w:line="360" w:lineRule="auto"/>
        <w:jc w:val="both"/>
        <w:rPr>
          <w:rFonts w:ascii="Sylfaen" w:eastAsia="Times New Roman" w:hAnsi="Sylfaen" w:cs="Times New Roman"/>
          <w:lang w:eastAsia="en-GB"/>
        </w:rPr>
      </w:pPr>
      <w:r w:rsidRPr="00E1530F">
        <w:rPr>
          <w:rFonts w:ascii="Sylfaen" w:eastAsia="Times New Roman" w:hAnsi="Sylfaen" w:cs="Arial"/>
          <w:color w:val="212529"/>
          <w:shd w:val="clear" w:color="auto" w:fill="FFFFFF"/>
          <w:lang w:eastAsia="en-GB"/>
        </w:rPr>
        <w:t>©</w:t>
      </w:r>
      <w:r>
        <w:rPr>
          <w:rFonts w:ascii="Sylfaen" w:eastAsia="Times New Roman" w:hAnsi="Sylfaen" w:cs="Arial"/>
          <w:color w:val="212529"/>
          <w:shd w:val="clear" w:color="auto" w:fill="FFFFFF"/>
          <w:lang w:eastAsia="en-GB"/>
        </w:rPr>
        <w:t xml:space="preserve"> Luke David Wheeler</w:t>
      </w:r>
      <w:r w:rsidRPr="00E1530F">
        <w:rPr>
          <w:rFonts w:ascii="Sylfaen" w:eastAsia="Times New Roman" w:hAnsi="Sylfaen" w:cs="Arial"/>
          <w:color w:val="212529"/>
          <w:shd w:val="clear" w:color="auto" w:fill="FFFFFF"/>
          <w:lang w:eastAsia="en-GB"/>
        </w:rPr>
        <w:t>. This article is licensed under a Creative Commons Attribution 4.0 International Licence (CC BY).</w:t>
      </w:r>
    </w:p>
    <w:p w14:paraId="201C8829" w14:textId="77777777" w:rsidR="00BD4071" w:rsidRPr="00BE5798" w:rsidRDefault="00BD4071" w:rsidP="00BE5798">
      <w:pPr>
        <w:spacing w:after="160" w:line="360" w:lineRule="auto"/>
        <w:rPr>
          <w:rFonts w:ascii="Sylfaen" w:hAnsi="Sylfaen"/>
        </w:rPr>
      </w:pPr>
    </w:p>
    <w:sectPr w:rsidR="00BD4071" w:rsidRPr="00BE5798" w:rsidSect="00BE6334">
      <w:headerReference w:type="default" r:id="rId11"/>
      <w:footerReference w:type="default" r:id="rId12"/>
      <w:footerReference w:type="first" r:id="rId13"/>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DCEB5" w14:textId="77777777" w:rsidR="001D34B2" w:rsidRDefault="001D34B2" w:rsidP="002B247D">
      <w:pPr>
        <w:spacing w:after="0" w:line="240" w:lineRule="auto"/>
      </w:pPr>
      <w:r>
        <w:separator/>
      </w:r>
    </w:p>
  </w:endnote>
  <w:endnote w:type="continuationSeparator" w:id="0">
    <w:p w14:paraId="083938A4" w14:textId="77777777" w:rsidR="001D34B2" w:rsidRDefault="001D34B2" w:rsidP="002B2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Sylfaen" w:hAnsi="Sylfaen"/>
      </w:rPr>
      <w:id w:val="1708607573"/>
      <w:docPartObj>
        <w:docPartGallery w:val="Page Numbers (Bottom of Page)"/>
        <w:docPartUnique/>
      </w:docPartObj>
    </w:sdtPr>
    <w:sdtEndPr>
      <w:rPr>
        <w:noProof/>
        <w:sz w:val="20"/>
        <w:szCs w:val="20"/>
      </w:rPr>
    </w:sdtEndPr>
    <w:sdtContent>
      <w:p w14:paraId="3B8F3F63" w14:textId="77777777" w:rsidR="00057F3F" w:rsidRDefault="00057F3F" w:rsidP="00057F3F">
        <w:pPr>
          <w:pStyle w:val="Footer"/>
          <w:pBdr>
            <w:bottom w:val="single" w:sz="4" w:space="1" w:color="auto"/>
          </w:pBdr>
          <w:jc w:val="center"/>
          <w:rPr>
            <w:rFonts w:ascii="Sylfaen" w:hAnsi="Sylfaen"/>
          </w:rPr>
        </w:pPr>
      </w:p>
      <w:p w14:paraId="3655714B" w14:textId="414009F4" w:rsidR="00BE6334" w:rsidRPr="00990D5E" w:rsidRDefault="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D35A7A">
          <w:rPr>
            <w:rFonts w:ascii="Sylfaen" w:hAnsi="Sylfaen"/>
            <w:noProof/>
          </w:rPr>
          <w:t>2</w:t>
        </w:r>
        <w:r w:rsidRPr="00990D5E">
          <w:rPr>
            <w:rFonts w:ascii="Sylfaen" w:hAnsi="Sylfaen"/>
            <w:noProof/>
          </w:rPr>
          <w:fldChar w:fldCharType="end"/>
        </w:r>
      </w:p>
      <w:p w14:paraId="01B5BDD7" w14:textId="1BBE7EA9" w:rsidR="00BE6334" w:rsidRPr="00990D5E" w:rsidRDefault="00BE6334">
        <w:pPr>
          <w:pStyle w:val="Footer"/>
          <w:jc w:val="center"/>
          <w:rPr>
            <w:rFonts w:ascii="Sylfaen" w:hAnsi="Sylfaen"/>
            <w:sz w:val="20"/>
            <w:szCs w:val="20"/>
          </w:rPr>
        </w:pPr>
        <w:r w:rsidRPr="00990D5E">
          <w:rPr>
            <w:rFonts w:ascii="Sylfaen" w:hAnsi="Sylfaen"/>
            <w:noProof/>
            <w:sz w:val="20"/>
            <w:szCs w:val="20"/>
          </w:rPr>
          <w:t xml:space="preserve">This article is CC BY </w:t>
        </w:r>
        <w:r w:rsidR="00BD4071">
          <w:rPr>
            <w:rFonts w:ascii="Sylfaen" w:hAnsi="Sylfaen"/>
            <w:noProof/>
            <w:sz w:val="20"/>
            <w:szCs w:val="20"/>
          </w:rPr>
          <w:t>(Luke David Wheeler)</w:t>
        </w:r>
        <w:r w:rsidRPr="00990D5E">
          <w:rPr>
            <w:rFonts w:ascii="Sylfaen" w:hAnsi="Sylfaen"/>
            <w:noProof/>
            <w:sz w:val="20"/>
            <w:szCs w:val="20"/>
          </w:rPr>
          <w:tab/>
        </w:r>
        <w:r w:rsidRPr="00990D5E">
          <w:rPr>
            <w:rFonts w:ascii="Sylfaen" w:hAnsi="Sylfaen"/>
            <w:noProof/>
            <w:sz w:val="20"/>
            <w:szCs w:val="20"/>
          </w:rPr>
          <w:tab/>
          <w:t xml:space="preserve">Essex Student Journal, </w:t>
        </w:r>
        <w:r w:rsidR="00BD4071">
          <w:rPr>
            <w:rFonts w:ascii="Sylfaen" w:hAnsi="Sylfaen"/>
            <w:noProof/>
            <w:sz w:val="20"/>
            <w:szCs w:val="20"/>
          </w:rPr>
          <w:t>2023</w:t>
        </w:r>
        <w:r w:rsidR="00990D5E">
          <w:rPr>
            <w:rFonts w:ascii="Sylfaen" w:hAnsi="Sylfaen"/>
            <w:noProof/>
            <w:sz w:val="20"/>
            <w:szCs w:val="20"/>
          </w:rPr>
          <w:t>, Vol</w:t>
        </w:r>
        <w:r w:rsidRPr="00990D5E">
          <w:rPr>
            <w:rFonts w:ascii="Sylfaen" w:hAnsi="Sylfaen"/>
            <w:noProof/>
            <w:sz w:val="20"/>
            <w:szCs w:val="20"/>
          </w:rPr>
          <w:t>.</w:t>
        </w:r>
        <w:r w:rsidR="00BD4071">
          <w:rPr>
            <w:rFonts w:ascii="Sylfaen" w:hAnsi="Sylfaen"/>
            <w:noProof/>
            <w:sz w:val="20"/>
            <w:szCs w:val="20"/>
          </w:rPr>
          <w:t xml:space="preserve"> 14(1)</w:t>
        </w:r>
      </w:p>
    </w:sdtContent>
  </w:sdt>
  <w:p w14:paraId="793C577F" w14:textId="2F7FB772" w:rsidR="00BE6334" w:rsidRPr="00990D5E" w:rsidRDefault="00BE6334">
    <w:pPr>
      <w:pStyle w:val="Footer"/>
      <w:rPr>
        <w:rFonts w:ascii="Sylfaen" w:hAnsi="Sylfaen"/>
        <w:sz w:val="20"/>
        <w:szCs w:val="20"/>
      </w:rPr>
    </w:pPr>
    <w:r w:rsidRPr="00990D5E">
      <w:rPr>
        <w:rFonts w:ascii="Sylfaen" w:hAnsi="Sylfaen"/>
        <w:sz w:val="20"/>
        <w:szCs w:val="20"/>
      </w:rPr>
      <w:t xml:space="preserve">DOI: </w:t>
    </w:r>
    <w:hyperlink r:id="rId1" w:history="1">
      <w:r w:rsidR="00BD4071" w:rsidRPr="00C9548C">
        <w:rPr>
          <w:rStyle w:val="Hyperlink"/>
          <w:rFonts w:ascii="Sylfaen" w:hAnsi="Sylfaen"/>
          <w:sz w:val="20"/>
          <w:szCs w:val="20"/>
        </w:rPr>
        <w:t>https://doi.org/10.5526/esj.</w:t>
      </w:r>
    </w:hyperlink>
    <w:r w:rsidR="00BD4071">
      <w:rPr>
        <w:rStyle w:val="Hyperlink"/>
        <w:rFonts w:ascii="Sylfaen" w:hAnsi="Sylfaen"/>
        <w:sz w:val="20"/>
        <w:szCs w:val="20"/>
      </w:rPr>
      <w:t>225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A6426" w14:textId="77777777" w:rsidR="00057F3F" w:rsidRDefault="00057F3F" w:rsidP="00057F3F">
    <w:pPr>
      <w:pStyle w:val="Footer"/>
      <w:pBdr>
        <w:bottom w:val="single" w:sz="4" w:space="1" w:color="auto"/>
      </w:pBdr>
      <w:jc w:val="center"/>
      <w:rPr>
        <w:rFonts w:ascii="Sylfaen" w:hAnsi="Sylfaen"/>
      </w:rPr>
    </w:pPr>
  </w:p>
  <w:p w14:paraId="17E0F48F" w14:textId="12DA4930" w:rsidR="00BE6334" w:rsidRPr="00990D5E" w:rsidRDefault="00BE6334" w:rsidP="00BE6334">
    <w:pPr>
      <w:pStyle w:val="Footer"/>
      <w:jc w:val="center"/>
      <w:rPr>
        <w:rFonts w:ascii="Sylfaen" w:hAnsi="Sylfaen"/>
        <w:noProof/>
      </w:rPr>
    </w:pPr>
    <w:r w:rsidRPr="00990D5E">
      <w:rPr>
        <w:rFonts w:ascii="Sylfaen" w:hAnsi="Sylfaen"/>
      </w:rPr>
      <w:fldChar w:fldCharType="begin"/>
    </w:r>
    <w:r w:rsidRPr="00990D5E">
      <w:rPr>
        <w:rFonts w:ascii="Sylfaen" w:hAnsi="Sylfaen"/>
      </w:rPr>
      <w:instrText xml:space="preserve"> PAGE   \* MERGEFORMAT </w:instrText>
    </w:r>
    <w:r w:rsidRPr="00990D5E">
      <w:rPr>
        <w:rFonts w:ascii="Sylfaen" w:hAnsi="Sylfaen"/>
      </w:rPr>
      <w:fldChar w:fldCharType="separate"/>
    </w:r>
    <w:r w:rsidR="00A55EA2">
      <w:rPr>
        <w:rFonts w:ascii="Sylfaen" w:hAnsi="Sylfaen"/>
        <w:noProof/>
      </w:rPr>
      <w:t>1</w:t>
    </w:r>
    <w:r w:rsidRPr="00990D5E">
      <w:rPr>
        <w:rFonts w:ascii="Sylfaen" w:hAnsi="Sylfaen"/>
        <w:noProof/>
      </w:rPr>
      <w:fldChar w:fldCharType="end"/>
    </w:r>
  </w:p>
  <w:p w14:paraId="6152AABE" w14:textId="71506AF6" w:rsidR="00BE6334" w:rsidRPr="00990D5E" w:rsidRDefault="00A55EA2" w:rsidP="00A55EA2">
    <w:pPr>
      <w:pStyle w:val="Footer"/>
      <w:jc w:val="center"/>
      <w:rPr>
        <w:rFonts w:ascii="Sylfaen" w:hAnsi="Sylfaen"/>
        <w:sz w:val="20"/>
        <w:szCs w:val="20"/>
      </w:rPr>
    </w:pPr>
    <w:r>
      <w:rPr>
        <w:rFonts w:ascii="Sylfaen" w:hAnsi="Sylfaen"/>
        <w:noProof/>
        <w:sz w:val="20"/>
        <w:szCs w:val="20"/>
      </w:rPr>
      <w:tab/>
    </w:r>
    <w:r>
      <w:rPr>
        <w:rFonts w:ascii="Sylfaen" w:hAnsi="Sylfaen"/>
        <w:noProof/>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6975A" w14:textId="77777777" w:rsidR="001D34B2" w:rsidRDefault="001D34B2" w:rsidP="002B247D">
      <w:pPr>
        <w:spacing w:after="0" w:line="240" w:lineRule="auto"/>
      </w:pPr>
      <w:r>
        <w:separator/>
      </w:r>
    </w:p>
  </w:footnote>
  <w:footnote w:type="continuationSeparator" w:id="0">
    <w:p w14:paraId="4FABEE75" w14:textId="77777777" w:rsidR="001D34B2" w:rsidRDefault="001D34B2" w:rsidP="002B24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D3E8" w14:textId="70AEC790" w:rsidR="002B247D" w:rsidRPr="006306E7" w:rsidRDefault="006306E7" w:rsidP="006306E7">
    <w:pPr>
      <w:pStyle w:val="Header"/>
    </w:pPr>
    <w:r w:rsidRPr="006306E7">
      <w:rPr>
        <w:rFonts w:ascii="Sylfaen" w:hAnsi="Sylfaen"/>
      </w:rPr>
      <w:t>Huntington's Disorder: Analysis and Current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5557BC"/>
    <w:multiLevelType w:val="hybridMultilevel"/>
    <w:tmpl w:val="E52C7FA2"/>
    <w:lvl w:ilvl="0" w:tplc="0160F8C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FCB5481"/>
    <w:multiLevelType w:val="hybridMultilevel"/>
    <w:tmpl w:val="4E2EC7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77941137">
    <w:abstractNumId w:val="1"/>
  </w:num>
  <w:num w:numId="2" w16cid:durableId="653801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rG0NDIzNzIzMzQ0NDZV0lEKTi0uzszPAykwrQUAIVeZKiwAAAA="/>
  </w:docVars>
  <w:rsids>
    <w:rsidRoot w:val="00240FC1"/>
    <w:rsid w:val="0000054F"/>
    <w:rsid w:val="00001020"/>
    <w:rsid w:val="0000103D"/>
    <w:rsid w:val="00002970"/>
    <w:rsid w:val="00011227"/>
    <w:rsid w:val="00013EC7"/>
    <w:rsid w:val="00021630"/>
    <w:rsid w:val="00021914"/>
    <w:rsid w:val="00026865"/>
    <w:rsid w:val="00027327"/>
    <w:rsid w:val="00031206"/>
    <w:rsid w:val="00032A5D"/>
    <w:rsid w:val="00032D61"/>
    <w:rsid w:val="000400CF"/>
    <w:rsid w:val="000411BB"/>
    <w:rsid w:val="000411E8"/>
    <w:rsid w:val="00041899"/>
    <w:rsid w:val="000536A3"/>
    <w:rsid w:val="00055EA9"/>
    <w:rsid w:val="00057F3F"/>
    <w:rsid w:val="000620AF"/>
    <w:rsid w:val="000639DB"/>
    <w:rsid w:val="0006700D"/>
    <w:rsid w:val="00073D75"/>
    <w:rsid w:val="0007751E"/>
    <w:rsid w:val="000808B9"/>
    <w:rsid w:val="00081066"/>
    <w:rsid w:val="00082008"/>
    <w:rsid w:val="0008378C"/>
    <w:rsid w:val="00090468"/>
    <w:rsid w:val="0009205F"/>
    <w:rsid w:val="00096120"/>
    <w:rsid w:val="000A62F9"/>
    <w:rsid w:val="000B35D9"/>
    <w:rsid w:val="000B577C"/>
    <w:rsid w:val="000B5BC4"/>
    <w:rsid w:val="000B621A"/>
    <w:rsid w:val="000C0C4B"/>
    <w:rsid w:val="000C2912"/>
    <w:rsid w:val="000C4154"/>
    <w:rsid w:val="000C7235"/>
    <w:rsid w:val="000D10FE"/>
    <w:rsid w:val="000D1902"/>
    <w:rsid w:val="000D407D"/>
    <w:rsid w:val="000E34F7"/>
    <w:rsid w:val="000E5CB2"/>
    <w:rsid w:val="000E71BE"/>
    <w:rsid w:val="000F3DB6"/>
    <w:rsid w:val="000F5491"/>
    <w:rsid w:val="0010097A"/>
    <w:rsid w:val="00101219"/>
    <w:rsid w:val="00103EF9"/>
    <w:rsid w:val="00105A4A"/>
    <w:rsid w:val="00107F8D"/>
    <w:rsid w:val="0011039F"/>
    <w:rsid w:val="0011464D"/>
    <w:rsid w:val="001148DD"/>
    <w:rsid w:val="00116C1B"/>
    <w:rsid w:val="00116FE2"/>
    <w:rsid w:val="00116FF8"/>
    <w:rsid w:val="00122D49"/>
    <w:rsid w:val="00125659"/>
    <w:rsid w:val="0012735E"/>
    <w:rsid w:val="00130DBA"/>
    <w:rsid w:val="00133703"/>
    <w:rsid w:val="00134DFC"/>
    <w:rsid w:val="00136B08"/>
    <w:rsid w:val="00136BF6"/>
    <w:rsid w:val="00137188"/>
    <w:rsid w:val="001407ED"/>
    <w:rsid w:val="00144F64"/>
    <w:rsid w:val="0014550D"/>
    <w:rsid w:val="00146715"/>
    <w:rsid w:val="0014683F"/>
    <w:rsid w:val="00151804"/>
    <w:rsid w:val="00152279"/>
    <w:rsid w:val="00153AC3"/>
    <w:rsid w:val="00154993"/>
    <w:rsid w:val="00164585"/>
    <w:rsid w:val="001719CD"/>
    <w:rsid w:val="001746AB"/>
    <w:rsid w:val="00175C6C"/>
    <w:rsid w:val="00177454"/>
    <w:rsid w:val="001779C5"/>
    <w:rsid w:val="0018184C"/>
    <w:rsid w:val="00184EB0"/>
    <w:rsid w:val="00186A64"/>
    <w:rsid w:val="00187836"/>
    <w:rsid w:val="0019528F"/>
    <w:rsid w:val="001A7DC2"/>
    <w:rsid w:val="001B3716"/>
    <w:rsid w:val="001B399A"/>
    <w:rsid w:val="001B5AB7"/>
    <w:rsid w:val="001B6164"/>
    <w:rsid w:val="001C1BEA"/>
    <w:rsid w:val="001C2086"/>
    <w:rsid w:val="001C2A46"/>
    <w:rsid w:val="001C5770"/>
    <w:rsid w:val="001C7F35"/>
    <w:rsid w:val="001D0B79"/>
    <w:rsid w:val="001D0CA1"/>
    <w:rsid w:val="001D271C"/>
    <w:rsid w:val="001D34B2"/>
    <w:rsid w:val="001D7E62"/>
    <w:rsid w:val="001E7777"/>
    <w:rsid w:val="001E7DFC"/>
    <w:rsid w:val="001F1DF9"/>
    <w:rsid w:val="001F2923"/>
    <w:rsid w:val="001F375B"/>
    <w:rsid w:val="001F3799"/>
    <w:rsid w:val="001F5E51"/>
    <w:rsid w:val="001F632E"/>
    <w:rsid w:val="001F7B33"/>
    <w:rsid w:val="002001C2"/>
    <w:rsid w:val="00203BF6"/>
    <w:rsid w:val="002141E6"/>
    <w:rsid w:val="002175EB"/>
    <w:rsid w:val="00221F4A"/>
    <w:rsid w:val="00222D49"/>
    <w:rsid w:val="00225B03"/>
    <w:rsid w:val="002269BD"/>
    <w:rsid w:val="00232A9F"/>
    <w:rsid w:val="00235231"/>
    <w:rsid w:val="00235777"/>
    <w:rsid w:val="00236500"/>
    <w:rsid w:val="00240ABE"/>
    <w:rsid w:val="00240FC1"/>
    <w:rsid w:val="00241858"/>
    <w:rsid w:val="0024262D"/>
    <w:rsid w:val="002433DB"/>
    <w:rsid w:val="00243B66"/>
    <w:rsid w:val="00243F1D"/>
    <w:rsid w:val="00250E9C"/>
    <w:rsid w:val="002579FB"/>
    <w:rsid w:val="00261D06"/>
    <w:rsid w:val="0026213C"/>
    <w:rsid w:val="002633D0"/>
    <w:rsid w:val="00263F17"/>
    <w:rsid w:val="002654B6"/>
    <w:rsid w:val="00267E3B"/>
    <w:rsid w:val="00280F84"/>
    <w:rsid w:val="00286A87"/>
    <w:rsid w:val="00287053"/>
    <w:rsid w:val="002905DA"/>
    <w:rsid w:val="002929D5"/>
    <w:rsid w:val="00294BE6"/>
    <w:rsid w:val="00295FB1"/>
    <w:rsid w:val="00297006"/>
    <w:rsid w:val="002A0E26"/>
    <w:rsid w:val="002A2048"/>
    <w:rsid w:val="002A2B9F"/>
    <w:rsid w:val="002A5483"/>
    <w:rsid w:val="002A673F"/>
    <w:rsid w:val="002A68A6"/>
    <w:rsid w:val="002A7FC8"/>
    <w:rsid w:val="002B1CF7"/>
    <w:rsid w:val="002B247D"/>
    <w:rsid w:val="002B3B56"/>
    <w:rsid w:val="002B3B6C"/>
    <w:rsid w:val="002B71EB"/>
    <w:rsid w:val="002C19E4"/>
    <w:rsid w:val="002C22A8"/>
    <w:rsid w:val="002C2942"/>
    <w:rsid w:val="002C31EE"/>
    <w:rsid w:val="002C3805"/>
    <w:rsid w:val="002C4464"/>
    <w:rsid w:val="002D7DBC"/>
    <w:rsid w:val="002D7DE8"/>
    <w:rsid w:val="002D7E09"/>
    <w:rsid w:val="002E139A"/>
    <w:rsid w:val="002E3823"/>
    <w:rsid w:val="002E6317"/>
    <w:rsid w:val="002F0136"/>
    <w:rsid w:val="002F15F0"/>
    <w:rsid w:val="002F4E14"/>
    <w:rsid w:val="002F5C1D"/>
    <w:rsid w:val="002F6AB4"/>
    <w:rsid w:val="00303B6E"/>
    <w:rsid w:val="003044EB"/>
    <w:rsid w:val="00307701"/>
    <w:rsid w:val="003116C7"/>
    <w:rsid w:val="00312518"/>
    <w:rsid w:val="00313E93"/>
    <w:rsid w:val="0031400B"/>
    <w:rsid w:val="003203D5"/>
    <w:rsid w:val="00321DC4"/>
    <w:rsid w:val="003225DE"/>
    <w:rsid w:val="0032296F"/>
    <w:rsid w:val="003300B5"/>
    <w:rsid w:val="00331418"/>
    <w:rsid w:val="00342047"/>
    <w:rsid w:val="0034743A"/>
    <w:rsid w:val="00352D63"/>
    <w:rsid w:val="0035508A"/>
    <w:rsid w:val="00363EF4"/>
    <w:rsid w:val="003650CC"/>
    <w:rsid w:val="00365982"/>
    <w:rsid w:val="00365A08"/>
    <w:rsid w:val="00366CE3"/>
    <w:rsid w:val="0037061D"/>
    <w:rsid w:val="00373FA3"/>
    <w:rsid w:val="00374289"/>
    <w:rsid w:val="00375925"/>
    <w:rsid w:val="00377BE8"/>
    <w:rsid w:val="00381F4F"/>
    <w:rsid w:val="00382817"/>
    <w:rsid w:val="00383CEC"/>
    <w:rsid w:val="003845FD"/>
    <w:rsid w:val="0038645A"/>
    <w:rsid w:val="003A02F6"/>
    <w:rsid w:val="003A5E7B"/>
    <w:rsid w:val="003A7197"/>
    <w:rsid w:val="003B00CD"/>
    <w:rsid w:val="003B3442"/>
    <w:rsid w:val="003B3A2C"/>
    <w:rsid w:val="003B3FCC"/>
    <w:rsid w:val="003B675A"/>
    <w:rsid w:val="003C11C6"/>
    <w:rsid w:val="003C3EB8"/>
    <w:rsid w:val="003C4C55"/>
    <w:rsid w:val="003D146A"/>
    <w:rsid w:val="003D1C2F"/>
    <w:rsid w:val="003D5DBC"/>
    <w:rsid w:val="003D6FA6"/>
    <w:rsid w:val="003E0091"/>
    <w:rsid w:val="003E1906"/>
    <w:rsid w:val="003E2EC0"/>
    <w:rsid w:val="003E3804"/>
    <w:rsid w:val="003F0FD0"/>
    <w:rsid w:val="003F3860"/>
    <w:rsid w:val="003F5FDE"/>
    <w:rsid w:val="003F6E56"/>
    <w:rsid w:val="004005F8"/>
    <w:rsid w:val="00403E65"/>
    <w:rsid w:val="00404FEA"/>
    <w:rsid w:val="00405571"/>
    <w:rsid w:val="004127B0"/>
    <w:rsid w:val="00412D53"/>
    <w:rsid w:val="004140A3"/>
    <w:rsid w:val="00420E86"/>
    <w:rsid w:val="00423397"/>
    <w:rsid w:val="00425CFA"/>
    <w:rsid w:val="0042771B"/>
    <w:rsid w:val="004331B8"/>
    <w:rsid w:val="0043331D"/>
    <w:rsid w:val="00433829"/>
    <w:rsid w:val="004362F8"/>
    <w:rsid w:val="00441B2E"/>
    <w:rsid w:val="00442C3C"/>
    <w:rsid w:val="00451218"/>
    <w:rsid w:val="00452722"/>
    <w:rsid w:val="004541AE"/>
    <w:rsid w:val="00454721"/>
    <w:rsid w:val="00455B20"/>
    <w:rsid w:val="00456820"/>
    <w:rsid w:val="00456D53"/>
    <w:rsid w:val="004606E5"/>
    <w:rsid w:val="00461A1E"/>
    <w:rsid w:val="00462D1A"/>
    <w:rsid w:val="00464A33"/>
    <w:rsid w:val="00465672"/>
    <w:rsid w:val="0046732E"/>
    <w:rsid w:val="00476B43"/>
    <w:rsid w:val="00480FDC"/>
    <w:rsid w:val="00483752"/>
    <w:rsid w:val="00484174"/>
    <w:rsid w:val="0048538A"/>
    <w:rsid w:val="00485AA3"/>
    <w:rsid w:val="0048693A"/>
    <w:rsid w:val="00486CF7"/>
    <w:rsid w:val="004878EF"/>
    <w:rsid w:val="004A1BE1"/>
    <w:rsid w:val="004A66DC"/>
    <w:rsid w:val="004B3D5C"/>
    <w:rsid w:val="004B7F4B"/>
    <w:rsid w:val="004C08DA"/>
    <w:rsid w:val="004C7767"/>
    <w:rsid w:val="004D7CDD"/>
    <w:rsid w:val="004E2772"/>
    <w:rsid w:val="004E449A"/>
    <w:rsid w:val="004E667E"/>
    <w:rsid w:val="004F525A"/>
    <w:rsid w:val="004F66D1"/>
    <w:rsid w:val="004F73E6"/>
    <w:rsid w:val="00502B28"/>
    <w:rsid w:val="00503EB7"/>
    <w:rsid w:val="005051D2"/>
    <w:rsid w:val="005055D3"/>
    <w:rsid w:val="005056B1"/>
    <w:rsid w:val="005114EA"/>
    <w:rsid w:val="00511C4E"/>
    <w:rsid w:val="0051300D"/>
    <w:rsid w:val="00520200"/>
    <w:rsid w:val="005204A7"/>
    <w:rsid w:val="00520FEB"/>
    <w:rsid w:val="00525BD5"/>
    <w:rsid w:val="0053061C"/>
    <w:rsid w:val="00534DFB"/>
    <w:rsid w:val="005364B0"/>
    <w:rsid w:val="005378D9"/>
    <w:rsid w:val="00540CBF"/>
    <w:rsid w:val="00543907"/>
    <w:rsid w:val="0054724E"/>
    <w:rsid w:val="00553BEA"/>
    <w:rsid w:val="005601F1"/>
    <w:rsid w:val="00571A7C"/>
    <w:rsid w:val="00572A3C"/>
    <w:rsid w:val="0057383C"/>
    <w:rsid w:val="0057747D"/>
    <w:rsid w:val="005839C6"/>
    <w:rsid w:val="00585BE5"/>
    <w:rsid w:val="0058743E"/>
    <w:rsid w:val="005904C8"/>
    <w:rsid w:val="005950D0"/>
    <w:rsid w:val="005A12E8"/>
    <w:rsid w:val="005A1BA3"/>
    <w:rsid w:val="005A3CB1"/>
    <w:rsid w:val="005B3A81"/>
    <w:rsid w:val="005B6D38"/>
    <w:rsid w:val="005B786C"/>
    <w:rsid w:val="005C21BD"/>
    <w:rsid w:val="005C4ADE"/>
    <w:rsid w:val="005C5134"/>
    <w:rsid w:val="005C6148"/>
    <w:rsid w:val="005C7550"/>
    <w:rsid w:val="005D176B"/>
    <w:rsid w:val="005D1B85"/>
    <w:rsid w:val="005E2624"/>
    <w:rsid w:val="005E34F8"/>
    <w:rsid w:val="005E49D4"/>
    <w:rsid w:val="005E7EF4"/>
    <w:rsid w:val="005E7F70"/>
    <w:rsid w:val="005F20FB"/>
    <w:rsid w:val="005F2D64"/>
    <w:rsid w:val="005F5A0C"/>
    <w:rsid w:val="005F5C6B"/>
    <w:rsid w:val="005F6868"/>
    <w:rsid w:val="00603AFF"/>
    <w:rsid w:val="00610A93"/>
    <w:rsid w:val="00614A54"/>
    <w:rsid w:val="00615723"/>
    <w:rsid w:val="006169A7"/>
    <w:rsid w:val="006276EE"/>
    <w:rsid w:val="006306E7"/>
    <w:rsid w:val="006310AB"/>
    <w:rsid w:val="00632FD5"/>
    <w:rsid w:val="00635729"/>
    <w:rsid w:val="006365FB"/>
    <w:rsid w:val="00637440"/>
    <w:rsid w:val="006406C9"/>
    <w:rsid w:val="00640D93"/>
    <w:rsid w:val="00640FB9"/>
    <w:rsid w:val="00641590"/>
    <w:rsid w:val="00642044"/>
    <w:rsid w:val="00642356"/>
    <w:rsid w:val="00642467"/>
    <w:rsid w:val="00642A58"/>
    <w:rsid w:val="006453D7"/>
    <w:rsid w:val="0065392F"/>
    <w:rsid w:val="00656A85"/>
    <w:rsid w:val="00657A10"/>
    <w:rsid w:val="0066013E"/>
    <w:rsid w:val="00660E77"/>
    <w:rsid w:val="00661143"/>
    <w:rsid w:val="00661458"/>
    <w:rsid w:val="006616BE"/>
    <w:rsid w:val="00663505"/>
    <w:rsid w:val="00665574"/>
    <w:rsid w:val="0067531A"/>
    <w:rsid w:val="0067637C"/>
    <w:rsid w:val="00677138"/>
    <w:rsid w:val="006772A8"/>
    <w:rsid w:val="0068272A"/>
    <w:rsid w:val="00683BF4"/>
    <w:rsid w:val="00684A9B"/>
    <w:rsid w:val="00684E8E"/>
    <w:rsid w:val="00686B8E"/>
    <w:rsid w:val="0068727A"/>
    <w:rsid w:val="006912F0"/>
    <w:rsid w:val="00691354"/>
    <w:rsid w:val="00691BCC"/>
    <w:rsid w:val="00691BF9"/>
    <w:rsid w:val="006936AB"/>
    <w:rsid w:val="0069404D"/>
    <w:rsid w:val="00696D2D"/>
    <w:rsid w:val="00696DE6"/>
    <w:rsid w:val="006A6417"/>
    <w:rsid w:val="006A7AC6"/>
    <w:rsid w:val="006B363F"/>
    <w:rsid w:val="006B3C73"/>
    <w:rsid w:val="006D01EA"/>
    <w:rsid w:val="006D0C54"/>
    <w:rsid w:val="006D0FDA"/>
    <w:rsid w:val="006D18AD"/>
    <w:rsid w:val="006D43BF"/>
    <w:rsid w:val="006D5487"/>
    <w:rsid w:val="006E6789"/>
    <w:rsid w:val="006E6A49"/>
    <w:rsid w:val="006E779F"/>
    <w:rsid w:val="006F07B6"/>
    <w:rsid w:val="006F0DEB"/>
    <w:rsid w:val="006F2F7D"/>
    <w:rsid w:val="006F363C"/>
    <w:rsid w:val="006F4971"/>
    <w:rsid w:val="00712366"/>
    <w:rsid w:val="00714EF6"/>
    <w:rsid w:val="00715CF3"/>
    <w:rsid w:val="00716020"/>
    <w:rsid w:val="0071686E"/>
    <w:rsid w:val="00716EAB"/>
    <w:rsid w:val="00720B47"/>
    <w:rsid w:val="00722720"/>
    <w:rsid w:val="00722D0C"/>
    <w:rsid w:val="00727711"/>
    <w:rsid w:val="00731FC0"/>
    <w:rsid w:val="00733B41"/>
    <w:rsid w:val="007400F3"/>
    <w:rsid w:val="0074113D"/>
    <w:rsid w:val="007414CB"/>
    <w:rsid w:val="00742FC4"/>
    <w:rsid w:val="00744A25"/>
    <w:rsid w:val="00746AFF"/>
    <w:rsid w:val="00752A33"/>
    <w:rsid w:val="00755329"/>
    <w:rsid w:val="00755CD0"/>
    <w:rsid w:val="00761147"/>
    <w:rsid w:val="0076281C"/>
    <w:rsid w:val="00763345"/>
    <w:rsid w:val="0076514D"/>
    <w:rsid w:val="00765BA1"/>
    <w:rsid w:val="00765D10"/>
    <w:rsid w:val="00766F5D"/>
    <w:rsid w:val="00767FF9"/>
    <w:rsid w:val="0077146F"/>
    <w:rsid w:val="00774B34"/>
    <w:rsid w:val="00774D0B"/>
    <w:rsid w:val="00775ED9"/>
    <w:rsid w:val="00776367"/>
    <w:rsid w:val="00783765"/>
    <w:rsid w:val="007841F2"/>
    <w:rsid w:val="00784A98"/>
    <w:rsid w:val="007909BC"/>
    <w:rsid w:val="00793B31"/>
    <w:rsid w:val="00797199"/>
    <w:rsid w:val="007A01F5"/>
    <w:rsid w:val="007A5DE3"/>
    <w:rsid w:val="007A618E"/>
    <w:rsid w:val="007B0BC9"/>
    <w:rsid w:val="007B1CB2"/>
    <w:rsid w:val="007B51A2"/>
    <w:rsid w:val="007B5490"/>
    <w:rsid w:val="007B7494"/>
    <w:rsid w:val="007C02C9"/>
    <w:rsid w:val="007C4002"/>
    <w:rsid w:val="007C6398"/>
    <w:rsid w:val="007C783E"/>
    <w:rsid w:val="007D1CE2"/>
    <w:rsid w:val="007D38EA"/>
    <w:rsid w:val="007D3B82"/>
    <w:rsid w:val="007D4CEC"/>
    <w:rsid w:val="007D74BC"/>
    <w:rsid w:val="007E16E2"/>
    <w:rsid w:val="007E1B3A"/>
    <w:rsid w:val="007E3915"/>
    <w:rsid w:val="007E4299"/>
    <w:rsid w:val="007E462D"/>
    <w:rsid w:val="007E6367"/>
    <w:rsid w:val="007E6873"/>
    <w:rsid w:val="007E6CCE"/>
    <w:rsid w:val="007F06FF"/>
    <w:rsid w:val="007F2697"/>
    <w:rsid w:val="007F3589"/>
    <w:rsid w:val="007F3D36"/>
    <w:rsid w:val="007F6F2D"/>
    <w:rsid w:val="0080017D"/>
    <w:rsid w:val="0080349E"/>
    <w:rsid w:val="00803DDC"/>
    <w:rsid w:val="00806A12"/>
    <w:rsid w:val="008143FC"/>
    <w:rsid w:val="008216A8"/>
    <w:rsid w:val="008216F8"/>
    <w:rsid w:val="00822DDE"/>
    <w:rsid w:val="00825E13"/>
    <w:rsid w:val="0082640C"/>
    <w:rsid w:val="00826BF1"/>
    <w:rsid w:val="00827122"/>
    <w:rsid w:val="008352FC"/>
    <w:rsid w:val="00835306"/>
    <w:rsid w:val="008359CC"/>
    <w:rsid w:val="0084090F"/>
    <w:rsid w:val="00841173"/>
    <w:rsid w:val="00841CE7"/>
    <w:rsid w:val="0084622D"/>
    <w:rsid w:val="00850473"/>
    <w:rsid w:val="00851804"/>
    <w:rsid w:val="00852CDE"/>
    <w:rsid w:val="00853394"/>
    <w:rsid w:val="00853612"/>
    <w:rsid w:val="00854C0C"/>
    <w:rsid w:val="00855B6F"/>
    <w:rsid w:val="00855D59"/>
    <w:rsid w:val="00863467"/>
    <w:rsid w:val="008642C6"/>
    <w:rsid w:val="008657A8"/>
    <w:rsid w:val="008718E7"/>
    <w:rsid w:val="00871C13"/>
    <w:rsid w:val="00876169"/>
    <w:rsid w:val="008818F9"/>
    <w:rsid w:val="00885FA9"/>
    <w:rsid w:val="008909FA"/>
    <w:rsid w:val="00891987"/>
    <w:rsid w:val="008A2A9F"/>
    <w:rsid w:val="008A55E6"/>
    <w:rsid w:val="008A63B3"/>
    <w:rsid w:val="008A6995"/>
    <w:rsid w:val="008B0778"/>
    <w:rsid w:val="008B1826"/>
    <w:rsid w:val="008B76C5"/>
    <w:rsid w:val="008C04A9"/>
    <w:rsid w:val="008C08B4"/>
    <w:rsid w:val="008C5F62"/>
    <w:rsid w:val="008C5FCE"/>
    <w:rsid w:val="008C626B"/>
    <w:rsid w:val="008E23C9"/>
    <w:rsid w:val="008E2424"/>
    <w:rsid w:val="008E2466"/>
    <w:rsid w:val="008F0595"/>
    <w:rsid w:val="008F1A0D"/>
    <w:rsid w:val="008F54D4"/>
    <w:rsid w:val="008F6E5E"/>
    <w:rsid w:val="008F7820"/>
    <w:rsid w:val="008F78B5"/>
    <w:rsid w:val="00901DC4"/>
    <w:rsid w:val="00901F4A"/>
    <w:rsid w:val="009057B0"/>
    <w:rsid w:val="0090618C"/>
    <w:rsid w:val="0090777D"/>
    <w:rsid w:val="00913BEA"/>
    <w:rsid w:val="009147B9"/>
    <w:rsid w:val="00917236"/>
    <w:rsid w:val="00921FCC"/>
    <w:rsid w:val="009269E8"/>
    <w:rsid w:val="00927160"/>
    <w:rsid w:val="009331D3"/>
    <w:rsid w:val="009409FC"/>
    <w:rsid w:val="009418EF"/>
    <w:rsid w:val="00946D82"/>
    <w:rsid w:val="009523FA"/>
    <w:rsid w:val="0095359E"/>
    <w:rsid w:val="0096002E"/>
    <w:rsid w:val="009618D1"/>
    <w:rsid w:val="009639C7"/>
    <w:rsid w:val="00966312"/>
    <w:rsid w:val="009665F7"/>
    <w:rsid w:val="00970D0B"/>
    <w:rsid w:val="00970DD3"/>
    <w:rsid w:val="0097147A"/>
    <w:rsid w:val="00971C3E"/>
    <w:rsid w:val="00971F6F"/>
    <w:rsid w:val="009837EE"/>
    <w:rsid w:val="00990D5E"/>
    <w:rsid w:val="00990FFD"/>
    <w:rsid w:val="00991077"/>
    <w:rsid w:val="009917A5"/>
    <w:rsid w:val="00991E5D"/>
    <w:rsid w:val="00997C85"/>
    <w:rsid w:val="009A0883"/>
    <w:rsid w:val="009A4958"/>
    <w:rsid w:val="009A544F"/>
    <w:rsid w:val="009B077A"/>
    <w:rsid w:val="009B42A3"/>
    <w:rsid w:val="009B7557"/>
    <w:rsid w:val="009C10A8"/>
    <w:rsid w:val="009C1DE1"/>
    <w:rsid w:val="009C2571"/>
    <w:rsid w:val="009C308D"/>
    <w:rsid w:val="009C3557"/>
    <w:rsid w:val="009C4771"/>
    <w:rsid w:val="009C6EC8"/>
    <w:rsid w:val="009C7934"/>
    <w:rsid w:val="009D0CE3"/>
    <w:rsid w:val="009D1040"/>
    <w:rsid w:val="009D10A4"/>
    <w:rsid w:val="009D20F8"/>
    <w:rsid w:val="009D30A0"/>
    <w:rsid w:val="009D79A2"/>
    <w:rsid w:val="009E1798"/>
    <w:rsid w:val="009E26F7"/>
    <w:rsid w:val="009E2EA0"/>
    <w:rsid w:val="009E69C1"/>
    <w:rsid w:val="009F252A"/>
    <w:rsid w:val="009F609A"/>
    <w:rsid w:val="00A031AE"/>
    <w:rsid w:val="00A03F1E"/>
    <w:rsid w:val="00A057B7"/>
    <w:rsid w:val="00A06070"/>
    <w:rsid w:val="00A06481"/>
    <w:rsid w:val="00A069B7"/>
    <w:rsid w:val="00A07EF5"/>
    <w:rsid w:val="00A10784"/>
    <w:rsid w:val="00A108C7"/>
    <w:rsid w:val="00A10993"/>
    <w:rsid w:val="00A11B0F"/>
    <w:rsid w:val="00A20EE5"/>
    <w:rsid w:val="00A218D1"/>
    <w:rsid w:val="00A2567B"/>
    <w:rsid w:val="00A26584"/>
    <w:rsid w:val="00A2756F"/>
    <w:rsid w:val="00A32910"/>
    <w:rsid w:val="00A37A76"/>
    <w:rsid w:val="00A45C5C"/>
    <w:rsid w:val="00A538B5"/>
    <w:rsid w:val="00A54883"/>
    <w:rsid w:val="00A549DD"/>
    <w:rsid w:val="00A551EF"/>
    <w:rsid w:val="00A55EA2"/>
    <w:rsid w:val="00A57726"/>
    <w:rsid w:val="00A57EC0"/>
    <w:rsid w:val="00A624D2"/>
    <w:rsid w:val="00A670AF"/>
    <w:rsid w:val="00A72B4F"/>
    <w:rsid w:val="00A73B32"/>
    <w:rsid w:val="00A73D43"/>
    <w:rsid w:val="00A7417C"/>
    <w:rsid w:val="00A74C18"/>
    <w:rsid w:val="00A75C88"/>
    <w:rsid w:val="00A816E4"/>
    <w:rsid w:val="00A85FD7"/>
    <w:rsid w:val="00A918B7"/>
    <w:rsid w:val="00A9297F"/>
    <w:rsid w:val="00A93766"/>
    <w:rsid w:val="00A938B6"/>
    <w:rsid w:val="00A9514B"/>
    <w:rsid w:val="00AA06E3"/>
    <w:rsid w:val="00AA0B46"/>
    <w:rsid w:val="00AA496F"/>
    <w:rsid w:val="00AA4BEA"/>
    <w:rsid w:val="00AB3246"/>
    <w:rsid w:val="00AC1C7D"/>
    <w:rsid w:val="00AC1CB0"/>
    <w:rsid w:val="00AC26ED"/>
    <w:rsid w:val="00AD00EB"/>
    <w:rsid w:val="00AD21E3"/>
    <w:rsid w:val="00AD2D87"/>
    <w:rsid w:val="00AD3A72"/>
    <w:rsid w:val="00AE286B"/>
    <w:rsid w:val="00AE2A46"/>
    <w:rsid w:val="00AE3946"/>
    <w:rsid w:val="00AE4552"/>
    <w:rsid w:val="00AE5860"/>
    <w:rsid w:val="00AE5E77"/>
    <w:rsid w:val="00AE72CE"/>
    <w:rsid w:val="00AE7440"/>
    <w:rsid w:val="00AE7819"/>
    <w:rsid w:val="00AF1EF4"/>
    <w:rsid w:val="00AF6825"/>
    <w:rsid w:val="00B075D5"/>
    <w:rsid w:val="00B11986"/>
    <w:rsid w:val="00B12979"/>
    <w:rsid w:val="00B12CD1"/>
    <w:rsid w:val="00B14512"/>
    <w:rsid w:val="00B149C5"/>
    <w:rsid w:val="00B166DE"/>
    <w:rsid w:val="00B169FB"/>
    <w:rsid w:val="00B232EC"/>
    <w:rsid w:val="00B248D8"/>
    <w:rsid w:val="00B255A3"/>
    <w:rsid w:val="00B25E0C"/>
    <w:rsid w:val="00B2771F"/>
    <w:rsid w:val="00B277E8"/>
    <w:rsid w:val="00B279D3"/>
    <w:rsid w:val="00B322FB"/>
    <w:rsid w:val="00B40352"/>
    <w:rsid w:val="00B40B74"/>
    <w:rsid w:val="00B4142A"/>
    <w:rsid w:val="00B41C07"/>
    <w:rsid w:val="00B442EA"/>
    <w:rsid w:val="00B47500"/>
    <w:rsid w:val="00B47C93"/>
    <w:rsid w:val="00B53B3A"/>
    <w:rsid w:val="00B54F1B"/>
    <w:rsid w:val="00B560B1"/>
    <w:rsid w:val="00B61D82"/>
    <w:rsid w:val="00B64D40"/>
    <w:rsid w:val="00B675FE"/>
    <w:rsid w:val="00B7001A"/>
    <w:rsid w:val="00B70CF2"/>
    <w:rsid w:val="00B71211"/>
    <w:rsid w:val="00B7196D"/>
    <w:rsid w:val="00B74532"/>
    <w:rsid w:val="00B74C2F"/>
    <w:rsid w:val="00B77266"/>
    <w:rsid w:val="00B80ADC"/>
    <w:rsid w:val="00B834D2"/>
    <w:rsid w:val="00B83D69"/>
    <w:rsid w:val="00B87F6D"/>
    <w:rsid w:val="00B903EE"/>
    <w:rsid w:val="00B91F99"/>
    <w:rsid w:val="00B95D6B"/>
    <w:rsid w:val="00BA1893"/>
    <w:rsid w:val="00BA29AB"/>
    <w:rsid w:val="00BA3971"/>
    <w:rsid w:val="00BA67A3"/>
    <w:rsid w:val="00BA6C7E"/>
    <w:rsid w:val="00BB4703"/>
    <w:rsid w:val="00BB4D5A"/>
    <w:rsid w:val="00BB66BF"/>
    <w:rsid w:val="00BC0547"/>
    <w:rsid w:val="00BC0C64"/>
    <w:rsid w:val="00BC0E3C"/>
    <w:rsid w:val="00BC2F85"/>
    <w:rsid w:val="00BC50CC"/>
    <w:rsid w:val="00BC55B6"/>
    <w:rsid w:val="00BC77F7"/>
    <w:rsid w:val="00BD2E87"/>
    <w:rsid w:val="00BD4071"/>
    <w:rsid w:val="00BD41DB"/>
    <w:rsid w:val="00BD4B4B"/>
    <w:rsid w:val="00BD52CF"/>
    <w:rsid w:val="00BE06F4"/>
    <w:rsid w:val="00BE4E67"/>
    <w:rsid w:val="00BE55E2"/>
    <w:rsid w:val="00BE5798"/>
    <w:rsid w:val="00BE6334"/>
    <w:rsid w:val="00BE6493"/>
    <w:rsid w:val="00BF3FB6"/>
    <w:rsid w:val="00BF63BE"/>
    <w:rsid w:val="00BF6627"/>
    <w:rsid w:val="00BF6DE7"/>
    <w:rsid w:val="00BF7F89"/>
    <w:rsid w:val="00C00829"/>
    <w:rsid w:val="00C00BCD"/>
    <w:rsid w:val="00C04072"/>
    <w:rsid w:val="00C070F9"/>
    <w:rsid w:val="00C100B4"/>
    <w:rsid w:val="00C12459"/>
    <w:rsid w:val="00C134E9"/>
    <w:rsid w:val="00C146BC"/>
    <w:rsid w:val="00C147BE"/>
    <w:rsid w:val="00C17F4E"/>
    <w:rsid w:val="00C206C0"/>
    <w:rsid w:val="00C21889"/>
    <w:rsid w:val="00C24691"/>
    <w:rsid w:val="00C31015"/>
    <w:rsid w:val="00C330C6"/>
    <w:rsid w:val="00C37745"/>
    <w:rsid w:val="00C37ECB"/>
    <w:rsid w:val="00C4128C"/>
    <w:rsid w:val="00C42EEE"/>
    <w:rsid w:val="00C44325"/>
    <w:rsid w:val="00C44672"/>
    <w:rsid w:val="00C44D8C"/>
    <w:rsid w:val="00C503BB"/>
    <w:rsid w:val="00C54D06"/>
    <w:rsid w:val="00C553A8"/>
    <w:rsid w:val="00C56CE9"/>
    <w:rsid w:val="00C60BA2"/>
    <w:rsid w:val="00C618FC"/>
    <w:rsid w:val="00C6278D"/>
    <w:rsid w:val="00C6371B"/>
    <w:rsid w:val="00C63B59"/>
    <w:rsid w:val="00C64CAC"/>
    <w:rsid w:val="00C6589B"/>
    <w:rsid w:val="00C65AAF"/>
    <w:rsid w:val="00C67080"/>
    <w:rsid w:val="00C7583F"/>
    <w:rsid w:val="00C75A04"/>
    <w:rsid w:val="00C77512"/>
    <w:rsid w:val="00C7793F"/>
    <w:rsid w:val="00C82706"/>
    <w:rsid w:val="00C8379E"/>
    <w:rsid w:val="00C923FE"/>
    <w:rsid w:val="00C94254"/>
    <w:rsid w:val="00C9453D"/>
    <w:rsid w:val="00C95B30"/>
    <w:rsid w:val="00C9799B"/>
    <w:rsid w:val="00CA121B"/>
    <w:rsid w:val="00CA1340"/>
    <w:rsid w:val="00CA146D"/>
    <w:rsid w:val="00CA1FE1"/>
    <w:rsid w:val="00CA23FA"/>
    <w:rsid w:val="00CA608A"/>
    <w:rsid w:val="00CB092D"/>
    <w:rsid w:val="00CB5735"/>
    <w:rsid w:val="00CB5B5D"/>
    <w:rsid w:val="00CB6ADD"/>
    <w:rsid w:val="00CB7093"/>
    <w:rsid w:val="00CB7301"/>
    <w:rsid w:val="00CC414A"/>
    <w:rsid w:val="00CC5695"/>
    <w:rsid w:val="00CD0848"/>
    <w:rsid w:val="00CD333B"/>
    <w:rsid w:val="00CD4CA5"/>
    <w:rsid w:val="00CD77D0"/>
    <w:rsid w:val="00CE1A2D"/>
    <w:rsid w:val="00CF20BC"/>
    <w:rsid w:val="00CF51AC"/>
    <w:rsid w:val="00D01A95"/>
    <w:rsid w:val="00D02725"/>
    <w:rsid w:val="00D02F1C"/>
    <w:rsid w:val="00D0534F"/>
    <w:rsid w:val="00D06C07"/>
    <w:rsid w:val="00D110EA"/>
    <w:rsid w:val="00D1731A"/>
    <w:rsid w:val="00D2116D"/>
    <w:rsid w:val="00D23911"/>
    <w:rsid w:val="00D2514F"/>
    <w:rsid w:val="00D26E76"/>
    <w:rsid w:val="00D31302"/>
    <w:rsid w:val="00D323B7"/>
    <w:rsid w:val="00D35A7A"/>
    <w:rsid w:val="00D36606"/>
    <w:rsid w:val="00D37FB4"/>
    <w:rsid w:val="00D41376"/>
    <w:rsid w:val="00D44B89"/>
    <w:rsid w:val="00D47300"/>
    <w:rsid w:val="00D52615"/>
    <w:rsid w:val="00D65F3B"/>
    <w:rsid w:val="00D70E40"/>
    <w:rsid w:val="00D714DF"/>
    <w:rsid w:val="00D73023"/>
    <w:rsid w:val="00D74330"/>
    <w:rsid w:val="00D76007"/>
    <w:rsid w:val="00D85D1C"/>
    <w:rsid w:val="00D87659"/>
    <w:rsid w:val="00D9761C"/>
    <w:rsid w:val="00D97BD2"/>
    <w:rsid w:val="00DA292F"/>
    <w:rsid w:val="00DA39FA"/>
    <w:rsid w:val="00DA4379"/>
    <w:rsid w:val="00DB416C"/>
    <w:rsid w:val="00DB44AD"/>
    <w:rsid w:val="00DB58D6"/>
    <w:rsid w:val="00DB612C"/>
    <w:rsid w:val="00DC03E8"/>
    <w:rsid w:val="00DC120F"/>
    <w:rsid w:val="00DC43A1"/>
    <w:rsid w:val="00DC46D4"/>
    <w:rsid w:val="00DC5CD8"/>
    <w:rsid w:val="00DD1181"/>
    <w:rsid w:val="00DD1B38"/>
    <w:rsid w:val="00DD1C38"/>
    <w:rsid w:val="00DD2E3D"/>
    <w:rsid w:val="00DD3FC7"/>
    <w:rsid w:val="00DD4181"/>
    <w:rsid w:val="00DE0ECB"/>
    <w:rsid w:val="00DE6752"/>
    <w:rsid w:val="00DF3E30"/>
    <w:rsid w:val="00DF4330"/>
    <w:rsid w:val="00DF4B6A"/>
    <w:rsid w:val="00DF58FF"/>
    <w:rsid w:val="00DF757B"/>
    <w:rsid w:val="00E03EA8"/>
    <w:rsid w:val="00E045EC"/>
    <w:rsid w:val="00E10BCC"/>
    <w:rsid w:val="00E12C07"/>
    <w:rsid w:val="00E14F1D"/>
    <w:rsid w:val="00E218B1"/>
    <w:rsid w:val="00E30A8A"/>
    <w:rsid w:val="00E34F30"/>
    <w:rsid w:val="00E355F6"/>
    <w:rsid w:val="00E379E0"/>
    <w:rsid w:val="00E4207F"/>
    <w:rsid w:val="00E51783"/>
    <w:rsid w:val="00E521EA"/>
    <w:rsid w:val="00E528B4"/>
    <w:rsid w:val="00E5606A"/>
    <w:rsid w:val="00E564EC"/>
    <w:rsid w:val="00E61911"/>
    <w:rsid w:val="00E66B4C"/>
    <w:rsid w:val="00E67BC3"/>
    <w:rsid w:val="00E70BC2"/>
    <w:rsid w:val="00E71711"/>
    <w:rsid w:val="00E71D70"/>
    <w:rsid w:val="00E74A41"/>
    <w:rsid w:val="00E8116F"/>
    <w:rsid w:val="00E83A13"/>
    <w:rsid w:val="00E86F85"/>
    <w:rsid w:val="00E91843"/>
    <w:rsid w:val="00E973DC"/>
    <w:rsid w:val="00EA1E6B"/>
    <w:rsid w:val="00EA3F2B"/>
    <w:rsid w:val="00EA577C"/>
    <w:rsid w:val="00EB3357"/>
    <w:rsid w:val="00EB4802"/>
    <w:rsid w:val="00EC4BDD"/>
    <w:rsid w:val="00EC558D"/>
    <w:rsid w:val="00ED039A"/>
    <w:rsid w:val="00ED23C3"/>
    <w:rsid w:val="00ED5245"/>
    <w:rsid w:val="00ED5ABB"/>
    <w:rsid w:val="00EE47AA"/>
    <w:rsid w:val="00EE4D5B"/>
    <w:rsid w:val="00EE6CCC"/>
    <w:rsid w:val="00EF0152"/>
    <w:rsid w:val="00EF27CB"/>
    <w:rsid w:val="00EF3501"/>
    <w:rsid w:val="00EF4CAD"/>
    <w:rsid w:val="00EF55FB"/>
    <w:rsid w:val="00EF7041"/>
    <w:rsid w:val="00EF7269"/>
    <w:rsid w:val="00EF7ABF"/>
    <w:rsid w:val="00F00D0E"/>
    <w:rsid w:val="00F01919"/>
    <w:rsid w:val="00F024FE"/>
    <w:rsid w:val="00F049D4"/>
    <w:rsid w:val="00F10077"/>
    <w:rsid w:val="00F13E52"/>
    <w:rsid w:val="00F159F3"/>
    <w:rsid w:val="00F21190"/>
    <w:rsid w:val="00F2120E"/>
    <w:rsid w:val="00F231C4"/>
    <w:rsid w:val="00F23547"/>
    <w:rsid w:val="00F24B56"/>
    <w:rsid w:val="00F32B0F"/>
    <w:rsid w:val="00F3446C"/>
    <w:rsid w:val="00F35786"/>
    <w:rsid w:val="00F43D95"/>
    <w:rsid w:val="00F5272B"/>
    <w:rsid w:val="00F533AA"/>
    <w:rsid w:val="00F55E2F"/>
    <w:rsid w:val="00F568C3"/>
    <w:rsid w:val="00F57ED8"/>
    <w:rsid w:val="00F629A2"/>
    <w:rsid w:val="00F63491"/>
    <w:rsid w:val="00F6520E"/>
    <w:rsid w:val="00F66031"/>
    <w:rsid w:val="00F667EE"/>
    <w:rsid w:val="00F67C68"/>
    <w:rsid w:val="00F726BC"/>
    <w:rsid w:val="00F7544F"/>
    <w:rsid w:val="00F75F33"/>
    <w:rsid w:val="00F77597"/>
    <w:rsid w:val="00F778F8"/>
    <w:rsid w:val="00F81D35"/>
    <w:rsid w:val="00F83568"/>
    <w:rsid w:val="00F86A30"/>
    <w:rsid w:val="00F879BE"/>
    <w:rsid w:val="00F91E59"/>
    <w:rsid w:val="00F9230F"/>
    <w:rsid w:val="00F93533"/>
    <w:rsid w:val="00FA07C4"/>
    <w:rsid w:val="00FA4C3B"/>
    <w:rsid w:val="00FA66F8"/>
    <w:rsid w:val="00FA7079"/>
    <w:rsid w:val="00FA73EB"/>
    <w:rsid w:val="00FA7C04"/>
    <w:rsid w:val="00FB4330"/>
    <w:rsid w:val="00FC0463"/>
    <w:rsid w:val="00FC0BB4"/>
    <w:rsid w:val="00FC0C62"/>
    <w:rsid w:val="00FC1411"/>
    <w:rsid w:val="00FC772B"/>
    <w:rsid w:val="00FC77AB"/>
    <w:rsid w:val="00FD1164"/>
    <w:rsid w:val="00FD2188"/>
    <w:rsid w:val="00FE03C3"/>
    <w:rsid w:val="00FE0770"/>
    <w:rsid w:val="00FE4572"/>
    <w:rsid w:val="00FE7CA6"/>
    <w:rsid w:val="00FF17B7"/>
    <w:rsid w:val="00FF1F76"/>
    <w:rsid w:val="00FF2ED2"/>
    <w:rsid w:val="00FF3200"/>
    <w:rsid w:val="00FF424F"/>
    <w:rsid w:val="00FF784E"/>
    <w:rsid w:val="60650A5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AA79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4"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4071"/>
    <w:pPr>
      <w:keepNext/>
      <w:keepLines/>
      <w:spacing w:before="240" w:after="160"/>
      <w:outlineLvl w:val="0"/>
    </w:pPr>
    <w:rPr>
      <w:rFonts w:ascii="Sylfaen" w:eastAsiaTheme="majorEastAsia" w:hAnsi="Sylfaen" w:cstheme="majorBidi"/>
      <w:b/>
      <w:sz w:val="24"/>
      <w:szCs w:val="36"/>
    </w:rPr>
  </w:style>
  <w:style w:type="paragraph" w:styleId="Heading2">
    <w:name w:val="heading 2"/>
    <w:basedOn w:val="Normal"/>
    <w:next w:val="Normal"/>
    <w:link w:val="Heading2Char"/>
    <w:uiPriority w:val="9"/>
    <w:unhideWhenUsed/>
    <w:qFormat/>
    <w:rsid w:val="00082008"/>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08200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40F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40FC1"/>
    <w:rPr>
      <w:rFonts w:asciiTheme="majorHAnsi" w:eastAsiaTheme="majorEastAsia" w:hAnsiTheme="majorHAnsi" w:cstheme="majorBidi"/>
      <w:spacing w:val="-10"/>
      <w:kern w:val="28"/>
      <w:sz w:val="56"/>
      <w:szCs w:val="56"/>
    </w:rPr>
  </w:style>
  <w:style w:type="paragraph" w:customStyle="1" w:styleId="SectionTitle">
    <w:name w:val="Section Title"/>
    <w:basedOn w:val="Normal"/>
    <w:link w:val="SectionTitleChar"/>
    <w:uiPriority w:val="2"/>
    <w:qFormat/>
    <w:rsid w:val="00240FC1"/>
    <w:pPr>
      <w:pageBreakBefore/>
      <w:spacing w:after="0" w:line="480" w:lineRule="auto"/>
      <w:jc w:val="center"/>
      <w:outlineLvl w:val="0"/>
    </w:pPr>
    <w:rPr>
      <w:rFonts w:asciiTheme="majorHAnsi" w:eastAsiaTheme="majorEastAsia" w:hAnsiTheme="majorHAnsi" w:cstheme="majorBidi"/>
      <w:kern w:val="24"/>
      <w:sz w:val="24"/>
      <w:szCs w:val="24"/>
      <w:lang w:val="en-US" w:eastAsia="ja-JP"/>
    </w:rPr>
  </w:style>
  <w:style w:type="paragraph" w:styleId="NoSpacing">
    <w:name w:val="No Spacing"/>
    <w:aliases w:val="No Indent"/>
    <w:uiPriority w:val="3"/>
    <w:qFormat/>
    <w:rsid w:val="00240FC1"/>
    <w:pPr>
      <w:spacing w:after="0" w:line="480" w:lineRule="auto"/>
    </w:pPr>
    <w:rPr>
      <w:rFonts w:eastAsiaTheme="minorEastAsia"/>
      <w:sz w:val="24"/>
      <w:szCs w:val="24"/>
      <w:lang w:val="en-US" w:eastAsia="ja-JP"/>
    </w:rPr>
  </w:style>
  <w:style w:type="character" w:styleId="Emphasis">
    <w:name w:val="Emphasis"/>
    <w:basedOn w:val="DefaultParagraphFont"/>
    <w:uiPriority w:val="4"/>
    <w:unhideWhenUsed/>
    <w:qFormat/>
    <w:rsid w:val="00240FC1"/>
    <w:rPr>
      <w:i/>
      <w:iCs/>
    </w:rPr>
  </w:style>
  <w:style w:type="paragraph" w:customStyle="1" w:styleId="Abstracttitle">
    <w:name w:val="Abstract title"/>
    <w:basedOn w:val="SectionTitle"/>
    <w:link w:val="AbstracttitleChar"/>
    <w:autoRedefine/>
    <w:rsid w:val="00240FC1"/>
    <w:pPr>
      <w:pageBreakBefore w:val="0"/>
    </w:pPr>
    <w:rPr>
      <w:rFonts w:ascii="Arial" w:hAnsi="Arial"/>
      <w:b/>
      <w:caps/>
    </w:rPr>
  </w:style>
  <w:style w:type="paragraph" w:customStyle="1" w:styleId="Journalarticletitle">
    <w:name w:val="Journal article title"/>
    <w:basedOn w:val="Title"/>
    <w:link w:val="JournalarticletitleChar"/>
    <w:qFormat/>
    <w:rsid w:val="00240FC1"/>
    <w:rPr>
      <w:rFonts w:ascii="Arial Black" w:hAnsi="Arial Black"/>
      <w:sz w:val="52"/>
      <w:szCs w:val="52"/>
    </w:rPr>
  </w:style>
  <w:style w:type="character" w:customStyle="1" w:styleId="SectionTitleChar">
    <w:name w:val="Section Title Char"/>
    <w:basedOn w:val="DefaultParagraphFont"/>
    <w:link w:val="SectionTitle"/>
    <w:uiPriority w:val="2"/>
    <w:rsid w:val="00240FC1"/>
    <w:rPr>
      <w:rFonts w:asciiTheme="majorHAnsi" w:eastAsiaTheme="majorEastAsia" w:hAnsiTheme="majorHAnsi" w:cstheme="majorBidi"/>
      <w:kern w:val="24"/>
      <w:sz w:val="24"/>
      <w:szCs w:val="24"/>
      <w:lang w:val="en-US" w:eastAsia="ja-JP"/>
    </w:rPr>
  </w:style>
  <w:style w:type="character" w:customStyle="1" w:styleId="AbstracttitleChar">
    <w:name w:val="Abstract title Char"/>
    <w:basedOn w:val="SectionTitleChar"/>
    <w:link w:val="Abstracttitle"/>
    <w:rsid w:val="00240FC1"/>
    <w:rPr>
      <w:rFonts w:ascii="Arial" w:eastAsiaTheme="majorEastAsia" w:hAnsi="Arial" w:cstheme="majorBidi"/>
      <w:b/>
      <w:caps/>
      <w:kern w:val="24"/>
      <w:sz w:val="24"/>
      <w:szCs w:val="24"/>
      <w:lang w:val="en-US" w:eastAsia="ja-JP"/>
    </w:rPr>
  </w:style>
  <w:style w:type="paragraph" w:customStyle="1" w:styleId="Abstract">
    <w:name w:val="Abstract"/>
    <w:basedOn w:val="SectionTitle"/>
    <w:link w:val="AbstractChar"/>
    <w:autoRedefine/>
    <w:qFormat/>
    <w:rsid w:val="00A10993"/>
    <w:pPr>
      <w:pageBreakBefore w:val="0"/>
      <w:ind w:left="720"/>
    </w:pPr>
    <w:rPr>
      <w:rFonts w:ascii="Arial" w:hAnsi="Arial"/>
      <w:b/>
      <w:caps/>
      <w:sz w:val="22"/>
    </w:rPr>
  </w:style>
  <w:style w:type="character" w:customStyle="1" w:styleId="JournalarticletitleChar">
    <w:name w:val="Journal article title Char"/>
    <w:basedOn w:val="TitleChar"/>
    <w:link w:val="Journalarticletitle"/>
    <w:rsid w:val="00240FC1"/>
    <w:rPr>
      <w:rFonts w:ascii="Arial Black" w:eastAsiaTheme="majorEastAsia" w:hAnsi="Arial Black" w:cstheme="majorBidi"/>
      <w:spacing w:val="-10"/>
      <w:kern w:val="28"/>
      <w:sz w:val="52"/>
      <w:szCs w:val="52"/>
    </w:rPr>
  </w:style>
  <w:style w:type="character" w:customStyle="1" w:styleId="Heading1Char">
    <w:name w:val="Heading 1 Char"/>
    <w:basedOn w:val="DefaultParagraphFont"/>
    <w:link w:val="Heading1"/>
    <w:uiPriority w:val="9"/>
    <w:rsid w:val="00BD4071"/>
    <w:rPr>
      <w:rFonts w:ascii="Sylfaen" w:eastAsiaTheme="majorEastAsia" w:hAnsi="Sylfaen" w:cstheme="majorBidi"/>
      <w:b/>
      <w:sz w:val="24"/>
      <w:szCs w:val="36"/>
    </w:rPr>
  </w:style>
  <w:style w:type="character" w:customStyle="1" w:styleId="AbstractChar">
    <w:name w:val="Abstract Char"/>
    <w:basedOn w:val="SectionTitleChar"/>
    <w:link w:val="Abstract"/>
    <w:rsid w:val="00A10993"/>
    <w:rPr>
      <w:rFonts w:ascii="Arial" w:eastAsiaTheme="majorEastAsia" w:hAnsi="Arial" w:cstheme="majorBidi"/>
      <w:b/>
      <w:caps/>
      <w:kern w:val="24"/>
      <w:sz w:val="24"/>
      <w:szCs w:val="24"/>
      <w:lang w:val="en-US" w:eastAsia="ja-JP"/>
    </w:rPr>
  </w:style>
  <w:style w:type="paragraph" w:styleId="Header">
    <w:name w:val="header"/>
    <w:basedOn w:val="Normal"/>
    <w:link w:val="HeaderChar"/>
    <w:uiPriority w:val="99"/>
    <w:unhideWhenUsed/>
    <w:rsid w:val="002B24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247D"/>
  </w:style>
  <w:style w:type="paragraph" w:styleId="Footer">
    <w:name w:val="footer"/>
    <w:basedOn w:val="Normal"/>
    <w:link w:val="FooterChar"/>
    <w:uiPriority w:val="99"/>
    <w:unhideWhenUsed/>
    <w:rsid w:val="002B24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247D"/>
  </w:style>
  <w:style w:type="paragraph" w:styleId="Bibliography">
    <w:name w:val="Bibliography"/>
    <w:basedOn w:val="Normal"/>
    <w:next w:val="Normal"/>
    <w:uiPriority w:val="37"/>
    <w:unhideWhenUsed/>
    <w:rsid w:val="00A10993"/>
  </w:style>
  <w:style w:type="paragraph" w:styleId="FootnoteText">
    <w:name w:val="footnote text"/>
    <w:basedOn w:val="Normal"/>
    <w:link w:val="FootnoteTextChar"/>
    <w:uiPriority w:val="99"/>
    <w:unhideWhenUsed/>
    <w:rsid w:val="00A10993"/>
    <w:pPr>
      <w:spacing w:after="0" w:line="240" w:lineRule="auto"/>
    </w:pPr>
    <w:rPr>
      <w:rFonts w:ascii="Times New Roman" w:hAnsi="Times New Roman" w:cs="Times New Roman"/>
      <w:sz w:val="24"/>
      <w:szCs w:val="24"/>
      <w:lang w:val="en-US"/>
    </w:rPr>
  </w:style>
  <w:style w:type="character" w:customStyle="1" w:styleId="FootnoteTextChar">
    <w:name w:val="Footnote Text Char"/>
    <w:basedOn w:val="DefaultParagraphFont"/>
    <w:link w:val="FootnoteText"/>
    <w:uiPriority w:val="99"/>
    <w:rsid w:val="00A10993"/>
    <w:rPr>
      <w:rFonts w:ascii="Times New Roman" w:hAnsi="Times New Roman" w:cs="Times New Roman"/>
      <w:sz w:val="24"/>
      <w:szCs w:val="24"/>
      <w:lang w:val="en-US"/>
    </w:rPr>
  </w:style>
  <w:style w:type="character" w:styleId="FootnoteReference">
    <w:name w:val="footnote reference"/>
    <w:basedOn w:val="DefaultParagraphFont"/>
    <w:uiPriority w:val="99"/>
    <w:unhideWhenUsed/>
    <w:rsid w:val="00A10993"/>
    <w:rPr>
      <w:vertAlign w:val="superscript"/>
    </w:rPr>
  </w:style>
  <w:style w:type="character" w:customStyle="1" w:styleId="Heading2Char">
    <w:name w:val="Heading 2 Char"/>
    <w:basedOn w:val="DefaultParagraphFont"/>
    <w:link w:val="Heading2"/>
    <w:uiPriority w:val="9"/>
    <w:rsid w:val="00082008"/>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082008"/>
    <w:rPr>
      <w:rFonts w:asciiTheme="majorHAnsi" w:eastAsiaTheme="majorEastAsia" w:hAnsiTheme="majorHAnsi" w:cstheme="majorBidi"/>
      <w:color w:val="243F60" w:themeColor="accent1" w:themeShade="7F"/>
      <w:sz w:val="24"/>
      <w:szCs w:val="24"/>
    </w:rPr>
  </w:style>
  <w:style w:type="paragraph" w:styleId="Revision">
    <w:name w:val="Revision"/>
    <w:hidden/>
    <w:uiPriority w:val="99"/>
    <w:semiHidden/>
    <w:rsid w:val="00677138"/>
    <w:pPr>
      <w:spacing w:after="0" w:line="240" w:lineRule="auto"/>
    </w:pPr>
  </w:style>
  <w:style w:type="character" w:styleId="CommentReference">
    <w:name w:val="annotation reference"/>
    <w:basedOn w:val="DefaultParagraphFont"/>
    <w:uiPriority w:val="99"/>
    <w:semiHidden/>
    <w:unhideWhenUsed/>
    <w:rsid w:val="00677138"/>
    <w:rPr>
      <w:sz w:val="16"/>
      <w:szCs w:val="16"/>
    </w:rPr>
  </w:style>
  <w:style w:type="paragraph" w:styleId="CommentText">
    <w:name w:val="annotation text"/>
    <w:basedOn w:val="Normal"/>
    <w:link w:val="CommentTextChar"/>
    <w:uiPriority w:val="99"/>
    <w:semiHidden/>
    <w:unhideWhenUsed/>
    <w:rsid w:val="00677138"/>
    <w:pPr>
      <w:spacing w:line="240" w:lineRule="auto"/>
    </w:pPr>
    <w:rPr>
      <w:sz w:val="20"/>
      <w:szCs w:val="20"/>
    </w:rPr>
  </w:style>
  <w:style w:type="character" w:customStyle="1" w:styleId="CommentTextChar">
    <w:name w:val="Comment Text Char"/>
    <w:basedOn w:val="DefaultParagraphFont"/>
    <w:link w:val="CommentText"/>
    <w:uiPriority w:val="99"/>
    <w:semiHidden/>
    <w:rsid w:val="00677138"/>
    <w:rPr>
      <w:sz w:val="20"/>
      <w:szCs w:val="20"/>
    </w:rPr>
  </w:style>
  <w:style w:type="paragraph" w:styleId="CommentSubject">
    <w:name w:val="annotation subject"/>
    <w:basedOn w:val="CommentText"/>
    <w:next w:val="CommentText"/>
    <w:link w:val="CommentSubjectChar"/>
    <w:uiPriority w:val="99"/>
    <w:semiHidden/>
    <w:unhideWhenUsed/>
    <w:rsid w:val="00677138"/>
    <w:rPr>
      <w:b/>
      <w:bCs/>
    </w:rPr>
  </w:style>
  <w:style w:type="character" w:customStyle="1" w:styleId="CommentSubjectChar">
    <w:name w:val="Comment Subject Char"/>
    <w:basedOn w:val="CommentTextChar"/>
    <w:link w:val="CommentSubject"/>
    <w:uiPriority w:val="99"/>
    <w:semiHidden/>
    <w:rsid w:val="00677138"/>
    <w:rPr>
      <w:b/>
      <w:bCs/>
      <w:sz w:val="20"/>
      <w:szCs w:val="20"/>
    </w:rPr>
  </w:style>
  <w:style w:type="paragraph" w:styleId="ListParagraph">
    <w:name w:val="List Paragraph"/>
    <w:basedOn w:val="Normal"/>
    <w:uiPriority w:val="34"/>
    <w:qFormat/>
    <w:rsid w:val="00303B6E"/>
    <w:pPr>
      <w:ind w:left="720"/>
      <w:contextualSpacing/>
    </w:pPr>
  </w:style>
  <w:style w:type="character" w:styleId="Hyperlink">
    <w:name w:val="Hyperlink"/>
    <w:basedOn w:val="DefaultParagraphFont"/>
    <w:uiPriority w:val="99"/>
    <w:unhideWhenUsed/>
    <w:rsid w:val="00382817"/>
    <w:rPr>
      <w:color w:val="0000FF" w:themeColor="hyperlink"/>
      <w:u w:val="single"/>
    </w:rPr>
  </w:style>
  <w:style w:type="character" w:styleId="UnresolvedMention">
    <w:name w:val="Unresolved Mention"/>
    <w:basedOn w:val="DefaultParagraphFont"/>
    <w:uiPriority w:val="99"/>
    <w:semiHidden/>
    <w:unhideWhenUsed/>
    <w:rsid w:val="003828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6251">
      <w:bodyDiv w:val="1"/>
      <w:marLeft w:val="0"/>
      <w:marRight w:val="0"/>
      <w:marTop w:val="0"/>
      <w:marBottom w:val="0"/>
      <w:divBdr>
        <w:top w:val="none" w:sz="0" w:space="0" w:color="auto"/>
        <w:left w:val="none" w:sz="0" w:space="0" w:color="auto"/>
        <w:bottom w:val="none" w:sz="0" w:space="0" w:color="auto"/>
        <w:right w:val="none" w:sz="0" w:space="0" w:color="auto"/>
      </w:divBdr>
    </w:div>
    <w:div w:id="22944251">
      <w:bodyDiv w:val="1"/>
      <w:marLeft w:val="0"/>
      <w:marRight w:val="0"/>
      <w:marTop w:val="0"/>
      <w:marBottom w:val="0"/>
      <w:divBdr>
        <w:top w:val="none" w:sz="0" w:space="0" w:color="auto"/>
        <w:left w:val="none" w:sz="0" w:space="0" w:color="auto"/>
        <w:bottom w:val="none" w:sz="0" w:space="0" w:color="auto"/>
        <w:right w:val="none" w:sz="0" w:space="0" w:color="auto"/>
      </w:divBdr>
    </w:div>
    <w:div w:id="62684990">
      <w:bodyDiv w:val="1"/>
      <w:marLeft w:val="0"/>
      <w:marRight w:val="0"/>
      <w:marTop w:val="0"/>
      <w:marBottom w:val="0"/>
      <w:divBdr>
        <w:top w:val="none" w:sz="0" w:space="0" w:color="auto"/>
        <w:left w:val="none" w:sz="0" w:space="0" w:color="auto"/>
        <w:bottom w:val="none" w:sz="0" w:space="0" w:color="auto"/>
        <w:right w:val="none" w:sz="0" w:space="0" w:color="auto"/>
      </w:divBdr>
    </w:div>
    <w:div w:id="149296668">
      <w:bodyDiv w:val="1"/>
      <w:marLeft w:val="0"/>
      <w:marRight w:val="0"/>
      <w:marTop w:val="0"/>
      <w:marBottom w:val="0"/>
      <w:divBdr>
        <w:top w:val="none" w:sz="0" w:space="0" w:color="auto"/>
        <w:left w:val="none" w:sz="0" w:space="0" w:color="auto"/>
        <w:bottom w:val="none" w:sz="0" w:space="0" w:color="auto"/>
        <w:right w:val="none" w:sz="0" w:space="0" w:color="auto"/>
      </w:divBdr>
    </w:div>
    <w:div w:id="177626429">
      <w:bodyDiv w:val="1"/>
      <w:marLeft w:val="0"/>
      <w:marRight w:val="0"/>
      <w:marTop w:val="0"/>
      <w:marBottom w:val="0"/>
      <w:divBdr>
        <w:top w:val="none" w:sz="0" w:space="0" w:color="auto"/>
        <w:left w:val="none" w:sz="0" w:space="0" w:color="auto"/>
        <w:bottom w:val="none" w:sz="0" w:space="0" w:color="auto"/>
        <w:right w:val="none" w:sz="0" w:space="0" w:color="auto"/>
      </w:divBdr>
    </w:div>
    <w:div w:id="411245257">
      <w:bodyDiv w:val="1"/>
      <w:marLeft w:val="0"/>
      <w:marRight w:val="0"/>
      <w:marTop w:val="0"/>
      <w:marBottom w:val="0"/>
      <w:divBdr>
        <w:top w:val="none" w:sz="0" w:space="0" w:color="auto"/>
        <w:left w:val="none" w:sz="0" w:space="0" w:color="auto"/>
        <w:bottom w:val="none" w:sz="0" w:space="0" w:color="auto"/>
        <w:right w:val="none" w:sz="0" w:space="0" w:color="auto"/>
      </w:divBdr>
    </w:div>
    <w:div w:id="431390215">
      <w:bodyDiv w:val="1"/>
      <w:marLeft w:val="0"/>
      <w:marRight w:val="0"/>
      <w:marTop w:val="0"/>
      <w:marBottom w:val="0"/>
      <w:divBdr>
        <w:top w:val="none" w:sz="0" w:space="0" w:color="auto"/>
        <w:left w:val="none" w:sz="0" w:space="0" w:color="auto"/>
        <w:bottom w:val="none" w:sz="0" w:space="0" w:color="auto"/>
        <w:right w:val="none" w:sz="0" w:space="0" w:color="auto"/>
      </w:divBdr>
    </w:div>
    <w:div w:id="486753363">
      <w:bodyDiv w:val="1"/>
      <w:marLeft w:val="0"/>
      <w:marRight w:val="0"/>
      <w:marTop w:val="0"/>
      <w:marBottom w:val="0"/>
      <w:divBdr>
        <w:top w:val="none" w:sz="0" w:space="0" w:color="auto"/>
        <w:left w:val="none" w:sz="0" w:space="0" w:color="auto"/>
        <w:bottom w:val="none" w:sz="0" w:space="0" w:color="auto"/>
        <w:right w:val="none" w:sz="0" w:space="0" w:color="auto"/>
      </w:divBdr>
    </w:div>
    <w:div w:id="488441890">
      <w:bodyDiv w:val="1"/>
      <w:marLeft w:val="0"/>
      <w:marRight w:val="0"/>
      <w:marTop w:val="0"/>
      <w:marBottom w:val="0"/>
      <w:divBdr>
        <w:top w:val="none" w:sz="0" w:space="0" w:color="auto"/>
        <w:left w:val="none" w:sz="0" w:space="0" w:color="auto"/>
        <w:bottom w:val="none" w:sz="0" w:space="0" w:color="auto"/>
        <w:right w:val="none" w:sz="0" w:space="0" w:color="auto"/>
      </w:divBdr>
    </w:div>
    <w:div w:id="525219623">
      <w:bodyDiv w:val="1"/>
      <w:marLeft w:val="0"/>
      <w:marRight w:val="0"/>
      <w:marTop w:val="0"/>
      <w:marBottom w:val="0"/>
      <w:divBdr>
        <w:top w:val="none" w:sz="0" w:space="0" w:color="auto"/>
        <w:left w:val="none" w:sz="0" w:space="0" w:color="auto"/>
        <w:bottom w:val="none" w:sz="0" w:space="0" w:color="auto"/>
        <w:right w:val="none" w:sz="0" w:space="0" w:color="auto"/>
      </w:divBdr>
    </w:div>
    <w:div w:id="549339625">
      <w:bodyDiv w:val="1"/>
      <w:marLeft w:val="0"/>
      <w:marRight w:val="0"/>
      <w:marTop w:val="0"/>
      <w:marBottom w:val="0"/>
      <w:divBdr>
        <w:top w:val="none" w:sz="0" w:space="0" w:color="auto"/>
        <w:left w:val="none" w:sz="0" w:space="0" w:color="auto"/>
        <w:bottom w:val="none" w:sz="0" w:space="0" w:color="auto"/>
        <w:right w:val="none" w:sz="0" w:space="0" w:color="auto"/>
      </w:divBdr>
    </w:div>
    <w:div w:id="592517885">
      <w:bodyDiv w:val="1"/>
      <w:marLeft w:val="0"/>
      <w:marRight w:val="0"/>
      <w:marTop w:val="0"/>
      <w:marBottom w:val="0"/>
      <w:divBdr>
        <w:top w:val="none" w:sz="0" w:space="0" w:color="auto"/>
        <w:left w:val="none" w:sz="0" w:space="0" w:color="auto"/>
        <w:bottom w:val="none" w:sz="0" w:space="0" w:color="auto"/>
        <w:right w:val="none" w:sz="0" w:space="0" w:color="auto"/>
      </w:divBdr>
    </w:div>
    <w:div w:id="593056412">
      <w:bodyDiv w:val="1"/>
      <w:marLeft w:val="0"/>
      <w:marRight w:val="0"/>
      <w:marTop w:val="0"/>
      <w:marBottom w:val="0"/>
      <w:divBdr>
        <w:top w:val="none" w:sz="0" w:space="0" w:color="auto"/>
        <w:left w:val="none" w:sz="0" w:space="0" w:color="auto"/>
        <w:bottom w:val="none" w:sz="0" w:space="0" w:color="auto"/>
        <w:right w:val="none" w:sz="0" w:space="0" w:color="auto"/>
      </w:divBdr>
    </w:div>
    <w:div w:id="594243246">
      <w:bodyDiv w:val="1"/>
      <w:marLeft w:val="0"/>
      <w:marRight w:val="0"/>
      <w:marTop w:val="0"/>
      <w:marBottom w:val="0"/>
      <w:divBdr>
        <w:top w:val="none" w:sz="0" w:space="0" w:color="auto"/>
        <w:left w:val="none" w:sz="0" w:space="0" w:color="auto"/>
        <w:bottom w:val="none" w:sz="0" w:space="0" w:color="auto"/>
        <w:right w:val="none" w:sz="0" w:space="0" w:color="auto"/>
      </w:divBdr>
    </w:div>
    <w:div w:id="610741131">
      <w:bodyDiv w:val="1"/>
      <w:marLeft w:val="0"/>
      <w:marRight w:val="0"/>
      <w:marTop w:val="0"/>
      <w:marBottom w:val="0"/>
      <w:divBdr>
        <w:top w:val="none" w:sz="0" w:space="0" w:color="auto"/>
        <w:left w:val="none" w:sz="0" w:space="0" w:color="auto"/>
        <w:bottom w:val="none" w:sz="0" w:space="0" w:color="auto"/>
        <w:right w:val="none" w:sz="0" w:space="0" w:color="auto"/>
      </w:divBdr>
    </w:div>
    <w:div w:id="650790340">
      <w:bodyDiv w:val="1"/>
      <w:marLeft w:val="0"/>
      <w:marRight w:val="0"/>
      <w:marTop w:val="0"/>
      <w:marBottom w:val="0"/>
      <w:divBdr>
        <w:top w:val="none" w:sz="0" w:space="0" w:color="auto"/>
        <w:left w:val="none" w:sz="0" w:space="0" w:color="auto"/>
        <w:bottom w:val="none" w:sz="0" w:space="0" w:color="auto"/>
        <w:right w:val="none" w:sz="0" w:space="0" w:color="auto"/>
      </w:divBdr>
    </w:div>
    <w:div w:id="661196903">
      <w:bodyDiv w:val="1"/>
      <w:marLeft w:val="0"/>
      <w:marRight w:val="0"/>
      <w:marTop w:val="0"/>
      <w:marBottom w:val="0"/>
      <w:divBdr>
        <w:top w:val="none" w:sz="0" w:space="0" w:color="auto"/>
        <w:left w:val="none" w:sz="0" w:space="0" w:color="auto"/>
        <w:bottom w:val="none" w:sz="0" w:space="0" w:color="auto"/>
        <w:right w:val="none" w:sz="0" w:space="0" w:color="auto"/>
      </w:divBdr>
    </w:div>
    <w:div w:id="692533928">
      <w:bodyDiv w:val="1"/>
      <w:marLeft w:val="0"/>
      <w:marRight w:val="0"/>
      <w:marTop w:val="0"/>
      <w:marBottom w:val="0"/>
      <w:divBdr>
        <w:top w:val="none" w:sz="0" w:space="0" w:color="auto"/>
        <w:left w:val="none" w:sz="0" w:space="0" w:color="auto"/>
        <w:bottom w:val="none" w:sz="0" w:space="0" w:color="auto"/>
        <w:right w:val="none" w:sz="0" w:space="0" w:color="auto"/>
      </w:divBdr>
    </w:div>
    <w:div w:id="781144085">
      <w:bodyDiv w:val="1"/>
      <w:marLeft w:val="0"/>
      <w:marRight w:val="0"/>
      <w:marTop w:val="0"/>
      <w:marBottom w:val="0"/>
      <w:divBdr>
        <w:top w:val="none" w:sz="0" w:space="0" w:color="auto"/>
        <w:left w:val="none" w:sz="0" w:space="0" w:color="auto"/>
        <w:bottom w:val="none" w:sz="0" w:space="0" w:color="auto"/>
        <w:right w:val="none" w:sz="0" w:space="0" w:color="auto"/>
      </w:divBdr>
    </w:div>
    <w:div w:id="830682026">
      <w:bodyDiv w:val="1"/>
      <w:marLeft w:val="0"/>
      <w:marRight w:val="0"/>
      <w:marTop w:val="0"/>
      <w:marBottom w:val="0"/>
      <w:divBdr>
        <w:top w:val="none" w:sz="0" w:space="0" w:color="auto"/>
        <w:left w:val="none" w:sz="0" w:space="0" w:color="auto"/>
        <w:bottom w:val="none" w:sz="0" w:space="0" w:color="auto"/>
        <w:right w:val="none" w:sz="0" w:space="0" w:color="auto"/>
      </w:divBdr>
    </w:div>
    <w:div w:id="875699930">
      <w:bodyDiv w:val="1"/>
      <w:marLeft w:val="0"/>
      <w:marRight w:val="0"/>
      <w:marTop w:val="0"/>
      <w:marBottom w:val="0"/>
      <w:divBdr>
        <w:top w:val="none" w:sz="0" w:space="0" w:color="auto"/>
        <w:left w:val="none" w:sz="0" w:space="0" w:color="auto"/>
        <w:bottom w:val="none" w:sz="0" w:space="0" w:color="auto"/>
        <w:right w:val="none" w:sz="0" w:space="0" w:color="auto"/>
      </w:divBdr>
    </w:div>
    <w:div w:id="898053045">
      <w:bodyDiv w:val="1"/>
      <w:marLeft w:val="0"/>
      <w:marRight w:val="0"/>
      <w:marTop w:val="0"/>
      <w:marBottom w:val="0"/>
      <w:divBdr>
        <w:top w:val="none" w:sz="0" w:space="0" w:color="auto"/>
        <w:left w:val="none" w:sz="0" w:space="0" w:color="auto"/>
        <w:bottom w:val="none" w:sz="0" w:space="0" w:color="auto"/>
        <w:right w:val="none" w:sz="0" w:space="0" w:color="auto"/>
      </w:divBdr>
    </w:div>
    <w:div w:id="926427274">
      <w:bodyDiv w:val="1"/>
      <w:marLeft w:val="0"/>
      <w:marRight w:val="0"/>
      <w:marTop w:val="0"/>
      <w:marBottom w:val="0"/>
      <w:divBdr>
        <w:top w:val="none" w:sz="0" w:space="0" w:color="auto"/>
        <w:left w:val="none" w:sz="0" w:space="0" w:color="auto"/>
        <w:bottom w:val="none" w:sz="0" w:space="0" w:color="auto"/>
        <w:right w:val="none" w:sz="0" w:space="0" w:color="auto"/>
      </w:divBdr>
    </w:div>
    <w:div w:id="960572174">
      <w:bodyDiv w:val="1"/>
      <w:marLeft w:val="0"/>
      <w:marRight w:val="0"/>
      <w:marTop w:val="0"/>
      <w:marBottom w:val="0"/>
      <w:divBdr>
        <w:top w:val="none" w:sz="0" w:space="0" w:color="auto"/>
        <w:left w:val="none" w:sz="0" w:space="0" w:color="auto"/>
        <w:bottom w:val="none" w:sz="0" w:space="0" w:color="auto"/>
        <w:right w:val="none" w:sz="0" w:space="0" w:color="auto"/>
      </w:divBdr>
    </w:div>
    <w:div w:id="976299795">
      <w:bodyDiv w:val="1"/>
      <w:marLeft w:val="0"/>
      <w:marRight w:val="0"/>
      <w:marTop w:val="0"/>
      <w:marBottom w:val="0"/>
      <w:divBdr>
        <w:top w:val="none" w:sz="0" w:space="0" w:color="auto"/>
        <w:left w:val="none" w:sz="0" w:space="0" w:color="auto"/>
        <w:bottom w:val="none" w:sz="0" w:space="0" w:color="auto"/>
        <w:right w:val="none" w:sz="0" w:space="0" w:color="auto"/>
      </w:divBdr>
    </w:div>
    <w:div w:id="1143735944">
      <w:bodyDiv w:val="1"/>
      <w:marLeft w:val="0"/>
      <w:marRight w:val="0"/>
      <w:marTop w:val="0"/>
      <w:marBottom w:val="0"/>
      <w:divBdr>
        <w:top w:val="none" w:sz="0" w:space="0" w:color="auto"/>
        <w:left w:val="none" w:sz="0" w:space="0" w:color="auto"/>
        <w:bottom w:val="none" w:sz="0" w:space="0" w:color="auto"/>
        <w:right w:val="none" w:sz="0" w:space="0" w:color="auto"/>
      </w:divBdr>
    </w:div>
    <w:div w:id="1173303993">
      <w:bodyDiv w:val="1"/>
      <w:marLeft w:val="0"/>
      <w:marRight w:val="0"/>
      <w:marTop w:val="0"/>
      <w:marBottom w:val="0"/>
      <w:divBdr>
        <w:top w:val="none" w:sz="0" w:space="0" w:color="auto"/>
        <w:left w:val="none" w:sz="0" w:space="0" w:color="auto"/>
        <w:bottom w:val="none" w:sz="0" w:space="0" w:color="auto"/>
        <w:right w:val="none" w:sz="0" w:space="0" w:color="auto"/>
      </w:divBdr>
    </w:div>
    <w:div w:id="1199321257">
      <w:bodyDiv w:val="1"/>
      <w:marLeft w:val="0"/>
      <w:marRight w:val="0"/>
      <w:marTop w:val="0"/>
      <w:marBottom w:val="0"/>
      <w:divBdr>
        <w:top w:val="none" w:sz="0" w:space="0" w:color="auto"/>
        <w:left w:val="none" w:sz="0" w:space="0" w:color="auto"/>
        <w:bottom w:val="none" w:sz="0" w:space="0" w:color="auto"/>
        <w:right w:val="none" w:sz="0" w:space="0" w:color="auto"/>
      </w:divBdr>
    </w:div>
    <w:div w:id="1203783075">
      <w:bodyDiv w:val="1"/>
      <w:marLeft w:val="0"/>
      <w:marRight w:val="0"/>
      <w:marTop w:val="0"/>
      <w:marBottom w:val="0"/>
      <w:divBdr>
        <w:top w:val="none" w:sz="0" w:space="0" w:color="auto"/>
        <w:left w:val="none" w:sz="0" w:space="0" w:color="auto"/>
        <w:bottom w:val="none" w:sz="0" w:space="0" w:color="auto"/>
        <w:right w:val="none" w:sz="0" w:space="0" w:color="auto"/>
      </w:divBdr>
    </w:div>
    <w:div w:id="1246574438">
      <w:bodyDiv w:val="1"/>
      <w:marLeft w:val="0"/>
      <w:marRight w:val="0"/>
      <w:marTop w:val="0"/>
      <w:marBottom w:val="0"/>
      <w:divBdr>
        <w:top w:val="none" w:sz="0" w:space="0" w:color="auto"/>
        <w:left w:val="none" w:sz="0" w:space="0" w:color="auto"/>
        <w:bottom w:val="none" w:sz="0" w:space="0" w:color="auto"/>
        <w:right w:val="none" w:sz="0" w:space="0" w:color="auto"/>
      </w:divBdr>
    </w:div>
    <w:div w:id="1258949432">
      <w:bodyDiv w:val="1"/>
      <w:marLeft w:val="0"/>
      <w:marRight w:val="0"/>
      <w:marTop w:val="0"/>
      <w:marBottom w:val="0"/>
      <w:divBdr>
        <w:top w:val="none" w:sz="0" w:space="0" w:color="auto"/>
        <w:left w:val="none" w:sz="0" w:space="0" w:color="auto"/>
        <w:bottom w:val="none" w:sz="0" w:space="0" w:color="auto"/>
        <w:right w:val="none" w:sz="0" w:space="0" w:color="auto"/>
      </w:divBdr>
    </w:div>
    <w:div w:id="1377779151">
      <w:bodyDiv w:val="1"/>
      <w:marLeft w:val="0"/>
      <w:marRight w:val="0"/>
      <w:marTop w:val="0"/>
      <w:marBottom w:val="0"/>
      <w:divBdr>
        <w:top w:val="none" w:sz="0" w:space="0" w:color="auto"/>
        <w:left w:val="none" w:sz="0" w:space="0" w:color="auto"/>
        <w:bottom w:val="none" w:sz="0" w:space="0" w:color="auto"/>
        <w:right w:val="none" w:sz="0" w:space="0" w:color="auto"/>
      </w:divBdr>
    </w:div>
    <w:div w:id="1411149695">
      <w:bodyDiv w:val="1"/>
      <w:marLeft w:val="0"/>
      <w:marRight w:val="0"/>
      <w:marTop w:val="0"/>
      <w:marBottom w:val="0"/>
      <w:divBdr>
        <w:top w:val="none" w:sz="0" w:space="0" w:color="auto"/>
        <w:left w:val="none" w:sz="0" w:space="0" w:color="auto"/>
        <w:bottom w:val="none" w:sz="0" w:space="0" w:color="auto"/>
        <w:right w:val="none" w:sz="0" w:space="0" w:color="auto"/>
      </w:divBdr>
    </w:div>
    <w:div w:id="1482188273">
      <w:bodyDiv w:val="1"/>
      <w:marLeft w:val="0"/>
      <w:marRight w:val="0"/>
      <w:marTop w:val="0"/>
      <w:marBottom w:val="0"/>
      <w:divBdr>
        <w:top w:val="none" w:sz="0" w:space="0" w:color="auto"/>
        <w:left w:val="none" w:sz="0" w:space="0" w:color="auto"/>
        <w:bottom w:val="none" w:sz="0" w:space="0" w:color="auto"/>
        <w:right w:val="none" w:sz="0" w:space="0" w:color="auto"/>
      </w:divBdr>
    </w:div>
    <w:div w:id="1502890165">
      <w:bodyDiv w:val="1"/>
      <w:marLeft w:val="0"/>
      <w:marRight w:val="0"/>
      <w:marTop w:val="0"/>
      <w:marBottom w:val="0"/>
      <w:divBdr>
        <w:top w:val="none" w:sz="0" w:space="0" w:color="auto"/>
        <w:left w:val="none" w:sz="0" w:space="0" w:color="auto"/>
        <w:bottom w:val="none" w:sz="0" w:space="0" w:color="auto"/>
        <w:right w:val="none" w:sz="0" w:space="0" w:color="auto"/>
      </w:divBdr>
    </w:div>
    <w:div w:id="1616017270">
      <w:bodyDiv w:val="1"/>
      <w:marLeft w:val="0"/>
      <w:marRight w:val="0"/>
      <w:marTop w:val="0"/>
      <w:marBottom w:val="0"/>
      <w:divBdr>
        <w:top w:val="none" w:sz="0" w:space="0" w:color="auto"/>
        <w:left w:val="none" w:sz="0" w:space="0" w:color="auto"/>
        <w:bottom w:val="none" w:sz="0" w:space="0" w:color="auto"/>
        <w:right w:val="none" w:sz="0" w:space="0" w:color="auto"/>
      </w:divBdr>
    </w:div>
    <w:div w:id="1630933208">
      <w:bodyDiv w:val="1"/>
      <w:marLeft w:val="0"/>
      <w:marRight w:val="0"/>
      <w:marTop w:val="0"/>
      <w:marBottom w:val="0"/>
      <w:divBdr>
        <w:top w:val="none" w:sz="0" w:space="0" w:color="auto"/>
        <w:left w:val="none" w:sz="0" w:space="0" w:color="auto"/>
        <w:bottom w:val="none" w:sz="0" w:space="0" w:color="auto"/>
        <w:right w:val="none" w:sz="0" w:space="0" w:color="auto"/>
      </w:divBdr>
    </w:div>
    <w:div w:id="1684357202">
      <w:bodyDiv w:val="1"/>
      <w:marLeft w:val="0"/>
      <w:marRight w:val="0"/>
      <w:marTop w:val="0"/>
      <w:marBottom w:val="0"/>
      <w:divBdr>
        <w:top w:val="none" w:sz="0" w:space="0" w:color="auto"/>
        <w:left w:val="none" w:sz="0" w:space="0" w:color="auto"/>
        <w:bottom w:val="none" w:sz="0" w:space="0" w:color="auto"/>
        <w:right w:val="none" w:sz="0" w:space="0" w:color="auto"/>
      </w:divBdr>
    </w:div>
    <w:div w:id="1730491089">
      <w:bodyDiv w:val="1"/>
      <w:marLeft w:val="0"/>
      <w:marRight w:val="0"/>
      <w:marTop w:val="0"/>
      <w:marBottom w:val="0"/>
      <w:divBdr>
        <w:top w:val="none" w:sz="0" w:space="0" w:color="auto"/>
        <w:left w:val="none" w:sz="0" w:space="0" w:color="auto"/>
        <w:bottom w:val="none" w:sz="0" w:space="0" w:color="auto"/>
        <w:right w:val="none" w:sz="0" w:space="0" w:color="auto"/>
      </w:divBdr>
    </w:div>
    <w:div w:id="1744329985">
      <w:bodyDiv w:val="1"/>
      <w:marLeft w:val="0"/>
      <w:marRight w:val="0"/>
      <w:marTop w:val="0"/>
      <w:marBottom w:val="0"/>
      <w:divBdr>
        <w:top w:val="none" w:sz="0" w:space="0" w:color="auto"/>
        <w:left w:val="none" w:sz="0" w:space="0" w:color="auto"/>
        <w:bottom w:val="none" w:sz="0" w:space="0" w:color="auto"/>
        <w:right w:val="none" w:sz="0" w:space="0" w:color="auto"/>
      </w:divBdr>
    </w:div>
    <w:div w:id="1745298192">
      <w:bodyDiv w:val="1"/>
      <w:marLeft w:val="0"/>
      <w:marRight w:val="0"/>
      <w:marTop w:val="0"/>
      <w:marBottom w:val="0"/>
      <w:divBdr>
        <w:top w:val="none" w:sz="0" w:space="0" w:color="auto"/>
        <w:left w:val="none" w:sz="0" w:space="0" w:color="auto"/>
        <w:bottom w:val="none" w:sz="0" w:space="0" w:color="auto"/>
        <w:right w:val="none" w:sz="0" w:space="0" w:color="auto"/>
      </w:divBdr>
    </w:div>
    <w:div w:id="1784767095">
      <w:bodyDiv w:val="1"/>
      <w:marLeft w:val="0"/>
      <w:marRight w:val="0"/>
      <w:marTop w:val="0"/>
      <w:marBottom w:val="0"/>
      <w:divBdr>
        <w:top w:val="none" w:sz="0" w:space="0" w:color="auto"/>
        <w:left w:val="none" w:sz="0" w:space="0" w:color="auto"/>
        <w:bottom w:val="none" w:sz="0" w:space="0" w:color="auto"/>
        <w:right w:val="none" w:sz="0" w:space="0" w:color="auto"/>
      </w:divBdr>
    </w:div>
    <w:div w:id="1838614417">
      <w:bodyDiv w:val="1"/>
      <w:marLeft w:val="0"/>
      <w:marRight w:val="0"/>
      <w:marTop w:val="0"/>
      <w:marBottom w:val="0"/>
      <w:divBdr>
        <w:top w:val="none" w:sz="0" w:space="0" w:color="auto"/>
        <w:left w:val="none" w:sz="0" w:space="0" w:color="auto"/>
        <w:bottom w:val="none" w:sz="0" w:space="0" w:color="auto"/>
        <w:right w:val="none" w:sz="0" w:space="0" w:color="auto"/>
      </w:divBdr>
    </w:div>
    <w:div w:id="1977177103">
      <w:bodyDiv w:val="1"/>
      <w:marLeft w:val="0"/>
      <w:marRight w:val="0"/>
      <w:marTop w:val="0"/>
      <w:marBottom w:val="0"/>
      <w:divBdr>
        <w:top w:val="none" w:sz="0" w:space="0" w:color="auto"/>
        <w:left w:val="none" w:sz="0" w:space="0" w:color="auto"/>
        <w:bottom w:val="none" w:sz="0" w:space="0" w:color="auto"/>
        <w:right w:val="none" w:sz="0" w:space="0" w:color="auto"/>
      </w:divBdr>
    </w:div>
    <w:div w:id="2001343072">
      <w:bodyDiv w:val="1"/>
      <w:marLeft w:val="0"/>
      <w:marRight w:val="0"/>
      <w:marTop w:val="0"/>
      <w:marBottom w:val="0"/>
      <w:divBdr>
        <w:top w:val="none" w:sz="0" w:space="0" w:color="auto"/>
        <w:left w:val="none" w:sz="0" w:space="0" w:color="auto"/>
        <w:bottom w:val="none" w:sz="0" w:space="0" w:color="auto"/>
        <w:right w:val="none" w:sz="0" w:space="0" w:color="auto"/>
      </w:divBdr>
    </w:div>
    <w:div w:id="2140607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doi.org/10.5526/es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Har13</b:Tag>
    <b:SourceType>Book</b:SourceType>
    <b:Guid>{C8A96471-F506-6A4A-B58C-124AE52D0A62}</b:Guid>
    <b:Author>
      <b:Author>
        <b:NameList>
          <b:Person>
            <b:Last>Hardin</b:Last>
            <b:First>Russel</b:First>
          </b:Person>
        </b:NameList>
      </b:Author>
    </b:Author>
    <b:Title>Collective Action</b:Title>
    <b:Year>2013</b:Year>
    <b:Publisher>Routledge</b:Publisher>
    <b:RefOrder>1</b:RefOrder>
  </b:Source>
  <b:Source>
    <b:Tag>Pau10</b:Tag>
    <b:SourceType>Book</b:SourceType>
    <b:Guid>{02975A48-060C-1948-88CA-72FA2D7DA298}</b:Guid>
    <b:Title>Collective Rationality: Equilibrium in Cooperative Games</b:Title>
    <b:Year>2010</b:Year>
    <b:Author>
      <b:Author>
        <b:NameList>
          <b:Person>
            <b:Last>Welrich</b:Last>
            <b:First>Paul</b:First>
          </b:Person>
        </b:NameList>
      </b:Author>
    </b:Author>
    <b:Publisher>Oxford University Press</b:Publisher>
    <b:RefOrder>2</b:RefOrder>
  </b:Source>
  <b:Source>
    <b:Tag>Rob00</b:Tag>
    <b:SourceType>Book</b:SourceType>
    <b:Guid>{3792C356-65C4-0E47-BF28-45C771503D31}</b:Guid>
    <b:Author>
      <b:Author>
        <b:NameList>
          <b:Person>
            <b:Last>Dahl</b:Last>
            <b:First>Robert</b:First>
            <b:Middle>Alan</b:Middle>
          </b:Person>
        </b:NameList>
      </b:Author>
    </b:Author>
    <b:Title>On Democracy</b:Title>
    <b:Publisher>Yale University Press</b:Publisher>
    <b:Year>2000</b:Year>
    <b:RefOrder>3</b:RefOrder>
  </b:Source>
  <b:Source>
    <b:Tag>Ols71</b:Tag>
    <b:SourceType>Book</b:SourceType>
    <b:Guid>{B563323E-2408-394C-B8A4-38580C3E40EF}</b:Guid>
    <b:Author>
      <b:Author>
        <b:NameList>
          <b:Person>
            <b:Last>Olson</b:Last>
            <b:First>Mancur</b:First>
          </b:Person>
        </b:NameList>
      </b:Author>
    </b:Author>
    <b:Title>The Logic of Collective Action: Public Goods and the Theory of Groups</b:Title>
    <b:City>Cambridge, Mass</b:City>
    <b:Publisher>Harvard University Press</b:Publisher>
    <b:Year>1971</b:Year>
    <b:Pages>143</b:Pages>
    <b:RefOrder>4</b:RefOrder>
  </b:Source>
  <b:Source>
    <b:Tag>Mar052</b:Tag>
    <b:SourceType>Book</b:SourceType>
    <b:Guid>{8A9E6228-63FD-E24D-AA23-672499C7B4DC}</b:Guid>
    <b:Author>
      <b:Author>
        <b:NameList>
          <b:Person>
            <b:Last>Basili</b:Last>
            <b:First>Marcello</b:First>
          </b:Person>
          <b:Person>
            <b:Last>Franzini</b:Last>
            <b:First>Maurizio</b:First>
          </b:Person>
          <b:Person>
            <b:Last>Vercelli</b:Last>
            <b:First>Alessandro</b:First>
          </b:Person>
        </b:NameList>
      </b:Author>
    </b:Author>
    <b:Title>Environment, Inequality and Collective Action</b:Title>
    <b:Publisher>Routledge</b:Publisher>
    <b:Year>2005</b:Year>
    <b:RefOrder>5</b:RefOrder>
  </b:Source>
  <b:Source>
    <b:Tag>Env15</b:Tag>
    <b:SourceType>InternetSite</b:SourceType>
    <b:Guid>{2DC50650-5BA9-844C-B2E7-B93B0A4FD0D9}</b:Guid>
    <b:Title>Environmental Protection UK</b:Title>
    <b:Year>2015</b:Year>
    <b:Author>
      <b:Author>
        <b:Corporate>Environmental Protection UK</b:Corporate>
      </b:Author>
    </b:Author>
    <b:InternetSiteTitle>Car Pollution</b:InternetSiteTitle>
    <b:URL>http://www.environmental-protection.org.uk/committees/air-quality/air-pollution-and-transport/car-pollution/</b:URL>
    <b:Month>?</b:Month>
    <b:Day>?</b:Day>
    <b:YearAccessed>2015</b:YearAccessed>
    <b:MonthAccessed>November</b:MonthAccessed>
    <b:DayAccessed>1</b:DayAccessed>
    <b:RefOrder>6</b:RefOrder>
  </b:Source>
  <b:Source>
    <b:Tag>Gee15</b:Tag>
    <b:SourceType>DocumentFromInternetSite</b:SourceType>
    <b:Guid>{A21D3A44-5A4B-9C41-BB8E-52D6976F2009}</b:Guid>
    <b:Author>
      <b:Author>
        <b:Corporate>Geelmuyden Kiese; Infinitum</b:Corporate>
      </b:Author>
    </b:Author>
    <b:Title>Annual report 2014</b:Title>
    <b:InternetSiteTitle>Infinitum</b:InternetSiteTitle>
    <b:URL>http://infinitum.no/english/about-us</b:URL>
    <b:Year>2015</b:Year>
    <b:Month>January</b:Month>
    <b:YearAccessed>2015</b:YearAccessed>
    <b:MonthAccessed>October</b:MonthAccessed>
    <b:DayAccessed>31</b:DayAccessed>
    <b:RefOrder>7</b:RefOrder>
  </b:Source>
  <b:Source>
    <b:Tag>Dom15</b:Tag>
    <b:SourceType>InternetSite</b:SourceType>
    <b:Guid>{D8DE48F2-14FC-3F48-A7CB-C121F84150E3}</b:Guid>
    <b:Author>
      <b:Author>
        <b:NameList>
          <b:Person>
            <b:Last>Howell</b:Last>
            <b:First>Dominic</b:First>
          </b:Person>
        </b:NameList>
      </b:Author>
    </b:Author>
    <b:Title>The 5p plastic bag charge: All you need to know</b:Title>
    <b:InternetSiteTitle>BBC News</b:InternetSiteTitle>
    <b:URL>http://www.bbc.co.uk/news/uk-34346309</b:URL>
    <b:Year>2015</b:Year>
    <b:Month>October</b:Month>
    <b:Day>5</b:Day>
    <b:YearAccessed>2015</b:YearAccessed>
    <b:MonthAccessed>October </b:MonthAccessed>
    <b:DayAccessed>31</b:DayAccessed>
    <b:RefOrder>8</b:RefOrder>
  </b:Source>
  <b:Source>
    <b:Tag>Dep18</b:Tag>
    <b:SourceType>InternetSite</b:SourceType>
    <b:Guid>{FDA7BEFA-D467-F041-83C5-160ECCAC6205}</b:Guid>
    <b:Title>Carrier bags: why there's a 5p charge</b:Title>
    <b:Year>2018</b:Year>
    <b:Author>
      <b:Author>
        <b:Corporate>Department of Environment, Food and Rural Affairs</b:Corporate>
      </b:Author>
    </b:Author>
    <b:InternetSiteTitle>Department of Enviornment, Food and Rural Affairs</b:InternetSiteTitle>
    <b:URL>https://www.gov.uk/government/publications/single-use-plastic-carrier-bags-why-were-introducing-the-charge/carrier-bags-why-theres-a-5p-charge</b:URL>
    <b:Month>January</b:Month>
    <b:Day>11</b:Day>
    <b:RefOrder>9</b:RefOrder>
  </b:Source>
  <b:Source>
    <b:Tag>Col15</b:Tag>
    <b:SourceType>InternetSite</b:SourceType>
    <b:Guid>{E3FB2B06-FA93-A84F-BC1A-79D65851AE84}</b:Guid>
    <b:Author>
      <b:Author>
        <b:Corporate>Colchester Borough Council</b:Corporate>
      </b:Author>
    </b:Author>
    <b:Title>Fixed Penalty Notice - Environmental Crime</b:Title>
    <b:InternetSiteTitle>Colchester Borough Council</b:InternetSiteTitle>
    <b:URL>http://www.colchester.gov.uk/FPN</b:URL>
    <b:YearAccessed>2015</b:YearAccessed>
    <b:MonthAccessed>October </b:MonthAccessed>
    <b:DayAccessed>31</b:DayAccessed>
    <b:RefOrder>10</b:RefOrder>
  </b:Source>
  <b:Source>
    <b:Tag>Lip96</b:Tag>
    <b:SourceType>Book</b:SourceType>
    <b:Guid>{1A6B46BE-5DEA-9F41-97B7-58D6923520D1}</b:Guid>
    <b:Title>Global Civil Society and Global Environmental Governance: The Politics of Nature from Place to Planet</b:Title>
    <b:Year>1996</b:Year>
    <b:Publisher>SUNY Press</b:Publisher>
    <b:Author>
      <b:Author>
        <b:NameList>
          <b:Person>
            <b:Last>Lipschutz</b:Last>
            <b:First>Ronnie D. </b:First>
          </b:Person>
          <b:Person>
            <b:Last>Mayer</b:Last>
            <b:First>Judith</b:First>
          </b:Person>
        </b:NameList>
      </b:Author>
    </b:Author>
    <b:LCID>en-US</b:LCID>
    <b:RefOrder>11</b:RefOrder>
  </b:Source>
  <b:Source>
    <b:Tag>Tay00</b:Tag>
    <b:SourceType>JournalArticle</b:SourceType>
    <b:Guid>{7AD47E05-C8D0-B747-8403-05CE81F38D40}</b:Guid>
    <b:Author>
      <b:Author>
        <b:NameList>
          <b:Person>
            <b:Last>Taylor</b:Last>
            <b:First>Maureen</b:First>
          </b:Person>
        </b:NameList>
      </b:Author>
    </b:Author>
    <b:Title>Media relations in Bosnia: A role for public relations in building civil society</b:Title>
    <b:Year>2000</b:Year>
    <b:JournalName>Public Relations Review</b:JournalName>
    <b:Pages>1-14</b:Pages>
    <b:Volume>26</b:Volume>
    <b:Issue>1</b:Issue>
    <b:RefOrder>12</b:RefOrder>
  </b:Source>
  <b:Source>
    <b:Tag>Dep17</b:Tag>
    <b:SourceType>InternetSite</b:SourceType>
    <b:Guid>{C3B5A550-A378-2242-87F6-3B9F080C2F2D}</b:Guid>
    <b:Author>
      <b:Author>
        <b:Corporate>Department for Environment, Food &amp; Rural Affairs</b:Corporate>
      </b:Author>
    </b:Author>
    <b:Title>Govenment.uk</b:Title>
    <b:InternetSiteTitle>Announcements</b:InternetSiteTitle>
    <b:URL>https://www.gov.uk/government/news/environment-secretary-pledges-action-on-ocean-plastics</b:URL>
    <b:Year>2017</b:Year>
    <b:Month>July </b:Month>
    <b:Day>21</b:Day>
    <b:YearAccessed>2017</b:YearAccessed>
    <b:MonthAccessed>September</b:MonthAccessed>
    <b:DayAccessed>1</b:DayAccessed>
    <b:RefOrder>13</b:RefOrder>
  </b:Source>
  <b:Source>
    <b:Tag>Tom06</b:Tag>
    <b:SourceType>Book</b:SourceType>
    <b:Guid>{3B2A0B39-ADC2-634F-9D33-77438BA31DF4}</b:Guid>
    <b:Author>
      <b:Author>
        <b:NameList>
          <b:Person>
            <b:Last>Tyler</b:Last>
            <b:First>Tom</b:First>
            <b:Middle>R.</b:Middle>
          </b:Person>
        </b:NameList>
      </b:Author>
    </b:Author>
    <b:Title>Why People Obey the Law </b:Title>
    <b:Publisher>Princton University Press</b:Publisher>
    <b:Year>2006</b:Year>
    <b:RefOrder>14</b:RefOrder>
  </b:Source>
  <b:Source>
    <b:Tag>The14</b:Tag>
    <b:SourceType>InternetSite</b:SourceType>
    <b:Guid>{F22AEC6D-8571-684C-B964-51B1DEFD32DE}</b:Guid>
    <b:Title>Environmental Impacts</b:Title>
    <b:Year>2014</b:Year>
    <b:Author>
      <b:Author>
        <b:Corporate>The Northern Territory Environment Protection Authority</b:Corporate>
      </b:Author>
    </b:Author>
    <b:InternetSiteTitle>The Northern Territory Environment Protection Authority</b:InternetSiteTitle>
    <b:URL>http://www.ntepa.nt.gov.au/waste-pollution/plastic-bag-ban/enviroimpacts</b:URL>
    <b:YearAccessed>2015</b:YearAccessed>
    <b:MonthAccessed>October</b:MonthAccessed>
    <b:DayAccessed>31</b:DayAccessed>
    <b:RefOrder>15</b:RefOrder>
  </b:Source>
  <b:Source>
    <b:Tag>Art49</b:Tag>
    <b:SourceType>Book</b:SourceType>
    <b:Guid>{1ED13EE1-97E1-2F41-A32F-ED9B22A1E644}</b:Guid>
    <b:Author>
      <b:Author>
        <b:NameList>
          <b:Person>
            <b:Last>Bentley</b:Last>
            <b:First>Arthur</b:First>
          </b:Person>
        </b:NameList>
      </b:Author>
    </b:Author>
    <b:Title>The Process of Government </b:Title>
    <b:City>Evanston</b:City>
    <b:Publisher>Principia Press</b:Publisher>
    <b:Year>1949</b:Year>
    <b:Pages>211</b:Pages>
    <b:RefOrder>16</b:RefOrder>
  </b:Source>
  <b:Source>
    <b:Tag>Wor17</b:Tag>
    <b:SourceType>InternetSite</b:SourceType>
    <b:Guid>{5F6231AF-D325-8240-BAD8-04A12B9FA5A7}</b:Guid>
    <b:Author>
      <b:Author>
        <b:Corporate>World Wildelife Fund</b:Corporate>
      </b:Author>
    </b:Author>
    <b:Title>Threats </b:Title>
    <b:InternetSiteTitle>World Wildelife Fund</b:InternetSiteTitle>
    <b:URL>https://www.worldwildlife.org/threats/pollution</b:URL>
    <b:YearAccessed>2017</b:YearAccessed>
    <b:MonthAccessed>August</b:MonthAccessed>
    <b:DayAccessed>25</b:DayAccessed>
    <b:RefOrder>17</b:RefOrder>
  </b:Source>
  <b:Source>
    <b:Tag>Gre17</b:Tag>
    <b:SourceType>InternetSite</b:SourceType>
    <b:Guid>{9854C136-7797-4445-B796-DBBE0A121AA1}</b:Guid>
    <b:Author>
      <b:Author>
        <b:Corporate>Greenpeace </b:Corporate>
      </b:Author>
    </b:Author>
    <b:Title>Greanpece </b:Title>
    <b:URL>https://www.greenpeace.org.uk/microbeads-we-won/</b:URL>
    <b:Year>2017</b:Year>
    <b:Month>July </b:Month>
    <b:Day>21</b:Day>
    <b:YearAccessed>2017</b:YearAccessed>
    <b:MonthAccessed>September </b:MonthAccessed>
    <b:DayAccessed>1</b:DayAccessed>
    <b:RefOrder>18</b:RefOrder>
  </b:Source>
</b:Sources>
</file>

<file path=customXml/itemProps1.xml><?xml version="1.0" encoding="utf-8"?>
<ds:datastoreItem xmlns:ds="http://schemas.openxmlformats.org/officeDocument/2006/customXml" ds:itemID="{7C5BCB1D-7E9B-4423-AD72-03E0DCADF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3725</Words>
  <Characters>21233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Huntington's Disorder: Analysis and Current Research</dc:title>
  <dc:subject/>
  <dc:creator/>
  <cp:keywords/>
  <dc:description/>
  <cp:lastModifiedBy/>
  <cp:revision>1</cp:revision>
  <dcterms:created xsi:type="dcterms:W3CDTF">2023-07-21T09:54:00Z</dcterms:created>
  <dcterms:modified xsi:type="dcterms:W3CDTF">2023-08-14T11:03:00Z</dcterms:modified>
</cp:coreProperties>
</file>