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76B6F25C" w:rsidR="00EF3A2B" w:rsidRPr="00BD6374" w:rsidRDefault="008A5987" w:rsidP="00BD6374">
      <w:pPr>
        <w:pBdr>
          <w:bottom w:val="single" w:sz="4" w:space="1" w:color="auto"/>
        </w:pBdr>
        <w:tabs>
          <w:tab w:val="right" w:pos="9026"/>
        </w:tabs>
        <w:spacing w:before="120" w:after="120" w:line="360" w:lineRule="auto"/>
        <w:jc w:val="both"/>
        <w:rPr>
          <w:rFonts w:ascii="Sylfaen" w:hAnsi="Sylfaen"/>
          <w:i/>
          <w:color w:val="000000" w:themeColor="text1"/>
        </w:rPr>
      </w:pPr>
      <w:r w:rsidRPr="00BD6374">
        <w:rPr>
          <w:rFonts w:ascii="Sylfaen" w:hAnsi="Sylfaen"/>
          <w:i/>
          <w:color w:val="000000" w:themeColor="text1"/>
        </w:rPr>
        <w:t>Essay</w:t>
      </w:r>
      <w:r w:rsidR="00A538B5" w:rsidRPr="00BD6374">
        <w:rPr>
          <w:rFonts w:ascii="Sylfaen" w:hAnsi="Sylfaen"/>
          <w:i/>
          <w:color w:val="000000" w:themeColor="text1"/>
        </w:rPr>
        <w:tab/>
      </w:r>
    </w:p>
    <w:p w14:paraId="1E06C3FA" w14:textId="77777777" w:rsidR="00856954" w:rsidRPr="00BD6374" w:rsidRDefault="00856954" w:rsidP="00BD6374">
      <w:pPr>
        <w:pStyle w:val="Heading1"/>
        <w:spacing w:before="120" w:after="120" w:line="360" w:lineRule="auto"/>
        <w:rPr>
          <w:rFonts w:ascii="Sylfaen" w:hAnsi="Sylfaen"/>
          <w:b/>
          <w:bCs/>
          <w:color w:val="000000" w:themeColor="text1"/>
          <w:sz w:val="48"/>
          <w:szCs w:val="48"/>
        </w:rPr>
      </w:pPr>
      <w:bookmarkStart w:id="0" w:name="_Toc230422143"/>
      <w:r w:rsidRPr="00BD6374">
        <w:rPr>
          <w:rFonts w:ascii="Sylfaen" w:hAnsi="Sylfaen"/>
          <w:b/>
          <w:bCs/>
          <w:color w:val="000000" w:themeColor="text1"/>
          <w:sz w:val="48"/>
          <w:szCs w:val="48"/>
        </w:rPr>
        <w:t>Is Racetrack Performance Related to Yearling Sale Price?</w:t>
      </w:r>
      <w:bookmarkEnd w:id="0"/>
    </w:p>
    <w:p w14:paraId="4C2C4DD4" w14:textId="70CDD200" w:rsidR="00D614E1" w:rsidRPr="00BD6374" w:rsidRDefault="00856954" w:rsidP="00BD6374">
      <w:pPr>
        <w:tabs>
          <w:tab w:val="right" w:pos="9026"/>
        </w:tabs>
        <w:spacing w:before="120" w:after="120" w:line="360" w:lineRule="auto"/>
        <w:jc w:val="both"/>
        <w:rPr>
          <w:rFonts w:ascii="Sylfaen" w:hAnsi="Sylfaen"/>
          <w:color w:val="000000" w:themeColor="text1"/>
        </w:rPr>
      </w:pPr>
      <w:r w:rsidRPr="00BD6374">
        <w:rPr>
          <w:rFonts w:ascii="Sylfaen" w:hAnsi="Sylfaen"/>
          <w:color w:val="000000" w:themeColor="text1"/>
        </w:rPr>
        <w:t>Abbey Andersen</w:t>
      </w:r>
    </w:p>
    <w:p w14:paraId="2A35EB5D" w14:textId="0C163CEF" w:rsidR="002B247D" w:rsidRPr="00BD6374" w:rsidRDefault="002B247D" w:rsidP="00BD6374">
      <w:pPr>
        <w:tabs>
          <w:tab w:val="right" w:pos="9026"/>
        </w:tabs>
        <w:spacing w:before="120" w:after="120" w:line="360" w:lineRule="auto"/>
        <w:jc w:val="both"/>
        <w:rPr>
          <w:rFonts w:ascii="Sylfaen" w:hAnsi="Sylfaen"/>
          <w:color w:val="000000" w:themeColor="text1"/>
        </w:rPr>
      </w:pPr>
      <w:r w:rsidRPr="00BD6374">
        <w:rPr>
          <w:rFonts w:ascii="Sylfaen" w:hAnsi="Sylfaen"/>
          <w:color w:val="000000" w:themeColor="text1"/>
        </w:rPr>
        <w:t>University of Essex</w:t>
      </w:r>
      <w:r w:rsidR="0042566A">
        <w:rPr>
          <w:rFonts w:ascii="Sylfaen" w:hAnsi="Sylfaen"/>
          <w:noProof/>
          <w:color w:val="000000" w:themeColor="text1"/>
        </w:rPr>
        <w:pict w14:anchorId="0388247D">
          <v:rect id="_x0000_i1025" alt="" style="width:451.3pt;height:.05pt;mso-width-percent:0;mso-height-percent:0;mso-width-percent:0;mso-height-percent:0" o:hralign="center" o:hrstd="t" o:hr="t" fillcolor="#a0a0a0" stroked="f"/>
        </w:pict>
      </w:r>
    </w:p>
    <w:p w14:paraId="42AE1F70" w14:textId="345E2B69" w:rsidR="00240FC1" w:rsidRPr="00BD6374" w:rsidRDefault="00331418" w:rsidP="00BD6374">
      <w:pPr>
        <w:pStyle w:val="Heading1"/>
        <w:tabs>
          <w:tab w:val="right" w:pos="9026"/>
        </w:tabs>
        <w:spacing w:before="120" w:after="120" w:line="360" w:lineRule="auto"/>
        <w:jc w:val="both"/>
        <w:rPr>
          <w:rFonts w:ascii="Sylfaen" w:hAnsi="Sylfaen"/>
          <w:b/>
          <w:color w:val="000000" w:themeColor="text1"/>
          <w:sz w:val="22"/>
          <w:szCs w:val="22"/>
        </w:rPr>
      </w:pPr>
      <w:r w:rsidRPr="00BD6374">
        <w:rPr>
          <w:rFonts w:ascii="Sylfaen" w:hAnsi="Sylfaen"/>
          <w:b/>
          <w:color w:val="000000" w:themeColor="text1"/>
          <w:sz w:val="22"/>
          <w:szCs w:val="22"/>
        </w:rPr>
        <w:t>Abstract</w:t>
      </w:r>
    </w:p>
    <w:p w14:paraId="1BE1A19B" w14:textId="77777777" w:rsidR="00856954" w:rsidRPr="00BD6374" w:rsidRDefault="00856954" w:rsidP="00BD6374">
      <w:pPr>
        <w:spacing w:before="120" w:after="120" w:line="360" w:lineRule="auto"/>
        <w:jc w:val="both"/>
        <w:rPr>
          <w:rFonts w:ascii="Sylfaen" w:hAnsi="Sylfaen"/>
          <w:color w:val="000000" w:themeColor="text1"/>
        </w:rPr>
      </w:pPr>
      <w:r w:rsidRPr="00BD6374">
        <w:rPr>
          <w:rFonts w:ascii="Sylfaen" w:hAnsi="Sylfaen"/>
          <w:color w:val="000000" w:themeColor="text1"/>
        </w:rPr>
        <w:t xml:space="preserve">This study aimed to investigate the relationship between Thoroughbred yearling sale price and race performance at the age of three. Sales details of all yearlings sold at Tattersalls October Yearling sales (Newmarket, UK) and </w:t>
      </w: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Yearling sales (County Kildare, Ireland) in 2004 and 2005 were collected.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ratings were used to measure racetrack performance at the age of three. Yearlings that did not meet the study’s criteria were excluded from the statistical analysis, reducing the sample size from 5,749 to 1,735. Comparisons between Tattersalls and </w:t>
      </w: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were made for sale prices and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ratings. Tattersalls had a greater average sale price (56,787.51 </w:t>
      </w:r>
      <w:proofErr w:type="spellStart"/>
      <w:r w:rsidRPr="00BD6374">
        <w:rPr>
          <w:rFonts w:ascii="Sylfaen" w:hAnsi="Sylfaen"/>
          <w:color w:val="000000" w:themeColor="text1"/>
        </w:rPr>
        <w:t>gns</w:t>
      </w:r>
      <w:proofErr w:type="spellEnd"/>
      <w:r w:rsidRPr="00BD6374">
        <w:rPr>
          <w:rFonts w:ascii="Sylfaen" w:hAnsi="Sylfaen"/>
          <w:color w:val="000000" w:themeColor="text1"/>
        </w:rPr>
        <w:t xml:space="preserve">) than </w:t>
      </w: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(52,680.49 </w:t>
      </w:r>
      <w:proofErr w:type="spellStart"/>
      <w:r w:rsidRPr="00BD6374">
        <w:rPr>
          <w:rFonts w:ascii="Sylfaen" w:hAnsi="Sylfaen"/>
          <w:color w:val="000000" w:themeColor="text1"/>
        </w:rPr>
        <w:t>gns</w:t>
      </w:r>
      <w:proofErr w:type="spellEnd"/>
      <w:r w:rsidRPr="00BD6374">
        <w:rPr>
          <w:rFonts w:ascii="Sylfaen" w:hAnsi="Sylfaen"/>
          <w:color w:val="000000" w:themeColor="text1"/>
        </w:rPr>
        <w:t xml:space="preserve">). Average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ratings were extremely similar for those yearlings sold from Tattersalls (78) and </w:t>
      </w: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(77). A very highly significant correlation between LOG yearling sale price and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 at the age of three (r = 0.363, n = 1,735, p&lt;0.001) was established. Yearling sale price accounted for 13.3% of the variation in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ratings at the age of three (p&lt;0.01). A regression equation was formulated, allowing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 at the age of three to be predicted from yearling sale price. The relationship between Thoroughbred yearling sale price and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 at the age of three has been established, as well as identifying other external factors contributing to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 An expensive yearling will not guarantee a successful racehorse; however, it increases the likelihood. </w:t>
      </w:r>
    </w:p>
    <w:p w14:paraId="062C962A" w14:textId="77777777" w:rsidR="00D614E1" w:rsidRPr="00BD6374" w:rsidRDefault="00D614E1" w:rsidP="00BD6374">
      <w:pPr>
        <w:spacing w:before="120" w:after="120" w:line="360" w:lineRule="auto"/>
        <w:jc w:val="both"/>
        <w:rPr>
          <w:rFonts w:ascii="Sylfaen" w:hAnsi="Sylfaen"/>
          <w:color w:val="000000" w:themeColor="text1"/>
        </w:rPr>
      </w:pPr>
    </w:p>
    <w:p w14:paraId="51FF0423" w14:textId="3FD2BDF9" w:rsidR="00C74D9A" w:rsidRPr="00BD6374" w:rsidRDefault="00C75A94" w:rsidP="00BD6374">
      <w:pPr>
        <w:tabs>
          <w:tab w:val="right" w:pos="9026"/>
        </w:tabs>
        <w:spacing w:before="120" w:after="120" w:line="360" w:lineRule="auto"/>
        <w:ind w:right="-46"/>
        <w:jc w:val="both"/>
        <w:rPr>
          <w:rFonts w:ascii="Sylfaen" w:hAnsi="Sylfaen"/>
          <w:color w:val="000000" w:themeColor="text1"/>
        </w:rPr>
      </w:pPr>
      <w:r w:rsidRPr="00BD6374">
        <w:rPr>
          <w:rFonts w:ascii="Sylfaen" w:hAnsi="Sylfaen"/>
          <w:b/>
          <w:bCs/>
          <w:color w:val="000000" w:themeColor="text1"/>
        </w:rPr>
        <w:t>Keywords:</w:t>
      </w:r>
      <w:r w:rsidR="005C13FD" w:rsidRPr="00BD6374">
        <w:rPr>
          <w:rFonts w:ascii="Sylfaen" w:hAnsi="Sylfaen"/>
          <w:b/>
          <w:bCs/>
          <w:color w:val="000000" w:themeColor="text1"/>
        </w:rPr>
        <w:t xml:space="preserve"> </w:t>
      </w:r>
      <w:r w:rsidR="00856954" w:rsidRPr="00BD6374">
        <w:rPr>
          <w:rFonts w:ascii="Sylfaen" w:hAnsi="Sylfaen"/>
          <w:color w:val="000000" w:themeColor="text1"/>
        </w:rPr>
        <w:t>Racetrack performance, yearling sale price</w:t>
      </w:r>
      <w:r w:rsidR="004B6F48" w:rsidRPr="00BD6374">
        <w:rPr>
          <w:rFonts w:ascii="Sylfaen" w:hAnsi="Sylfaen"/>
          <w:color w:val="000000" w:themeColor="text1"/>
        </w:rPr>
        <w:t xml:space="preserve">. </w:t>
      </w:r>
    </w:p>
    <w:p w14:paraId="39613624" w14:textId="77777777" w:rsidR="007A2D4C" w:rsidRPr="00BD6374" w:rsidRDefault="007A2D4C" w:rsidP="00BD6374">
      <w:pPr>
        <w:tabs>
          <w:tab w:val="right" w:pos="9026"/>
        </w:tabs>
        <w:spacing w:before="120" w:after="120" w:line="360" w:lineRule="auto"/>
        <w:ind w:right="-46"/>
        <w:jc w:val="both"/>
        <w:rPr>
          <w:rFonts w:ascii="Sylfaen" w:hAnsi="Sylfaen"/>
          <w:color w:val="000000" w:themeColor="text1"/>
        </w:rPr>
      </w:pPr>
    </w:p>
    <w:p w14:paraId="5D9B4C7A" w14:textId="604E0EC0" w:rsidR="008E24E9" w:rsidRPr="00BD6374" w:rsidRDefault="003A6141" w:rsidP="00BD6374">
      <w:pPr>
        <w:pStyle w:val="Heading1"/>
        <w:spacing w:before="120" w:after="120" w:line="360" w:lineRule="auto"/>
        <w:rPr>
          <w:rFonts w:ascii="Sylfaen" w:hAnsi="Sylfaen"/>
          <w:b/>
          <w:bCs/>
          <w:color w:val="000000" w:themeColor="text1"/>
          <w:sz w:val="22"/>
          <w:szCs w:val="22"/>
        </w:rPr>
      </w:pPr>
      <w:r w:rsidRPr="00BD6374">
        <w:rPr>
          <w:rFonts w:ascii="Sylfaen" w:hAnsi="Sylfaen"/>
          <w:b/>
          <w:bCs/>
          <w:color w:val="000000" w:themeColor="text1"/>
          <w:sz w:val="22"/>
          <w:szCs w:val="22"/>
        </w:rPr>
        <w:t>Introduction</w:t>
      </w:r>
    </w:p>
    <w:p w14:paraId="62BECB46" w14:textId="77777777" w:rsidR="003A6141" w:rsidRPr="00BD6374" w:rsidRDefault="003A6141" w:rsidP="00BD6374">
      <w:pPr>
        <w:spacing w:before="120" w:after="120" w:line="360" w:lineRule="auto"/>
        <w:ind w:right="-46"/>
        <w:jc w:val="both"/>
        <w:rPr>
          <w:rFonts w:ascii="Sylfaen" w:hAnsi="Sylfaen"/>
          <w:bCs/>
          <w:color w:val="000000" w:themeColor="text1"/>
        </w:rPr>
      </w:pPr>
      <w:r w:rsidRPr="00BD6374">
        <w:rPr>
          <w:rFonts w:ascii="Sylfaen" w:hAnsi="Sylfaen"/>
          <w:bCs/>
          <w:color w:val="000000" w:themeColor="text1"/>
        </w:rPr>
        <w:t>The Thoroughbred industry is one of the largest and most profitable sectors of the equine industry (Cassidy, 2002). The growth of the Thoroughbred racing industry can be seen by the increase in racehorse ownership; in 2007 there were 15,294 racehorses owned, a 3.4% increase from the 14,795 racehorses owned in 2006 (British Horseracing Board, 2006, 2007). Prospective buyers spend thousands and sometimes millions of pounds at one of the many Thoroughbred auctions with the hope that their purchase will prove successful (</w:t>
      </w:r>
      <w:proofErr w:type="spellStart"/>
      <w:r w:rsidRPr="00BD6374">
        <w:rPr>
          <w:rFonts w:ascii="Sylfaen" w:hAnsi="Sylfaen"/>
          <w:bCs/>
          <w:color w:val="000000" w:themeColor="text1"/>
        </w:rPr>
        <w:t>Weatherbys</w:t>
      </w:r>
      <w:proofErr w:type="spellEnd"/>
      <w:r w:rsidRPr="00BD6374">
        <w:rPr>
          <w:rFonts w:ascii="Sylfaen" w:hAnsi="Sylfaen"/>
          <w:bCs/>
          <w:color w:val="000000" w:themeColor="text1"/>
        </w:rPr>
        <w:t>, 2004). Two of the leading yearling</w:t>
      </w:r>
      <w:r w:rsidRPr="00BD6374">
        <w:rPr>
          <w:rStyle w:val="FootnoteReference"/>
          <w:rFonts w:ascii="Sylfaen" w:hAnsi="Sylfaen"/>
          <w:bCs/>
          <w:color w:val="000000" w:themeColor="text1"/>
        </w:rPr>
        <w:footnoteReference w:id="1"/>
      </w:r>
      <w:r w:rsidRPr="00BD6374">
        <w:rPr>
          <w:rFonts w:ascii="Sylfaen" w:hAnsi="Sylfaen"/>
          <w:bCs/>
          <w:color w:val="000000" w:themeColor="text1"/>
        </w:rPr>
        <w:t xml:space="preserve"> sales venues are Tattersalls, Newmarket, UK and </w:t>
      </w:r>
      <w:proofErr w:type="spellStart"/>
      <w:r w:rsidRPr="00BD6374">
        <w:rPr>
          <w:rFonts w:ascii="Sylfaen" w:hAnsi="Sylfaen"/>
          <w:bCs/>
          <w:color w:val="000000" w:themeColor="text1"/>
        </w:rPr>
        <w:t>Goffs</w:t>
      </w:r>
      <w:proofErr w:type="spellEnd"/>
      <w:r w:rsidRPr="00BD6374">
        <w:rPr>
          <w:rFonts w:ascii="Sylfaen" w:hAnsi="Sylfaen"/>
          <w:bCs/>
          <w:color w:val="000000" w:themeColor="text1"/>
        </w:rPr>
        <w:t>, County Kildare, Ireland.</w:t>
      </w:r>
      <w:r w:rsidRPr="00BD6374">
        <w:rPr>
          <w:rFonts w:ascii="Sylfaen" w:hAnsi="Sylfaen"/>
          <w:bCs/>
          <w:color w:val="000000" w:themeColor="text1"/>
          <w:vertAlign w:val="superscript"/>
        </w:rPr>
        <w:t xml:space="preserve"> </w:t>
      </w:r>
      <w:r w:rsidRPr="00BD6374">
        <w:rPr>
          <w:rFonts w:ascii="Sylfaen" w:hAnsi="Sylfaen"/>
          <w:color w:val="000000" w:themeColor="text1"/>
        </w:rPr>
        <w:t xml:space="preserve">Tattersalls is the oldest firm of Thoroughbred auctioneers in the world, as well as the largest in Europe and it accounts for approximately 70% of yearlings sold within the British market (Pacemaker, 2003; Parsons and Smith, 2008). </w:t>
      </w: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is currently Ireland’s leading Bloodstock Sales Company (</w:t>
      </w: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2008a). </w:t>
      </w:r>
    </w:p>
    <w:p w14:paraId="436A1841" w14:textId="77777777" w:rsidR="003A6141" w:rsidRPr="00BD6374" w:rsidRDefault="003A6141" w:rsidP="00BD6374">
      <w:pPr>
        <w:spacing w:before="120" w:after="120" w:line="360" w:lineRule="auto"/>
        <w:ind w:right="-46"/>
        <w:jc w:val="both"/>
        <w:rPr>
          <w:rFonts w:ascii="Sylfaen" w:hAnsi="Sylfaen"/>
          <w:bCs/>
          <w:color w:val="000000" w:themeColor="text1"/>
        </w:rPr>
      </w:pPr>
      <w:r w:rsidRPr="00BD6374">
        <w:rPr>
          <w:rFonts w:ascii="Sylfaen" w:hAnsi="Sylfaen"/>
          <w:bCs/>
          <w:color w:val="000000" w:themeColor="text1"/>
        </w:rPr>
        <w:t xml:space="preserve">All horses are sold through a standard auction process. Bidding normally occurs between a number of bloodstock agents, who are employed by owners to act on their behalf at the auction. Sale price is dependent upon many factors, including pedigree, conformation and behaviour in the sale ring; </w:t>
      </w:r>
      <w:proofErr w:type="gramStart"/>
      <w:r w:rsidRPr="00BD6374">
        <w:rPr>
          <w:rFonts w:ascii="Sylfaen" w:hAnsi="Sylfaen"/>
          <w:bCs/>
          <w:color w:val="000000" w:themeColor="text1"/>
        </w:rPr>
        <w:t>therefore</w:t>
      </w:r>
      <w:proofErr w:type="gramEnd"/>
      <w:r w:rsidRPr="00BD6374">
        <w:rPr>
          <w:rFonts w:ascii="Sylfaen" w:hAnsi="Sylfaen"/>
          <w:bCs/>
          <w:color w:val="000000" w:themeColor="text1"/>
        </w:rPr>
        <w:t xml:space="preserve"> predicting the sale price can be extremely difficult (Cassidy, 2005; Parsons and Smith, 2008). Yearlings are purchased for a wide range of prices from a minimum bid ranging from 800 guineas (</w:t>
      </w:r>
      <w:proofErr w:type="spellStart"/>
      <w:r w:rsidRPr="00BD6374">
        <w:rPr>
          <w:rFonts w:ascii="Sylfaen" w:hAnsi="Sylfaen"/>
          <w:bCs/>
          <w:color w:val="000000" w:themeColor="text1"/>
        </w:rPr>
        <w:t>gns</w:t>
      </w:r>
      <w:proofErr w:type="spellEnd"/>
      <w:r w:rsidRPr="00BD6374">
        <w:rPr>
          <w:rFonts w:ascii="Sylfaen" w:hAnsi="Sylfaen"/>
          <w:bCs/>
          <w:color w:val="000000" w:themeColor="text1"/>
        </w:rPr>
        <w:t xml:space="preserve">) – 5,000 </w:t>
      </w:r>
      <w:proofErr w:type="spellStart"/>
      <w:r w:rsidRPr="00BD6374">
        <w:rPr>
          <w:rFonts w:ascii="Sylfaen" w:hAnsi="Sylfaen"/>
          <w:bCs/>
          <w:color w:val="000000" w:themeColor="text1"/>
        </w:rPr>
        <w:t>gns</w:t>
      </w:r>
      <w:proofErr w:type="spellEnd"/>
      <w:r w:rsidRPr="00BD6374">
        <w:rPr>
          <w:rFonts w:ascii="Sylfaen" w:hAnsi="Sylfaen"/>
          <w:bCs/>
          <w:color w:val="000000" w:themeColor="text1"/>
        </w:rPr>
        <w:t xml:space="preserve"> (Tattersalls October yearling sales) or €2,000 - €5,000 (</w:t>
      </w:r>
      <w:proofErr w:type="spellStart"/>
      <w:r w:rsidRPr="00BD6374">
        <w:rPr>
          <w:rFonts w:ascii="Sylfaen" w:hAnsi="Sylfaen"/>
          <w:bCs/>
          <w:color w:val="000000" w:themeColor="text1"/>
        </w:rPr>
        <w:t>Goffs</w:t>
      </w:r>
      <w:proofErr w:type="spellEnd"/>
      <w:r w:rsidRPr="00BD6374">
        <w:rPr>
          <w:rFonts w:ascii="Sylfaen" w:hAnsi="Sylfaen"/>
          <w:bCs/>
          <w:color w:val="000000" w:themeColor="text1"/>
        </w:rPr>
        <w:t xml:space="preserve"> yearling sales) to exceptionally high prices such as </w:t>
      </w:r>
      <w:r w:rsidRPr="00BD6374">
        <w:rPr>
          <w:rFonts w:ascii="Sylfaen" w:hAnsi="Sylfaen"/>
          <w:bCs/>
          <w:i/>
          <w:color w:val="000000" w:themeColor="text1"/>
        </w:rPr>
        <w:t>Diaghilev</w:t>
      </w:r>
      <w:r w:rsidRPr="00BD6374">
        <w:rPr>
          <w:rFonts w:ascii="Sylfaen" w:hAnsi="Sylfaen"/>
          <w:bCs/>
          <w:color w:val="000000" w:themeColor="text1"/>
        </w:rPr>
        <w:t xml:space="preserve">, the </w:t>
      </w:r>
      <w:r w:rsidRPr="00BD6374">
        <w:rPr>
          <w:rFonts w:ascii="Sylfaen" w:hAnsi="Sylfaen"/>
          <w:bCs/>
          <w:i/>
          <w:color w:val="000000" w:themeColor="text1"/>
        </w:rPr>
        <w:t>Sadler’s Wells</w:t>
      </w:r>
      <w:r w:rsidRPr="00BD6374">
        <w:rPr>
          <w:rFonts w:ascii="Sylfaen" w:hAnsi="Sylfaen"/>
          <w:bCs/>
          <w:color w:val="000000" w:themeColor="text1"/>
        </w:rPr>
        <w:t xml:space="preserve"> colt, purchased for an incredible 3,400,000 </w:t>
      </w:r>
      <w:proofErr w:type="spellStart"/>
      <w:r w:rsidRPr="00BD6374">
        <w:rPr>
          <w:rFonts w:ascii="Sylfaen" w:hAnsi="Sylfaen"/>
          <w:bCs/>
          <w:color w:val="000000" w:themeColor="text1"/>
        </w:rPr>
        <w:t>gns</w:t>
      </w:r>
      <w:proofErr w:type="spellEnd"/>
      <w:r w:rsidRPr="00BD6374">
        <w:rPr>
          <w:rFonts w:ascii="Sylfaen" w:hAnsi="Sylfaen"/>
          <w:bCs/>
          <w:color w:val="000000" w:themeColor="text1"/>
        </w:rPr>
        <w:t xml:space="preserve"> from Tattersalls in 2000; the highest selling Thoroughbred yearling in Europe to date (</w:t>
      </w:r>
      <w:proofErr w:type="spellStart"/>
      <w:r w:rsidRPr="00BD6374">
        <w:rPr>
          <w:rFonts w:ascii="Sylfaen" w:hAnsi="Sylfaen"/>
          <w:bCs/>
          <w:color w:val="000000" w:themeColor="text1"/>
        </w:rPr>
        <w:t>Weatherbys</w:t>
      </w:r>
      <w:proofErr w:type="spellEnd"/>
      <w:r w:rsidRPr="00BD6374">
        <w:rPr>
          <w:rFonts w:ascii="Sylfaen" w:hAnsi="Sylfaen"/>
          <w:bCs/>
          <w:color w:val="000000" w:themeColor="text1"/>
        </w:rPr>
        <w:t xml:space="preserve">, 2005). </w:t>
      </w:r>
    </w:p>
    <w:p w14:paraId="7682A9A8" w14:textId="77777777" w:rsidR="003A6141" w:rsidRPr="00BD6374" w:rsidRDefault="003A6141" w:rsidP="00BD6374">
      <w:pPr>
        <w:spacing w:before="120" w:after="120" w:line="360" w:lineRule="auto"/>
        <w:ind w:right="-46"/>
        <w:jc w:val="both"/>
        <w:rPr>
          <w:rFonts w:ascii="Sylfaen" w:hAnsi="Sylfaen"/>
          <w:bCs/>
          <w:color w:val="000000" w:themeColor="text1"/>
        </w:rPr>
      </w:pPr>
      <w:r w:rsidRPr="00BD6374">
        <w:rPr>
          <w:rFonts w:ascii="Sylfaen" w:hAnsi="Sylfaen"/>
          <w:bCs/>
          <w:color w:val="000000" w:themeColor="text1"/>
        </w:rPr>
        <w:t xml:space="preserve">Once yearlings have been purchased the owner will make the choice of which trainer to send them to. The majority of horses enter training at the age of two, even though only approximately half of them race during the two-year-old season (Bailey </w:t>
      </w:r>
      <w:r w:rsidRPr="00BD6374">
        <w:rPr>
          <w:rFonts w:ascii="Sylfaen" w:hAnsi="Sylfaen"/>
          <w:bCs/>
          <w:i/>
          <w:color w:val="000000" w:themeColor="text1"/>
        </w:rPr>
        <w:t>et al.</w:t>
      </w:r>
      <w:r w:rsidRPr="00BD6374">
        <w:rPr>
          <w:rFonts w:ascii="Sylfaen" w:hAnsi="Sylfaen"/>
          <w:bCs/>
          <w:color w:val="000000" w:themeColor="text1"/>
        </w:rPr>
        <w:t xml:space="preserve">, 1999). However, for a number of reasons, including injury, death and poor performance, a large proportion of horses never make it to the racetrack. </w:t>
      </w:r>
    </w:p>
    <w:p w14:paraId="0DB3795C" w14:textId="77777777" w:rsidR="003A6141" w:rsidRPr="00BD6374" w:rsidRDefault="003A6141" w:rsidP="00BD6374">
      <w:pPr>
        <w:spacing w:before="120" w:after="120" w:line="360" w:lineRule="auto"/>
        <w:ind w:right="-46"/>
        <w:jc w:val="both"/>
        <w:rPr>
          <w:rFonts w:ascii="Sylfaen" w:hAnsi="Sylfaen"/>
          <w:bCs/>
          <w:color w:val="000000" w:themeColor="text1"/>
        </w:rPr>
      </w:pPr>
    </w:p>
    <w:p w14:paraId="3943847B" w14:textId="77777777" w:rsidR="003A6141" w:rsidRPr="00BD6374" w:rsidRDefault="003A6141" w:rsidP="00BD6374">
      <w:pPr>
        <w:spacing w:before="120" w:after="120" w:line="360" w:lineRule="auto"/>
        <w:ind w:right="-46"/>
        <w:jc w:val="both"/>
        <w:rPr>
          <w:rFonts w:ascii="Sylfaen" w:hAnsi="Sylfaen"/>
          <w:bCs/>
          <w:color w:val="000000" w:themeColor="text1"/>
        </w:rPr>
      </w:pPr>
      <w:proofErr w:type="spellStart"/>
      <w:r w:rsidRPr="00BD6374">
        <w:rPr>
          <w:rFonts w:ascii="Sylfaen" w:hAnsi="Sylfaen"/>
          <w:bCs/>
          <w:color w:val="000000" w:themeColor="text1"/>
        </w:rPr>
        <w:t>Wilsher</w:t>
      </w:r>
      <w:proofErr w:type="spellEnd"/>
      <w:r w:rsidRPr="00BD6374">
        <w:rPr>
          <w:rFonts w:ascii="Sylfaen" w:hAnsi="Sylfaen"/>
          <w:bCs/>
          <w:color w:val="000000" w:themeColor="text1"/>
        </w:rPr>
        <w:t xml:space="preserve"> </w:t>
      </w:r>
      <w:r w:rsidRPr="00BD6374">
        <w:rPr>
          <w:rFonts w:ascii="Sylfaen" w:hAnsi="Sylfaen"/>
          <w:bCs/>
          <w:i/>
          <w:color w:val="000000" w:themeColor="text1"/>
        </w:rPr>
        <w:t xml:space="preserve">et al. </w:t>
      </w:r>
      <w:r w:rsidRPr="00BD6374">
        <w:rPr>
          <w:rFonts w:ascii="Sylfaen" w:hAnsi="Sylfaen"/>
          <w:bCs/>
          <w:color w:val="000000" w:themeColor="text1"/>
        </w:rPr>
        <w:t xml:space="preserve">(2006) established that 45% of the 1999 foal crop never entered training, compared to the 38% found by Jeffcott </w:t>
      </w:r>
      <w:r w:rsidRPr="00BD6374">
        <w:rPr>
          <w:rFonts w:ascii="Sylfaen" w:hAnsi="Sylfaen"/>
          <w:bCs/>
          <w:i/>
          <w:color w:val="000000" w:themeColor="text1"/>
        </w:rPr>
        <w:t>et al.</w:t>
      </w:r>
      <w:r w:rsidRPr="00BD6374">
        <w:rPr>
          <w:rFonts w:ascii="Sylfaen" w:hAnsi="Sylfaen"/>
          <w:bCs/>
          <w:color w:val="000000" w:themeColor="text1"/>
        </w:rPr>
        <w:t xml:space="preserve"> (1982). Others do not begin their race career until they are older. The true worth of the horse is determined on the racetrack where its performance is measured in a number of ways, including prize money, black </w:t>
      </w:r>
      <w:proofErr w:type="gramStart"/>
      <w:r w:rsidRPr="00BD6374">
        <w:rPr>
          <w:rFonts w:ascii="Sylfaen" w:hAnsi="Sylfaen"/>
          <w:bCs/>
          <w:color w:val="000000" w:themeColor="text1"/>
        </w:rPr>
        <w:t>type</w:t>
      </w:r>
      <w:proofErr w:type="gramEnd"/>
      <w:r w:rsidRPr="00BD6374">
        <w:rPr>
          <w:rFonts w:ascii="Sylfaen" w:hAnsi="Sylfaen"/>
          <w:bCs/>
          <w:color w:val="000000" w:themeColor="text1"/>
        </w:rPr>
        <w:t xml:space="preserve"> and race times (Cassidy, 2002); however, </w:t>
      </w:r>
      <w:proofErr w:type="spellStart"/>
      <w:r w:rsidRPr="00BD6374">
        <w:rPr>
          <w:rFonts w:ascii="Sylfaen" w:hAnsi="Sylfaen"/>
          <w:bCs/>
          <w:color w:val="000000" w:themeColor="text1"/>
        </w:rPr>
        <w:t>Timeform</w:t>
      </w:r>
      <w:proofErr w:type="spellEnd"/>
      <w:r w:rsidRPr="00BD6374">
        <w:rPr>
          <w:rFonts w:ascii="Sylfaen" w:hAnsi="Sylfaen"/>
          <w:bCs/>
          <w:color w:val="000000" w:themeColor="text1"/>
        </w:rPr>
        <w:t xml:space="preserve"> Rating</w:t>
      </w:r>
      <w:r w:rsidRPr="00BD6374">
        <w:rPr>
          <w:rStyle w:val="FootnoteReference"/>
          <w:rFonts w:ascii="Sylfaen" w:hAnsi="Sylfaen"/>
          <w:bCs/>
          <w:color w:val="000000" w:themeColor="text1"/>
        </w:rPr>
        <w:footnoteReference w:id="2"/>
      </w:r>
      <w:r w:rsidRPr="00BD6374">
        <w:rPr>
          <w:rFonts w:ascii="Sylfaen" w:hAnsi="Sylfaen"/>
          <w:bCs/>
          <w:color w:val="000000" w:themeColor="text1"/>
        </w:rPr>
        <w:t xml:space="preserve"> is perceived as the definitive measure of racing merit (</w:t>
      </w:r>
      <w:proofErr w:type="spellStart"/>
      <w:r w:rsidRPr="00BD6374">
        <w:rPr>
          <w:rFonts w:ascii="Sylfaen" w:hAnsi="Sylfaen"/>
          <w:bCs/>
          <w:color w:val="000000" w:themeColor="text1"/>
        </w:rPr>
        <w:t>Timeform</w:t>
      </w:r>
      <w:proofErr w:type="spellEnd"/>
      <w:r w:rsidRPr="00BD6374">
        <w:rPr>
          <w:rFonts w:ascii="Sylfaen" w:hAnsi="Sylfaen"/>
          <w:bCs/>
          <w:color w:val="000000" w:themeColor="text1"/>
        </w:rPr>
        <w:t>, 2008).</w:t>
      </w:r>
    </w:p>
    <w:p w14:paraId="63B05D58" w14:textId="77777777" w:rsidR="003A6141" w:rsidRPr="00BD6374" w:rsidRDefault="003A6141" w:rsidP="00BD6374">
      <w:pPr>
        <w:spacing w:before="120" w:after="120" w:line="360" w:lineRule="auto"/>
        <w:ind w:right="-46"/>
        <w:jc w:val="both"/>
        <w:rPr>
          <w:rFonts w:ascii="Sylfaen" w:hAnsi="Sylfaen"/>
          <w:bCs/>
          <w:color w:val="000000" w:themeColor="text1"/>
        </w:rPr>
      </w:pPr>
      <w:r w:rsidRPr="00BD6374">
        <w:rPr>
          <w:rFonts w:ascii="Sylfaen" w:hAnsi="Sylfaen"/>
          <w:bCs/>
          <w:color w:val="000000" w:themeColor="text1"/>
        </w:rPr>
        <w:t xml:space="preserve">The majority of owners hope to win a race with their racehorse and earn prize money to cover their expenses for the upkeep and training of their horse; however, this is not always the case. More (1998) studied 1804 Thoroughbreds during their first year of racing, and found that 1567 (86.9%) of them earned insufficient funds to cover their training costs; 701 (38.9%) of these were </w:t>
      </w:r>
      <w:proofErr w:type="gramStart"/>
      <w:r w:rsidRPr="00BD6374">
        <w:rPr>
          <w:rFonts w:ascii="Sylfaen" w:hAnsi="Sylfaen"/>
          <w:bCs/>
          <w:color w:val="000000" w:themeColor="text1"/>
        </w:rPr>
        <w:t>three year olds</w:t>
      </w:r>
      <w:proofErr w:type="gramEnd"/>
      <w:r w:rsidRPr="00BD6374">
        <w:rPr>
          <w:rFonts w:ascii="Sylfaen" w:hAnsi="Sylfaen"/>
          <w:bCs/>
          <w:color w:val="000000" w:themeColor="text1"/>
        </w:rPr>
        <w:t xml:space="preserve">. </w:t>
      </w:r>
    </w:p>
    <w:p w14:paraId="2ECB58DB" w14:textId="77777777" w:rsidR="003A6141" w:rsidRPr="00BD6374" w:rsidRDefault="003A6141" w:rsidP="00BD6374">
      <w:pPr>
        <w:spacing w:before="120" w:after="120" w:line="360" w:lineRule="auto"/>
        <w:ind w:right="-46"/>
        <w:jc w:val="both"/>
        <w:rPr>
          <w:rFonts w:ascii="Sylfaen" w:hAnsi="Sylfaen"/>
          <w:color w:val="000000" w:themeColor="text1"/>
        </w:rPr>
      </w:pPr>
      <w:r w:rsidRPr="00BD6374">
        <w:rPr>
          <w:rFonts w:ascii="Sylfaen" w:hAnsi="Sylfaen"/>
          <w:color w:val="000000" w:themeColor="text1"/>
        </w:rPr>
        <w:t xml:space="preserve">The aim of this study was to investigate whether price paid for Thoroughbred yearlings is related to their performance on the racetrack as </w:t>
      </w:r>
      <w:proofErr w:type="gramStart"/>
      <w:r w:rsidRPr="00BD6374">
        <w:rPr>
          <w:rFonts w:ascii="Sylfaen" w:hAnsi="Sylfaen"/>
          <w:color w:val="000000" w:themeColor="text1"/>
        </w:rPr>
        <w:t>three year olds</w:t>
      </w:r>
      <w:proofErr w:type="gramEnd"/>
      <w:r w:rsidRPr="00BD6374">
        <w:rPr>
          <w:rFonts w:ascii="Sylfaen" w:hAnsi="Sylfaen"/>
          <w:color w:val="000000" w:themeColor="text1"/>
        </w:rPr>
        <w:t xml:space="preserve">. The study was based upon the hypothesis that there is a significant correlation between the sale prices of Thoroughbred yearlings sold at Tattersalls and </w:t>
      </w: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and their performance on the racetrack as </w:t>
      </w:r>
      <w:proofErr w:type="gramStart"/>
      <w:r w:rsidRPr="00BD6374">
        <w:rPr>
          <w:rFonts w:ascii="Sylfaen" w:hAnsi="Sylfaen"/>
          <w:color w:val="000000" w:themeColor="text1"/>
        </w:rPr>
        <w:t>three year olds</w:t>
      </w:r>
      <w:proofErr w:type="gramEnd"/>
      <w:r w:rsidRPr="00BD6374">
        <w:rPr>
          <w:rFonts w:ascii="Sylfaen" w:hAnsi="Sylfaen"/>
          <w:color w:val="000000" w:themeColor="text1"/>
        </w:rPr>
        <w:t xml:space="preserve">, measured via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ratings.  </w:t>
      </w:r>
    </w:p>
    <w:p w14:paraId="4A1C899F" w14:textId="77777777" w:rsidR="003A6141" w:rsidRPr="00BD6374" w:rsidRDefault="003A6141" w:rsidP="00BD6374">
      <w:pPr>
        <w:spacing w:before="120" w:after="120" w:line="360" w:lineRule="auto"/>
        <w:ind w:right="-46"/>
        <w:jc w:val="both"/>
        <w:rPr>
          <w:rFonts w:ascii="Sylfaen" w:hAnsi="Sylfaen"/>
          <w:color w:val="000000" w:themeColor="text1"/>
        </w:rPr>
      </w:pPr>
    </w:p>
    <w:p w14:paraId="43D87E37" w14:textId="5C6813F0" w:rsidR="003A6141" w:rsidRPr="00BD6374" w:rsidRDefault="003A6141" w:rsidP="00BD6374">
      <w:pPr>
        <w:pStyle w:val="Heading1"/>
        <w:spacing w:before="120" w:after="120" w:line="360" w:lineRule="auto"/>
        <w:rPr>
          <w:rFonts w:ascii="Sylfaen" w:hAnsi="Sylfaen"/>
          <w:b/>
          <w:bCs/>
          <w:color w:val="000000" w:themeColor="text1"/>
          <w:sz w:val="22"/>
          <w:szCs w:val="22"/>
        </w:rPr>
      </w:pPr>
      <w:r w:rsidRPr="00BD6374">
        <w:rPr>
          <w:rFonts w:ascii="Sylfaen" w:hAnsi="Sylfaen"/>
          <w:b/>
          <w:bCs/>
          <w:color w:val="000000" w:themeColor="text1"/>
          <w:sz w:val="22"/>
          <w:szCs w:val="22"/>
        </w:rPr>
        <w:t>Materials and methods</w:t>
      </w:r>
    </w:p>
    <w:p w14:paraId="636EDB92" w14:textId="77777777" w:rsidR="003A6141" w:rsidRPr="00BD6374" w:rsidRDefault="003A6141" w:rsidP="00BD6374">
      <w:pPr>
        <w:spacing w:before="120" w:after="120" w:line="360" w:lineRule="auto"/>
        <w:ind w:right="-46"/>
        <w:rPr>
          <w:rFonts w:ascii="Sylfaen" w:hAnsi="Sylfaen"/>
          <w:color w:val="000000" w:themeColor="text1"/>
        </w:rPr>
      </w:pPr>
      <w:r w:rsidRPr="00BD6374">
        <w:rPr>
          <w:rFonts w:ascii="Sylfaen" w:hAnsi="Sylfaen"/>
          <w:color w:val="000000" w:themeColor="text1"/>
        </w:rPr>
        <w:t xml:space="preserve">The initial population sample consisted of 5,749 yearlings. This was made up of all sales returns from: </w:t>
      </w:r>
    </w:p>
    <w:p w14:paraId="2EEA56D8" w14:textId="77777777" w:rsidR="003A6141" w:rsidRPr="00BD6374" w:rsidRDefault="003A6141" w:rsidP="00BD6374">
      <w:pPr>
        <w:numPr>
          <w:ilvl w:val="0"/>
          <w:numId w:val="13"/>
        </w:numPr>
        <w:spacing w:before="120" w:after="120" w:line="360" w:lineRule="auto"/>
        <w:ind w:left="0" w:right="-46" w:firstLine="0"/>
        <w:rPr>
          <w:rFonts w:ascii="Sylfaen" w:hAnsi="Sylfaen"/>
          <w:color w:val="000000" w:themeColor="text1"/>
        </w:rPr>
      </w:pPr>
      <w:r w:rsidRPr="00BD6374">
        <w:rPr>
          <w:rFonts w:ascii="Sylfaen" w:hAnsi="Sylfaen"/>
          <w:color w:val="000000" w:themeColor="text1"/>
        </w:rPr>
        <w:t>Tattersalls October Yearling Sale Part 1 (2004 and 2005)</w:t>
      </w:r>
    </w:p>
    <w:p w14:paraId="6F125809" w14:textId="77777777" w:rsidR="003A6141" w:rsidRPr="00BD6374" w:rsidRDefault="003A6141" w:rsidP="00BD6374">
      <w:pPr>
        <w:numPr>
          <w:ilvl w:val="0"/>
          <w:numId w:val="13"/>
        </w:numPr>
        <w:spacing w:before="120" w:after="120" w:line="360" w:lineRule="auto"/>
        <w:ind w:left="0" w:right="-46" w:firstLine="0"/>
        <w:jc w:val="both"/>
        <w:rPr>
          <w:rFonts w:ascii="Sylfaen" w:hAnsi="Sylfaen"/>
          <w:color w:val="000000" w:themeColor="text1"/>
        </w:rPr>
      </w:pPr>
      <w:r w:rsidRPr="00BD6374">
        <w:rPr>
          <w:rFonts w:ascii="Sylfaen" w:hAnsi="Sylfaen"/>
          <w:color w:val="000000" w:themeColor="text1"/>
        </w:rPr>
        <w:t>Tattersalls October Yearling Sale Part 2 (2004 and 2005)</w:t>
      </w:r>
    </w:p>
    <w:p w14:paraId="2DC83A9F" w14:textId="77777777" w:rsidR="003A6141" w:rsidRPr="00BD6374" w:rsidRDefault="003A6141" w:rsidP="00BD6374">
      <w:pPr>
        <w:numPr>
          <w:ilvl w:val="0"/>
          <w:numId w:val="13"/>
        </w:numPr>
        <w:spacing w:before="120" w:after="120" w:line="360" w:lineRule="auto"/>
        <w:ind w:left="0" w:right="-46" w:firstLine="0"/>
        <w:jc w:val="both"/>
        <w:rPr>
          <w:rFonts w:ascii="Sylfaen" w:hAnsi="Sylfaen"/>
          <w:color w:val="000000" w:themeColor="text1"/>
        </w:rPr>
      </w:pPr>
      <w:r w:rsidRPr="00BD6374">
        <w:rPr>
          <w:rFonts w:ascii="Sylfaen" w:hAnsi="Sylfaen"/>
          <w:color w:val="000000" w:themeColor="text1"/>
        </w:rPr>
        <w:t>Tattersalls October Yearling Sale Part 3 (2005)</w:t>
      </w:r>
    </w:p>
    <w:p w14:paraId="757DA838" w14:textId="77777777" w:rsidR="003A6141" w:rsidRPr="00BD6374" w:rsidRDefault="003A6141" w:rsidP="00BD6374">
      <w:pPr>
        <w:numPr>
          <w:ilvl w:val="0"/>
          <w:numId w:val="13"/>
        </w:numPr>
        <w:spacing w:before="120" w:after="120" w:line="360" w:lineRule="auto"/>
        <w:ind w:left="0" w:right="-46" w:firstLine="0"/>
        <w:jc w:val="both"/>
        <w:rPr>
          <w:rFonts w:ascii="Sylfaen" w:hAnsi="Sylfaen"/>
          <w:color w:val="000000" w:themeColor="text1"/>
        </w:rPr>
      </w:pPr>
      <w:proofErr w:type="spellStart"/>
      <w:r w:rsidRPr="00BD6374">
        <w:rPr>
          <w:rFonts w:ascii="Sylfaen" w:hAnsi="Sylfaen"/>
          <w:color w:val="000000" w:themeColor="text1"/>
        </w:rPr>
        <w:lastRenderedPageBreak/>
        <w:t>Goffs</w:t>
      </w:r>
      <w:proofErr w:type="spellEnd"/>
      <w:r w:rsidRPr="00BD6374">
        <w:rPr>
          <w:rFonts w:ascii="Sylfaen" w:hAnsi="Sylfaen"/>
          <w:color w:val="000000" w:themeColor="text1"/>
        </w:rPr>
        <w:t xml:space="preserve"> Orby Sale (2004)</w:t>
      </w:r>
    </w:p>
    <w:p w14:paraId="70AB70F7" w14:textId="77777777" w:rsidR="003A6141" w:rsidRPr="00BD6374" w:rsidRDefault="003A6141" w:rsidP="00BD6374">
      <w:pPr>
        <w:numPr>
          <w:ilvl w:val="0"/>
          <w:numId w:val="13"/>
        </w:numPr>
        <w:spacing w:before="120" w:after="120" w:line="360" w:lineRule="auto"/>
        <w:ind w:left="0" w:right="-46" w:firstLine="0"/>
        <w:jc w:val="both"/>
        <w:rPr>
          <w:rFonts w:ascii="Sylfaen" w:hAnsi="Sylfaen"/>
          <w:color w:val="000000" w:themeColor="text1"/>
        </w:rPr>
      </w:pP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Millions Sale (2005)</w:t>
      </w:r>
    </w:p>
    <w:p w14:paraId="7C19A10C" w14:textId="77777777" w:rsidR="003A6141" w:rsidRPr="00BD6374" w:rsidRDefault="003A6141" w:rsidP="00BD6374">
      <w:pPr>
        <w:numPr>
          <w:ilvl w:val="0"/>
          <w:numId w:val="13"/>
        </w:numPr>
        <w:spacing w:before="120" w:after="120" w:line="360" w:lineRule="auto"/>
        <w:ind w:left="0" w:right="-46" w:firstLine="0"/>
        <w:jc w:val="both"/>
        <w:rPr>
          <w:rFonts w:ascii="Sylfaen" w:hAnsi="Sylfaen"/>
          <w:color w:val="000000" w:themeColor="text1"/>
        </w:rPr>
      </w:pP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Sportsman’s Sale (2005)</w:t>
      </w:r>
    </w:p>
    <w:p w14:paraId="7E444A28" w14:textId="77777777" w:rsidR="003A6141" w:rsidRPr="00BD6374" w:rsidRDefault="003A6141" w:rsidP="00BD6374">
      <w:pPr>
        <w:spacing w:before="120" w:after="120" w:line="360" w:lineRule="auto"/>
        <w:ind w:right="-46"/>
        <w:jc w:val="both"/>
        <w:rPr>
          <w:rFonts w:ascii="Sylfaen" w:hAnsi="Sylfaen"/>
          <w:color w:val="000000" w:themeColor="text1"/>
          <w:vertAlign w:val="superscript"/>
        </w:rPr>
      </w:pPr>
    </w:p>
    <w:p w14:paraId="1CDDEA07" w14:textId="77777777" w:rsidR="003A6141" w:rsidRPr="00BD6374" w:rsidRDefault="003A6141" w:rsidP="00BD6374">
      <w:pPr>
        <w:spacing w:before="120" w:after="120" w:line="360" w:lineRule="auto"/>
        <w:ind w:right="-46"/>
        <w:jc w:val="both"/>
        <w:rPr>
          <w:rFonts w:ascii="Sylfaen" w:hAnsi="Sylfaen"/>
          <w:color w:val="000000" w:themeColor="text1"/>
        </w:rPr>
      </w:pPr>
      <w:r w:rsidRPr="00BD6374">
        <w:rPr>
          <w:rFonts w:ascii="Sylfaen" w:hAnsi="Sylfaen"/>
          <w:color w:val="000000" w:themeColor="text1"/>
        </w:rPr>
        <w:t xml:space="preserve">Data collected for each individual yearling was discriminated by lot number, sex, sire, dam, vendor, purchaser, and price. Sale prices from </w:t>
      </w: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were converted from Euros to </w:t>
      </w:r>
      <w:proofErr w:type="spellStart"/>
      <w:r w:rsidRPr="00BD6374">
        <w:rPr>
          <w:rFonts w:ascii="Sylfaen" w:hAnsi="Sylfaen"/>
          <w:color w:val="000000" w:themeColor="text1"/>
        </w:rPr>
        <w:t>gns</w:t>
      </w:r>
      <w:proofErr w:type="spellEnd"/>
      <w:r w:rsidRPr="00BD6374">
        <w:rPr>
          <w:rFonts w:ascii="Sylfaen" w:hAnsi="Sylfaen"/>
          <w:color w:val="000000" w:themeColor="text1"/>
        </w:rPr>
        <w:t xml:space="preserve"> using the standard exchange rates used by </w:t>
      </w:r>
      <w:proofErr w:type="spellStart"/>
      <w:r w:rsidRPr="00BD6374">
        <w:rPr>
          <w:rFonts w:ascii="Sylfaen" w:hAnsi="Sylfaen"/>
          <w:color w:val="000000" w:themeColor="text1"/>
        </w:rPr>
        <w:t>Weatherbys</w:t>
      </w:r>
      <w:proofErr w:type="spellEnd"/>
      <w:r w:rsidRPr="00BD6374">
        <w:rPr>
          <w:rFonts w:ascii="Sylfaen" w:hAnsi="Sylfaen"/>
          <w:color w:val="000000" w:themeColor="text1"/>
        </w:rPr>
        <w:t xml:space="preserve"> in 2004 (€1.42 : 1 </w:t>
      </w:r>
      <w:proofErr w:type="spellStart"/>
      <w:r w:rsidRPr="00BD6374">
        <w:rPr>
          <w:rFonts w:ascii="Sylfaen" w:hAnsi="Sylfaen"/>
          <w:color w:val="000000" w:themeColor="text1"/>
        </w:rPr>
        <w:t>gns</w:t>
      </w:r>
      <w:proofErr w:type="spellEnd"/>
      <w:r w:rsidRPr="00BD6374">
        <w:rPr>
          <w:rFonts w:ascii="Sylfaen" w:hAnsi="Sylfaen"/>
          <w:color w:val="000000" w:themeColor="text1"/>
        </w:rPr>
        <w:t xml:space="preserve">) and 2005 (€1.41 : 1 </w:t>
      </w:r>
      <w:proofErr w:type="spellStart"/>
      <w:r w:rsidRPr="00BD6374">
        <w:rPr>
          <w:rFonts w:ascii="Sylfaen" w:hAnsi="Sylfaen"/>
          <w:color w:val="000000" w:themeColor="text1"/>
        </w:rPr>
        <w:t>gns</w:t>
      </w:r>
      <w:proofErr w:type="spellEnd"/>
      <w:r w:rsidRPr="00BD6374">
        <w:rPr>
          <w:rFonts w:ascii="Sylfaen" w:hAnsi="Sylfaen"/>
          <w:color w:val="000000" w:themeColor="text1"/>
        </w:rPr>
        <w:t>), to allow accurate comparisons to be made between sales (</w:t>
      </w:r>
      <w:proofErr w:type="spellStart"/>
      <w:r w:rsidRPr="00BD6374">
        <w:rPr>
          <w:rFonts w:ascii="Sylfaen" w:hAnsi="Sylfaen"/>
          <w:color w:val="000000" w:themeColor="text1"/>
        </w:rPr>
        <w:t>Weatherbys</w:t>
      </w:r>
      <w:proofErr w:type="spellEnd"/>
      <w:r w:rsidRPr="00BD6374">
        <w:rPr>
          <w:rFonts w:ascii="Sylfaen" w:hAnsi="Sylfaen"/>
          <w:color w:val="000000" w:themeColor="text1"/>
        </w:rPr>
        <w:t xml:space="preserve">, 2004; </w:t>
      </w:r>
      <w:proofErr w:type="spellStart"/>
      <w:r w:rsidRPr="00BD6374">
        <w:rPr>
          <w:rFonts w:ascii="Sylfaen" w:hAnsi="Sylfaen"/>
          <w:color w:val="000000" w:themeColor="text1"/>
        </w:rPr>
        <w:t>Weatherbys</w:t>
      </w:r>
      <w:proofErr w:type="spellEnd"/>
      <w:r w:rsidRPr="00BD6374">
        <w:rPr>
          <w:rFonts w:ascii="Sylfaen" w:hAnsi="Sylfaen"/>
          <w:color w:val="000000" w:themeColor="text1"/>
        </w:rPr>
        <w:t>, 2005).</w:t>
      </w:r>
    </w:p>
    <w:p w14:paraId="1156F6CD" w14:textId="77777777" w:rsidR="003A6141" w:rsidRPr="00BD6374" w:rsidRDefault="003A6141" w:rsidP="00BD6374">
      <w:pPr>
        <w:spacing w:before="120" w:after="120" w:line="360" w:lineRule="auto"/>
        <w:ind w:right="-46"/>
        <w:jc w:val="both"/>
        <w:rPr>
          <w:rFonts w:ascii="Sylfaen" w:hAnsi="Sylfaen"/>
          <w:color w:val="000000" w:themeColor="text1"/>
        </w:rPr>
      </w:pPr>
      <w:r w:rsidRPr="00BD6374">
        <w:rPr>
          <w:rFonts w:ascii="Sylfaen" w:hAnsi="Sylfaen"/>
          <w:color w:val="000000" w:themeColor="text1"/>
        </w:rPr>
        <w:t xml:space="preserve">The Racing Post website was used to examine all yearlings that were sold, to identify if they went on to race in Britain on the Flat turf as a </w:t>
      </w:r>
      <w:proofErr w:type="gramStart"/>
      <w:r w:rsidRPr="00BD6374">
        <w:rPr>
          <w:rFonts w:ascii="Sylfaen" w:hAnsi="Sylfaen"/>
          <w:color w:val="000000" w:themeColor="text1"/>
        </w:rPr>
        <w:t>three year old</w:t>
      </w:r>
      <w:proofErr w:type="gramEnd"/>
      <w:r w:rsidRPr="00BD6374">
        <w:rPr>
          <w:rFonts w:ascii="Sylfaen" w:hAnsi="Sylfaen"/>
          <w:color w:val="000000" w:themeColor="text1"/>
        </w:rPr>
        <w:t xml:space="preserve"> (Racing Post, 2008). Those that had were then searched for within the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annual publications, </w:t>
      </w:r>
      <w:r w:rsidRPr="00BD6374">
        <w:rPr>
          <w:rFonts w:ascii="Sylfaen" w:hAnsi="Sylfaen"/>
          <w:i/>
          <w:color w:val="000000" w:themeColor="text1"/>
        </w:rPr>
        <w:t xml:space="preserve">Racehorses of </w:t>
      </w:r>
      <w:proofErr w:type="gramStart"/>
      <w:r w:rsidRPr="00BD6374">
        <w:rPr>
          <w:rFonts w:ascii="Sylfaen" w:hAnsi="Sylfaen"/>
          <w:i/>
          <w:color w:val="000000" w:themeColor="text1"/>
        </w:rPr>
        <w:t>2006</w:t>
      </w:r>
      <w:proofErr w:type="gramEnd"/>
      <w:r w:rsidRPr="00BD6374">
        <w:rPr>
          <w:rFonts w:ascii="Sylfaen" w:hAnsi="Sylfaen"/>
          <w:color w:val="000000" w:themeColor="text1"/>
        </w:rPr>
        <w:t xml:space="preserve"> and </w:t>
      </w:r>
      <w:r w:rsidRPr="00BD6374">
        <w:rPr>
          <w:rFonts w:ascii="Sylfaen" w:hAnsi="Sylfaen"/>
          <w:i/>
          <w:color w:val="000000" w:themeColor="text1"/>
        </w:rPr>
        <w:t>Racehorses of 2007</w:t>
      </w:r>
      <w:r w:rsidRPr="00BD6374">
        <w:rPr>
          <w:rFonts w:ascii="Sylfaen" w:hAnsi="Sylfaen"/>
          <w:color w:val="000000" w:themeColor="text1"/>
        </w:rPr>
        <w:t xml:space="preserve"> to obtain their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 at the age of three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Racing, 2007, 2008). </w:t>
      </w:r>
    </w:p>
    <w:p w14:paraId="1BC052D2" w14:textId="2145A3D1" w:rsidR="003A6141" w:rsidRPr="00BD6374" w:rsidRDefault="003A6141" w:rsidP="00BD6374">
      <w:pPr>
        <w:spacing w:before="120" w:after="120" w:line="360" w:lineRule="auto"/>
        <w:ind w:right="-46"/>
        <w:jc w:val="both"/>
        <w:rPr>
          <w:rFonts w:ascii="Sylfaen" w:hAnsi="Sylfaen"/>
          <w:color w:val="000000" w:themeColor="text1"/>
        </w:rPr>
      </w:pPr>
      <w:r w:rsidRPr="00BD6374">
        <w:rPr>
          <w:rFonts w:ascii="Sylfaen" w:hAnsi="Sylfaen"/>
          <w:color w:val="000000" w:themeColor="text1"/>
        </w:rPr>
        <w:t xml:space="preserve">Yearlings that were withdrawn, not sold, unnamed, did not race on the Flat turf in Britain as a </w:t>
      </w:r>
      <w:proofErr w:type="gramStart"/>
      <w:r w:rsidRPr="00BD6374">
        <w:rPr>
          <w:rFonts w:ascii="Sylfaen" w:hAnsi="Sylfaen"/>
          <w:color w:val="000000" w:themeColor="text1"/>
        </w:rPr>
        <w:t>three year old</w:t>
      </w:r>
      <w:proofErr w:type="gramEnd"/>
      <w:r w:rsidRPr="00BD6374">
        <w:rPr>
          <w:rFonts w:ascii="Sylfaen" w:hAnsi="Sylfaen"/>
          <w:color w:val="000000" w:themeColor="text1"/>
        </w:rPr>
        <w:t xml:space="preserve"> or did not receive an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 at the age of three were excluded from the statistical analysis. The final sample population included 1,735 yearlings (1,329 from Tattersalls and 406 from </w:t>
      </w: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w:t>
      </w:r>
    </w:p>
    <w:p w14:paraId="3C3610AA" w14:textId="77777777" w:rsidR="003A6141" w:rsidRPr="00BD6374" w:rsidRDefault="003A6141" w:rsidP="00BD6374">
      <w:pPr>
        <w:spacing w:before="120" w:after="120" w:line="360" w:lineRule="auto"/>
        <w:ind w:right="-46"/>
        <w:jc w:val="both"/>
        <w:rPr>
          <w:rFonts w:ascii="Sylfaen" w:hAnsi="Sylfaen"/>
          <w:color w:val="000000" w:themeColor="text1"/>
        </w:rPr>
      </w:pPr>
      <w:r w:rsidRPr="00BD6374">
        <w:rPr>
          <w:rFonts w:ascii="Sylfaen" w:hAnsi="Sylfaen"/>
          <w:color w:val="000000" w:themeColor="text1"/>
        </w:rPr>
        <w:t xml:space="preserve">The statistical package, SPSS version 15.0, was used to produce descriptive statistics of both yearling sale price and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ratings at the age of three (SPSS Inc., 2001). Pearson’s Skewness values were produced to examine the distribution of the data; the sales data was not normally </w:t>
      </w:r>
      <w:proofErr w:type="gramStart"/>
      <w:r w:rsidRPr="00BD6374">
        <w:rPr>
          <w:rFonts w:ascii="Sylfaen" w:hAnsi="Sylfaen"/>
          <w:color w:val="000000" w:themeColor="text1"/>
        </w:rPr>
        <w:t>distributed,</w:t>
      </w:r>
      <w:proofErr w:type="gramEnd"/>
      <w:r w:rsidRPr="00BD6374">
        <w:rPr>
          <w:rFonts w:ascii="Sylfaen" w:hAnsi="Sylfaen"/>
          <w:color w:val="000000" w:themeColor="text1"/>
        </w:rPr>
        <w:t xml:space="preserve"> therefore a LOG transformation was performed (</w:t>
      </w:r>
      <w:proofErr w:type="spellStart"/>
      <w:r w:rsidRPr="00BD6374">
        <w:rPr>
          <w:rFonts w:ascii="Sylfaen" w:hAnsi="Sylfaen"/>
          <w:color w:val="000000" w:themeColor="text1"/>
        </w:rPr>
        <w:t>Zar</w:t>
      </w:r>
      <w:proofErr w:type="spellEnd"/>
      <w:r w:rsidRPr="00BD6374">
        <w:rPr>
          <w:rFonts w:ascii="Sylfaen" w:hAnsi="Sylfaen"/>
          <w:color w:val="000000" w:themeColor="text1"/>
        </w:rPr>
        <w:t xml:space="preserve">, 1999). Pearson’s Product Moment Correlation Coefficient (r) was used to assess the association between LOG yearling sale price and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ratings. A linear regression analysis was performed within SPSS (using the enter method), where LOG yearling sale price was the independent variable and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 the dependent variable.  </w:t>
      </w:r>
    </w:p>
    <w:p w14:paraId="012A2373" w14:textId="07AA4A91" w:rsidR="003A6141" w:rsidRDefault="003A6141" w:rsidP="00BD6374">
      <w:pPr>
        <w:spacing w:before="120" w:after="120" w:line="360" w:lineRule="auto"/>
        <w:ind w:right="-46"/>
        <w:rPr>
          <w:rFonts w:ascii="Sylfaen" w:hAnsi="Sylfaen"/>
          <w:color w:val="000000" w:themeColor="text1"/>
        </w:rPr>
      </w:pPr>
    </w:p>
    <w:p w14:paraId="2AFB54A6" w14:textId="77777777" w:rsidR="00BD6374" w:rsidRPr="00BD6374" w:rsidRDefault="00BD6374" w:rsidP="00BD6374">
      <w:pPr>
        <w:spacing w:before="120" w:after="120" w:line="360" w:lineRule="auto"/>
        <w:ind w:right="-46"/>
        <w:rPr>
          <w:rFonts w:ascii="Sylfaen" w:hAnsi="Sylfaen"/>
          <w:color w:val="000000" w:themeColor="text1"/>
        </w:rPr>
      </w:pPr>
    </w:p>
    <w:p w14:paraId="489EB683" w14:textId="239E04B7" w:rsidR="003A6141" w:rsidRPr="00BD6374" w:rsidRDefault="003A6141" w:rsidP="00BD6374">
      <w:pPr>
        <w:pStyle w:val="Heading1"/>
        <w:spacing w:before="120" w:after="120" w:line="360" w:lineRule="auto"/>
        <w:rPr>
          <w:rFonts w:ascii="Sylfaen" w:hAnsi="Sylfaen"/>
          <w:b/>
          <w:bCs/>
          <w:color w:val="000000" w:themeColor="text1"/>
          <w:sz w:val="22"/>
          <w:szCs w:val="22"/>
        </w:rPr>
      </w:pPr>
      <w:r w:rsidRPr="00BD6374">
        <w:rPr>
          <w:rFonts w:ascii="Sylfaen" w:hAnsi="Sylfaen"/>
          <w:b/>
          <w:bCs/>
          <w:color w:val="000000" w:themeColor="text1"/>
          <w:sz w:val="22"/>
          <w:szCs w:val="22"/>
        </w:rPr>
        <w:lastRenderedPageBreak/>
        <w:t>Results</w:t>
      </w:r>
    </w:p>
    <w:p w14:paraId="4451E0A6" w14:textId="6BAE35B4" w:rsidR="003A6141" w:rsidRPr="00BD6374" w:rsidRDefault="003A6141" w:rsidP="00BD6374">
      <w:pPr>
        <w:pStyle w:val="Heading2"/>
        <w:spacing w:before="120" w:after="120" w:line="360" w:lineRule="auto"/>
        <w:rPr>
          <w:rFonts w:ascii="Sylfaen" w:hAnsi="Sylfaen"/>
          <w:i/>
          <w:iCs/>
          <w:color w:val="000000" w:themeColor="text1"/>
          <w:sz w:val="22"/>
          <w:szCs w:val="22"/>
        </w:rPr>
      </w:pPr>
      <w:r w:rsidRPr="00BD6374">
        <w:rPr>
          <w:rFonts w:ascii="Sylfaen" w:hAnsi="Sylfaen"/>
          <w:i/>
          <w:iCs/>
          <w:color w:val="000000" w:themeColor="text1"/>
          <w:sz w:val="22"/>
          <w:szCs w:val="22"/>
        </w:rPr>
        <w:t>Study Sample size</w:t>
      </w:r>
    </w:p>
    <w:p w14:paraId="57D9ACEF" w14:textId="06EB3216" w:rsidR="003A6141" w:rsidRPr="00BD6374" w:rsidRDefault="003A6141" w:rsidP="00BD6374">
      <w:pPr>
        <w:spacing w:before="120" w:after="120" w:line="360" w:lineRule="auto"/>
        <w:ind w:right="-46"/>
        <w:jc w:val="both"/>
        <w:rPr>
          <w:rFonts w:ascii="Sylfaen" w:hAnsi="Sylfaen"/>
          <w:color w:val="000000" w:themeColor="text1"/>
        </w:rPr>
      </w:pPr>
      <w:r w:rsidRPr="00BD6374">
        <w:rPr>
          <w:rFonts w:ascii="Sylfaen" w:hAnsi="Sylfaen"/>
          <w:color w:val="000000" w:themeColor="text1"/>
        </w:rPr>
        <w:t xml:space="preserve">The total population size for this study consisted of 5,749 yearlings that were sold at Tattersalls October Yearling Sales and </w:t>
      </w: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Yearling Sales during 2004 and 2005.  However, 69.8% of these yearlings were not used within the statistical analysis as they did not meet the study criteria, resulting in a final sample size of 1,735 yearlings (Table 1). </w:t>
      </w:r>
    </w:p>
    <w:p w14:paraId="1084C81B" w14:textId="53AD77C5" w:rsidR="00BD6374" w:rsidRPr="00BD6374" w:rsidRDefault="00BD6374" w:rsidP="00BD6374">
      <w:pPr>
        <w:pStyle w:val="Caption"/>
        <w:keepNext/>
        <w:rPr>
          <w:color w:val="000000" w:themeColor="text1"/>
        </w:rPr>
      </w:pPr>
      <w:r w:rsidRPr="00BD6374">
        <w:rPr>
          <w:color w:val="000000" w:themeColor="text1"/>
        </w:rPr>
        <w:t xml:space="preserve">Table </w:t>
      </w:r>
      <w:r w:rsidRPr="00BD6374">
        <w:rPr>
          <w:color w:val="000000" w:themeColor="text1"/>
        </w:rPr>
        <w:fldChar w:fldCharType="begin"/>
      </w:r>
      <w:r w:rsidRPr="00BD6374">
        <w:rPr>
          <w:color w:val="000000" w:themeColor="text1"/>
        </w:rPr>
        <w:instrText xml:space="preserve"> SEQ Table \* ARABIC </w:instrText>
      </w:r>
      <w:r w:rsidRPr="00BD6374">
        <w:rPr>
          <w:color w:val="000000" w:themeColor="text1"/>
        </w:rPr>
        <w:fldChar w:fldCharType="separate"/>
      </w:r>
      <w:r>
        <w:rPr>
          <w:noProof/>
          <w:color w:val="000000" w:themeColor="text1"/>
        </w:rPr>
        <w:t>1</w:t>
      </w:r>
      <w:r w:rsidRPr="00BD6374">
        <w:rPr>
          <w:color w:val="000000" w:themeColor="text1"/>
        </w:rPr>
        <w:fldChar w:fldCharType="end"/>
      </w:r>
      <w:r w:rsidRPr="00BD6374">
        <w:rPr>
          <w:color w:val="000000" w:themeColor="text1"/>
        </w:rPr>
        <w:t>:Study population size</w:t>
      </w:r>
    </w:p>
    <w:tbl>
      <w:tblPr>
        <w:tblStyle w:val="TableGrid"/>
        <w:tblW w:w="5305" w:type="pct"/>
        <w:jc w:val="center"/>
        <w:tblLook w:val="01E0" w:firstRow="1" w:lastRow="1" w:firstColumn="1" w:lastColumn="1" w:noHBand="0" w:noVBand="0"/>
      </w:tblPr>
      <w:tblGrid>
        <w:gridCol w:w="3199"/>
        <w:gridCol w:w="786"/>
        <w:gridCol w:w="792"/>
        <w:gridCol w:w="802"/>
        <w:gridCol w:w="805"/>
        <w:gridCol w:w="1372"/>
        <w:gridCol w:w="1810"/>
      </w:tblGrid>
      <w:tr w:rsidR="003A6141" w:rsidRPr="00502714" w14:paraId="5D7F21A6" w14:textId="77777777" w:rsidTr="00BD6374">
        <w:trPr>
          <w:trHeight w:val="480"/>
          <w:jc w:val="center"/>
        </w:trPr>
        <w:tc>
          <w:tcPr>
            <w:tcW w:w="1672" w:type="pct"/>
            <w:tcBorders>
              <w:top w:val="single" w:sz="4" w:space="0" w:color="auto"/>
            </w:tcBorders>
          </w:tcPr>
          <w:p w14:paraId="54CC30B4" w14:textId="77777777" w:rsidR="003A6141" w:rsidRPr="00DB74D4" w:rsidRDefault="003A6141" w:rsidP="003A6141">
            <w:pPr>
              <w:ind w:right="-46"/>
              <w:rPr>
                <w:rFonts w:ascii="Adobe Garamond Pro" w:hAnsi="Adobe Garamond Pro"/>
                <w:b/>
                <w:sz w:val="16"/>
                <w:szCs w:val="16"/>
              </w:rPr>
            </w:pPr>
          </w:p>
        </w:tc>
        <w:tc>
          <w:tcPr>
            <w:tcW w:w="825" w:type="pct"/>
            <w:gridSpan w:val="2"/>
            <w:tcBorders>
              <w:top w:val="single" w:sz="4" w:space="0" w:color="auto"/>
            </w:tcBorders>
            <w:shd w:val="clear" w:color="auto" w:fill="auto"/>
          </w:tcPr>
          <w:p w14:paraId="3875481A" w14:textId="77777777" w:rsidR="003A6141"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 xml:space="preserve">Tattersalls Yearling </w:t>
            </w:r>
          </w:p>
          <w:p w14:paraId="065BD7B4" w14:textId="77777777" w:rsidR="003A6141" w:rsidRPr="00DB74D4"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Sales</w:t>
            </w:r>
          </w:p>
        </w:tc>
        <w:tc>
          <w:tcPr>
            <w:tcW w:w="840" w:type="pct"/>
            <w:gridSpan w:val="2"/>
            <w:tcBorders>
              <w:top w:val="single" w:sz="4" w:space="0" w:color="auto"/>
              <w:right w:val="nil"/>
            </w:tcBorders>
          </w:tcPr>
          <w:p w14:paraId="0C6EC818" w14:textId="77777777" w:rsidR="003A6141" w:rsidRDefault="003A6141" w:rsidP="003A6141">
            <w:pPr>
              <w:ind w:right="-46"/>
              <w:jc w:val="center"/>
              <w:rPr>
                <w:rFonts w:ascii="Adobe Garamond Pro" w:hAnsi="Adobe Garamond Pro"/>
                <w:b/>
                <w:sz w:val="16"/>
                <w:szCs w:val="16"/>
              </w:rPr>
            </w:pPr>
            <w:proofErr w:type="spellStart"/>
            <w:r w:rsidRPr="00DB74D4">
              <w:rPr>
                <w:rFonts w:ascii="Adobe Garamond Pro" w:hAnsi="Adobe Garamond Pro"/>
                <w:b/>
                <w:sz w:val="16"/>
                <w:szCs w:val="16"/>
              </w:rPr>
              <w:t>Goffs</w:t>
            </w:r>
            <w:proofErr w:type="spellEnd"/>
            <w:r w:rsidRPr="00DB74D4">
              <w:rPr>
                <w:rFonts w:ascii="Adobe Garamond Pro" w:hAnsi="Adobe Garamond Pro"/>
                <w:b/>
                <w:sz w:val="16"/>
                <w:szCs w:val="16"/>
              </w:rPr>
              <w:t xml:space="preserve"> </w:t>
            </w:r>
          </w:p>
          <w:p w14:paraId="10FF00EF" w14:textId="77777777" w:rsidR="003A6141"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Yearling</w:t>
            </w:r>
          </w:p>
          <w:p w14:paraId="21D39DDA" w14:textId="77777777" w:rsidR="003A6141" w:rsidRPr="00DB74D4"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 xml:space="preserve"> Sales</w:t>
            </w:r>
          </w:p>
        </w:tc>
        <w:tc>
          <w:tcPr>
            <w:tcW w:w="717" w:type="pct"/>
            <w:vMerge w:val="restart"/>
            <w:tcBorders>
              <w:top w:val="single" w:sz="4" w:space="0" w:color="auto"/>
            </w:tcBorders>
            <w:shd w:val="clear" w:color="auto" w:fill="auto"/>
          </w:tcPr>
          <w:p w14:paraId="4E5B838B" w14:textId="77777777" w:rsidR="003A6141"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Total</w:t>
            </w:r>
          </w:p>
          <w:p w14:paraId="27D2530C" w14:textId="77777777" w:rsidR="003A6141" w:rsidRPr="00DB74D4"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number</w:t>
            </w:r>
          </w:p>
        </w:tc>
        <w:tc>
          <w:tcPr>
            <w:tcW w:w="946" w:type="pct"/>
            <w:vMerge w:val="restart"/>
            <w:tcBorders>
              <w:top w:val="single" w:sz="4" w:space="0" w:color="auto"/>
            </w:tcBorders>
            <w:shd w:val="clear" w:color="auto" w:fill="auto"/>
          </w:tcPr>
          <w:p w14:paraId="4AC8CE3F" w14:textId="77777777" w:rsidR="003A6141"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Sample Size</w:t>
            </w:r>
          </w:p>
          <w:p w14:paraId="149D2D64" w14:textId="77777777" w:rsidR="003A6141"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 xml:space="preserve"> (</w:t>
            </w:r>
            <w:proofErr w:type="gramStart"/>
            <w:r w:rsidRPr="00DB74D4">
              <w:rPr>
                <w:rFonts w:ascii="Adobe Garamond Pro" w:hAnsi="Adobe Garamond Pro"/>
                <w:b/>
                <w:sz w:val="16"/>
                <w:szCs w:val="16"/>
              </w:rPr>
              <w:t>as</w:t>
            </w:r>
            <w:proofErr w:type="gramEnd"/>
            <w:r w:rsidRPr="00DB74D4">
              <w:rPr>
                <w:rFonts w:ascii="Adobe Garamond Pro" w:hAnsi="Adobe Garamond Pro"/>
                <w:b/>
                <w:sz w:val="16"/>
                <w:szCs w:val="16"/>
              </w:rPr>
              <w:t xml:space="preserve"> a </w:t>
            </w:r>
          </w:p>
          <w:p w14:paraId="6CE31B62" w14:textId="77777777" w:rsidR="003A6141"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 xml:space="preserve">percentage of </w:t>
            </w:r>
          </w:p>
          <w:p w14:paraId="5F9E786F" w14:textId="77777777" w:rsidR="003A6141" w:rsidRPr="00DB74D4"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the initial population)</w:t>
            </w:r>
          </w:p>
        </w:tc>
      </w:tr>
      <w:tr w:rsidR="003A6141" w:rsidRPr="00502714" w14:paraId="246A9065" w14:textId="77777777" w:rsidTr="00BD6374">
        <w:trPr>
          <w:trHeight w:val="462"/>
          <w:jc w:val="center"/>
        </w:trPr>
        <w:tc>
          <w:tcPr>
            <w:tcW w:w="1672" w:type="pct"/>
            <w:tcBorders>
              <w:bottom w:val="single" w:sz="4" w:space="0" w:color="auto"/>
            </w:tcBorders>
          </w:tcPr>
          <w:p w14:paraId="713AC9A6" w14:textId="77777777" w:rsidR="003A6141" w:rsidRPr="00DB74D4" w:rsidRDefault="003A6141" w:rsidP="003A6141">
            <w:pPr>
              <w:ind w:right="-46"/>
              <w:rPr>
                <w:rFonts w:ascii="Adobe Garamond Pro" w:hAnsi="Adobe Garamond Pro"/>
                <w:b/>
                <w:sz w:val="16"/>
                <w:szCs w:val="16"/>
              </w:rPr>
            </w:pPr>
          </w:p>
        </w:tc>
        <w:tc>
          <w:tcPr>
            <w:tcW w:w="411" w:type="pct"/>
            <w:tcBorders>
              <w:bottom w:val="single" w:sz="4" w:space="0" w:color="auto"/>
            </w:tcBorders>
            <w:shd w:val="clear" w:color="auto" w:fill="auto"/>
          </w:tcPr>
          <w:p w14:paraId="7756D82B" w14:textId="77777777" w:rsidR="003A6141" w:rsidRPr="00DB74D4" w:rsidRDefault="003A6141" w:rsidP="003A6141">
            <w:pPr>
              <w:ind w:right="-46"/>
              <w:jc w:val="center"/>
              <w:rPr>
                <w:rFonts w:ascii="Adobe Garamond Pro" w:hAnsi="Adobe Garamond Pro"/>
                <w:b/>
                <w:sz w:val="16"/>
                <w:szCs w:val="16"/>
              </w:rPr>
            </w:pPr>
          </w:p>
          <w:p w14:paraId="59AFD4FE" w14:textId="77777777" w:rsidR="003A6141" w:rsidRPr="00DB74D4"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2004</w:t>
            </w:r>
          </w:p>
        </w:tc>
        <w:tc>
          <w:tcPr>
            <w:tcW w:w="414" w:type="pct"/>
            <w:tcBorders>
              <w:bottom w:val="single" w:sz="4" w:space="0" w:color="auto"/>
            </w:tcBorders>
            <w:shd w:val="clear" w:color="auto" w:fill="auto"/>
          </w:tcPr>
          <w:p w14:paraId="498AF95A" w14:textId="77777777" w:rsidR="003A6141" w:rsidRPr="00DB74D4" w:rsidRDefault="003A6141" w:rsidP="003A6141">
            <w:pPr>
              <w:ind w:right="-46"/>
              <w:jc w:val="center"/>
              <w:rPr>
                <w:rFonts w:ascii="Adobe Garamond Pro" w:hAnsi="Adobe Garamond Pro"/>
                <w:b/>
                <w:sz w:val="16"/>
                <w:szCs w:val="16"/>
              </w:rPr>
            </w:pPr>
          </w:p>
          <w:p w14:paraId="738CCCCE" w14:textId="77777777" w:rsidR="003A6141" w:rsidRPr="00DB74D4"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2004</w:t>
            </w:r>
          </w:p>
        </w:tc>
        <w:tc>
          <w:tcPr>
            <w:tcW w:w="419" w:type="pct"/>
            <w:tcBorders>
              <w:bottom w:val="single" w:sz="4" w:space="0" w:color="auto"/>
              <w:right w:val="nil"/>
            </w:tcBorders>
          </w:tcPr>
          <w:p w14:paraId="7B99F63D" w14:textId="77777777" w:rsidR="003A6141" w:rsidRPr="00DB74D4" w:rsidRDefault="003A6141" w:rsidP="003A6141">
            <w:pPr>
              <w:ind w:right="-46"/>
              <w:jc w:val="center"/>
              <w:rPr>
                <w:rFonts w:ascii="Adobe Garamond Pro" w:hAnsi="Adobe Garamond Pro"/>
                <w:b/>
                <w:sz w:val="16"/>
                <w:szCs w:val="16"/>
              </w:rPr>
            </w:pPr>
          </w:p>
          <w:p w14:paraId="5C8888A8" w14:textId="77777777" w:rsidR="003A6141" w:rsidRPr="00DB74D4"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2004</w:t>
            </w:r>
          </w:p>
        </w:tc>
        <w:tc>
          <w:tcPr>
            <w:tcW w:w="421" w:type="pct"/>
            <w:tcBorders>
              <w:bottom w:val="single" w:sz="4" w:space="0" w:color="auto"/>
              <w:right w:val="nil"/>
            </w:tcBorders>
          </w:tcPr>
          <w:p w14:paraId="7CEF70AA" w14:textId="77777777" w:rsidR="003A6141" w:rsidRPr="00DB74D4" w:rsidRDefault="003A6141" w:rsidP="003A6141">
            <w:pPr>
              <w:ind w:right="-46"/>
              <w:jc w:val="center"/>
              <w:rPr>
                <w:rFonts w:ascii="Adobe Garamond Pro" w:hAnsi="Adobe Garamond Pro"/>
                <w:b/>
                <w:sz w:val="16"/>
                <w:szCs w:val="16"/>
              </w:rPr>
            </w:pPr>
          </w:p>
          <w:p w14:paraId="08C22F95" w14:textId="77777777" w:rsidR="003A6141" w:rsidRPr="00DB74D4"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2005</w:t>
            </w:r>
          </w:p>
        </w:tc>
        <w:tc>
          <w:tcPr>
            <w:tcW w:w="717" w:type="pct"/>
            <w:vMerge/>
            <w:tcBorders>
              <w:bottom w:val="single" w:sz="4" w:space="0" w:color="auto"/>
            </w:tcBorders>
            <w:shd w:val="clear" w:color="auto" w:fill="auto"/>
          </w:tcPr>
          <w:p w14:paraId="1CA82A7E" w14:textId="77777777" w:rsidR="003A6141" w:rsidRPr="00DB74D4" w:rsidRDefault="003A6141" w:rsidP="003A6141">
            <w:pPr>
              <w:ind w:right="-46"/>
              <w:jc w:val="center"/>
              <w:rPr>
                <w:rFonts w:ascii="Adobe Garamond Pro" w:hAnsi="Adobe Garamond Pro"/>
                <w:b/>
                <w:sz w:val="16"/>
                <w:szCs w:val="16"/>
              </w:rPr>
            </w:pPr>
          </w:p>
        </w:tc>
        <w:tc>
          <w:tcPr>
            <w:tcW w:w="946" w:type="pct"/>
            <w:vMerge/>
            <w:tcBorders>
              <w:bottom w:val="single" w:sz="4" w:space="0" w:color="auto"/>
            </w:tcBorders>
            <w:shd w:val="clear" w:color="auto" w:fill="auto"/>
          </w:tcPr>
          <w:p w14:paraId="7A72E28F" w14:textId="77777777" w:rsidR="003A6141" w:rsidRPr="00DB74D4" w:rsidRDefault="003A6141" w:rsidP="003A6141">
            <w:pPr>
              <w:ind w:right="-46"/>
              <w:jc w:val="center"/>
              <w:rPr>
                <w:rFonts w:ascii="Adobe Garamond Pro" w:hAnsi="Adobe Garamond Pro"/>
                <w:b/>
                <w:sz w:val="16"/>
                <w:szCs w:val="16"/>
              </w:rPr>
            </w:pPr>
          </w:p>
        </w:tc>
      </w:tr>
      <w:tr w:rsidR="003A6141" w:rsidRPr="00502714" w14:paraId="5DB5B9CF" w14:textId="77777777" w:rsidTr="00BD6374">
        <w:trPr>
          <w:trHeight w:val="645"/>
          <w:jc w:val="center"/>
        </w:trPr>
        <w:tc>
          <w:tcPr>
            <w:tcW w:w="1672" w:type="pct"/>
            <w:tcBorders>
              <w:top w:val="single" w:sz="4" w:space="0" w:color="auto"/>
            </w:tcBorders>
            <w:vAlign w:val="center"/>
          </w:tcPr>
          <w:p w14:paraId="273243B1"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Number of yearlings</w:t>
            </w:r>
          </w:p>
          <w:p w14:paraId="4E5B9E57"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 entered at auction</w:t>
            </w:r>
          </w:p>
        </w:tc>
        <w:tc>
          <w:tcPr>
            <w:tcW w:w="411" w:type="pct"/>
            <w:tcBorders>
              <w:top w:val="single" w:sz="4" w:space="0" w:color="auto"/>
            </w:tcBorders>
            <w:vAlign w:val="center"/>
          </w:tcPr>
          <w:p w14:paraId="2BD63C8F"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2093</w:t>
            </w:r>
          </w:p>
        </w:tc>
        <w:tc>
          <w:tcPr>
            <w:tcW w:w="414" w:type="pct"/>
            <w:tcBorders>
              <w:top w:val="single" w:sz="4" w:space="0" w:color="auto"/>
            </w:tcBorders>
            <w:vAlign w:val="center"/>
          </w:tcPr>
          <w:p w14:paraId="54DE0254"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1764</w:t>
            </w:r>
          </w:p>
        </w:tc>
        <w:tc>
          <w:tcPr>
            <w:tcW w:w="419" w:type="pct"/>
            <w:tcBorders>
              <w:top w:val="single" w:sz="4" w:space="0" w:color="auto"/>
              <w:right w:val="nil"/>
            </w:tcBorders>
            <w:vAlign w:val="center"/>
          </w:tcPr>
          <w:p w14:paraId="640C3C30"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1018</w:t>
            </w:r>
          </w:p>
        </w:tc>
        <w:tc>
          <w:tcPr>
            <w:tcW w:w="421" w:type="pct"/>
            <w:tcBorders>
              <w:top w:val="single" w:sz="4" w:space="0" w:color="auto"/>
            </w:tcBorders>
            <w:vAlign w:val="center"/>
          </w:tcPr>
          <w:p w14:paraId="446DD7F3"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874</w:t>
            </w:r>
          </w:p>
        </w:tc>
        <w:tc>
          <w:tcPr>
            <w:tcW w:w="717" w:type="pct"/>
            <w:tcBorders>
              <w:top w:val="single" w:sz="4" w:space="0" w:color="auto"/>
              <w:left w:val="nil"/>
            </w:tcBorders>
            <w:vAlign w:val="center"/>
          </w:tcPr>
          <w:p w14:paraId="45026F4D"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5,749</w:t>
            </w:r>
          </w:p>
        </w:tc>
        <w:tc>
          <w:tcPr>
            <w:tcW w:w="946" w:type="pct"/>
            <w:tcBorders>
              <w:top w:val="single" w:sz="4" w:space="0" w:color="auto"/>
            </w:tcBorders>
            <w:vAlign w:val="center"/>
          </w:tcPr>
          <w:p w14:paraId="0974B7A4"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100</w:t>
            </w:r>
          </w:p>
        </w:tc>
      </w:tr>
      <w:tr w:rsidR="003A6141" w:rsidRPr="00502714" w14:paraId="302F85A7" w14:textId="77777777" w:rsidTr="00BD6374">
        <w:trPr>
          <w:trHeight w:val="535"/>
          <w:jc w:val="center"/>
        </w:trPr>
        <w:tc>
          <w:tcPr>
            <w:tcW w:w="1672" w:type="pct"/>
            <w:vAlign w:val="center"/>
          </w:tcPr>
          <w:p w14:paraId="1FA632FC"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Number of yearlings </w:t>
            </w:r>
          </w:p>
          <w:p w14:paraId="45FEBFE5"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withdrawn</w:t>
            </w:r>
          </w:p>
        </w:tc>
        <w:tc>
          <w:tcPr>
            <w:tcW w:w="411" w:type="pct"/>
            <w:vAlign w:val="center"/>
          </w:tcPr>
          <w:p w14:paraId="59147F91"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206</w:t>
            </w:r>
          </w:p>
        </w:tc>
        <w:tc>
          <w:tcPr>
            <w:tcW w:w="414" w:type="pct"/>
            <w:vAlign w:val="center"/>
          </w:tcPr>
          <w:p w14:paraId="026ED38B"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220</w:t>
            </w:r>
          </w:p>
        </w:tc>
        <w:tc>
          <w:tcPr>
            <w:tcW w:w="419" w:type="pct"/>
            <w:tcBorders>
              <w:right w:val="nil"/>
            </w:tcBorders>
            <w:vAlign w:val="center"/>
          </w:tcPr>
          <w:p w14:paraId="70B62441"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97</w:t>
            </w:r>
          </w:p>
        </w:tc>
        <w:tc>
          <w:tcPr>
            <w:tcW w:w="421" w:type="pct"/>
            <w:vAlign w:val="center"/>
          </w:tcPr>
          <w:p w14:paraId="1699CAA1"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67</w:t>
            </w:r>
          </w:p>
        </w:tc>
        <w:tc>
          <w:tcPr>
            <w:tcW w:w="717" w:type="pct"/>
            <w:tcBorders>
              <w:left w:val="nil"/>
            </w:tcBorders>
            <w:vAlign w:val="center"/>
          </w:tcPr>
          <w:p w14:paraId="24FF3405"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590</w:t>
            </w:r>
          </w:p>
        </w:tc>
        <w:tc>
          <w:tcPr>
            <w:tcW w:w="946" w:type="pct"/>
            <w:vAlign w:val="center"/>
          </w:tcPr>
          <w:p w14:paraId="6D7B59C3"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10.3</w:t>
            </w:r>
          </w:p>
        </w:tc>
      </w:tr>
      <w:tr w:rsidR="003A6141" w:rsidRPr="00502714" w14:paraId="217D312D" w14:textId="77777777" w:rsidTr="00BD6374">
        <w:trPr>
          <w:trHeight w:val="589"/>
          <w:jc w:val="center"/>
        </w:trPr>
        <w:tc>
          <w:tcPr>
            <w:tcW w:w="1672" w:type="pct"/>
            <w:vAlign w:val="center"/>
          </w:tcPr>
          <w:p w14:paraId="2A271C3B"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Number of yearlings</w:t>
            </w:r>
          </w:p>
          <w:p w14:paraId="3972BEA1"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 recorded as not sold</w:t>
            </w:r>
          </w:p>
        </w:tc>
        <w:tc>
          <w:tcPr>
            <w:tcW w:w="411" w:type="pct"/>
            <w:vAlign w:val="center"/>
          </w:tcPr>
          <w:p w14:paraId="0207ED00"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152</w:t>
            </w:r>
          </w:p>
        </w:tc>
        <w:tc>
          <w:tcPr>
            <w:tcW w:w="414" w:type="pct"/>
            <w:vAlign w:val="center"/>
          </w:tcPr>
          <w:p w14:paraId="051BC98F"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78</w:t>
            </w:r>
          </w:p>
        </w:tc>
        <w:tc>
          <w:tcPr>
            <w:tcW w:w="419" w:type="pct"/>
            <w:tcBorders>
              <w:right w:val="nil"/>
            </w:tcBorders>
            <w:vAlign w:val="center"/>
          </w:tcPr>
          <w:p w14:paraId="16101B0B"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115</w:t>
            </w:r>
          </w:p>
        </w:tc>
        <w:tc>
          <w:tcPr>
            <w:tcW w:w="421" w:type="pct"/>
            <w:vAlign w:val="center"/>
          </w:tcPr>
          <w:p w14:paraId="02EA1FED"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33</w:t>
            </w:r>
          </w:p>
        </w:tc>
        <w:tc>
          <w:tcPr>
            <w:tcW w:w="717" w:type="pct"/>
            <w:tcBorders>
              <w:left w:val="nil"/>
            </w:tcBorders>
            <w:vAlign w:val="center"/>
          </w:tcPr>
          <w:p w14:paraId="6AD76E65"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378</w:t>
            </w:r>
          </w:p>
        </w:tc>
        <w:tc>
          <w:tcPr>
            <w:tcW w:w="946" w:type="pct"/>
            <w:vAlign w:val="center"/>
          </w:tcPr>
          <w:p w14:paraId="65B31017"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6.6</w:t>
            </w:r>
          </w:p>
        </w:tc>
      </w:tr>
      <w:tr w:rsidR="003A6141" w:rsidRPr="00502714" w14:paraId="0DA14594" w14:textId="77777777" w:rsidTr="00BD6374">
        <w:trPr>
          <w:trHeight w:val="748"/>
          <w:jc w:val="center"/>
        </w:trPr>
        <w:tc>
          <w:tcPr>
            <w:tcW w:w="1672" w:type="pct"/>
            <w:vAlign w:val="center"/>
          </w:tcPr>
          <w:p w14:paraId="5AD457A0"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Number of yearlings </w:t>
            </w:r>
          </w:p>
          <w:p w14:paraId="1F326B85"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returned as unnamed</w:t>
            </w:r>
          </w:p>
        </w:tc>
        <w:tc>
          <w:tcPr>
            <w:tcW w:w="411" w:type="pct"/>
            <w:vAlign w:val="center"/>
          </w:tcPr>
          <w:p w14:paraId="6C539159"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319</w:t>
            </w:r>
          </w:p>
        </w:tc>
        <w:tc>
          <w:tcPr>
            <w:tcW w:w="414" w:type="pct"/>
            <w:vAlign w:val="center"/>
          </w:tcPr>
          <w:p w14:paraId="5CFC00D6"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267</w:t>
            </w:r>
          </w:p>
        </w:tc>
        <w:tc>
          <w:tcPr>
            <w:tcW w:w="419" w:type="pct"/>
            <w:tcBorders>
              <w:right w:val="nil"/>
            </w:tcBorders>
            <w:vAlign w:val="center"/>
          </w:tcPr>
          <w:p w14:paraId="4AB8F52C"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231</w:t>
            </w:r>
          </w:p>
        </w:tc>
        <w:tc>
          <w:tcPr>
            <w:tcW w:w="421" w:type="pct"/>
            <w:vAlign w:val="center"/>
          </w:tcPr>
          <w:p w14:paraId="34A27440"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171</w:t>
            </w:r>
          </w:p>
        </w:tc>
        <w:tc>
          <w:tcPr>
            <w:tcW w:w="717" w:type="pct"/>
            <w:tcBorders>
              <w:left w:val="nil"/>
            </w:tcBorders>
            <w:vAlign w:val="center"/>
          </w:tcPr>
          <w:p w14:paraId="575277DE"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988</w:t>
            </w:r>
          </w:p>
        </w:tc>
        <w:tc>
          <w:tcPr>
            <w:tcW w:w="946" w:type="pct"/>
            <w:vAlign w:val="center"/>
          </w:tcPr>
          <w:p w14:paraId="11CD5778"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17.2</w:t>
            </w:r>
          </w:p>
        </w:tc>
      </w:tr>
      <w:tr w:rsidR="003A6141" w:rsidRPr="00502714" w14:paraId="5C9B94DD" w14:textId="77777777" w:rsidTr="00BD6374">
        <w:trPr>
          <w:trHeight w:val="748"/>
          <w:jc w:val="center"/>
        </w:trPr>
        <w:tc>
          <w:tcPr>
            <w:tcW w:w="1672" w:type="pct"/>
            <w:vAlign w:val="center"/>
          </w:tcPr>
          <w:p w14:paraId="7EF6EDF8"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Number of horses that </w:t>
            </w:r>
          </w:p>
          <w:p w14:paraId="62142D91"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did not run on the Flat</w:t>
            </w:r>
          </w:p>
          <w:p w14:paraId="3B24F1DC"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 turf in Britain at the age </w:t>
            </w:r>
          </w:p>
          <w:p w14:paraId="135F6B21"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of three</w:t>
            </w:r>
          </w:p>
        </w:tc>
        <w:tc>
          <w:tcPr>
            <w:tcW w:w="411" w:type="pct"/>
            <w:vAlign w:val="center"/>
          </w:tcPr>
          <w:p w14:paraId="4E9D7B2C"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768</w:t>
            </w:r>
          </w:p>
        </w:tc>
        <w:tc>
          <w:tcPr>
            <w:tcW w:w="414" w:type="pct"/>
            <w:vAlign w:val="center"/>
          </w:tcPr>
          <w:p w14:paraId="0A8B2AF1"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608</w:t>
            </w:r>
          </w:p>
        </w:tc>
        <w:tc>
          <w:tcPr>
            <w:tcW w:w="419" w:type="pct"/>
            <w:tcBorders>
              <w:right w:val="nil"/>
            </w:tcBorders>
            <w:vAlign w:val="center"/>
          </w:tcPr>
          <w:p w14:paraId="17FB1EDE"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153</w:t>
            </w:r>
          </w:p>
        </w:tc>
        <w:tc>
          <w:tcPr>
            <w:tcW w:w="421" w:type="pct"/>
            <w:vAlign w:val="center"/>
          </w:tcPr>
          <w:p w14:paraId="17DBF0C9"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433</w:t>
            </w:r>
          </w:p>
        </w:tc>
        <w:tc>
          <w:tcPr>
            <w:tcW w:w="717" w:type="pct"/>
            <w:tcBorders>
              <w:left w:val="nil"/>
            </w:tcBorders>
            <w:vAlign w:val="center"/>
          </w:tcPr>
          <w:p w14:paraId="6BB10318"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1962</w:t>
            </w:r>
          </w:p>
        </w:tc>
        <w:tc>
          <w:tcPr>
            <w:tcW w:w="946" w:type="pct"/>
            <w:vAlign w:val="center"/>
          </w:tcPr>
          <w:p w14:paraId="00D092C7"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34.1</w:t>
            </w:r>
          </w:p>
        </w:tc>
      </w:tr>
      <w:tr w:rsidR="003A6141" w:rsidRPr="00502714" w14:paraId="046B094E" w14:textId="77777777" w:rsidTr="00BD6374">
        <w:trPr>
          <w:trHeight w:val="602"/>
          <w:jc w:val="center"/>
        </w:trPr>
        <w:tc>
          <w:tcPr>
            <w:tcW w:w="1672" w:type="pct"/>
            <w:vAlign w:val="center"/>
          </w:tcPr>
          <w:p w14:paraId="57AAC172"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Number of horses that </w:t>
            </w:r>
          </w:p>
          <w:p w14:paraId="4CCC0B94"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died as </w:t>
            </w:r>
            <w:proofErr w:type="gramStart"/>
            <w:r w:rsidRPr="00DB74D4">
              <w:rPr>
                <w:rFonts w:ascii="Adobe Garamond Pro" w:hAnsi="Adobe Garamond Pro"/>
                <w:sz w:val="16"/>
                <w:szCs w:val="16"/>
              </w:rPr>
              <w:t xml:space="preserve">two year </w:t>
            </w:r>
            <w:proofErr w:type="spellStart"/>
            <w:r w:rsidRPr="00DB74D4">
              <w:rPr>
                <w:rFonts w:ascii="Adobe Garamond Pro" w:hAnsi="Adobe Garamond Pro"/>
                <w:sz w:val="16"/>
                <w:szCs w:val="16"/>
              </w:rPr>
              <w:t>olds</w:t>
            </w:r>
            <w:proofErr w:type="spellEnd"/>
            <w:proofErr w:type="gramEnd"/>
          </w:p>
        </w:tc>
        <w:tc>
          <w:tcPr>
            <w:tcW w:w="411" w:type="pct"/>
            <w:vAlign w:val="center"/>
          </w:tcPr>
          <w:p w14:paraId="4AE50C73"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5</w:t>
            </w:r>
          </w:p>
        </w:tc>
        <w:tc>
          <w:tcPr>
            <w:tcW w:w="414" w:type="pct"/>
            <w:vAlign w:val="center"/>
          </w:tcPr>
          <w:p w14:paraId="501B6FE4"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6</w:t>
            </w:r>
          </w:p>
        </w:tc>
        <w:tc>
          <w:tcPr>
            <w:tcW w:w="419" w:type="pct"/>
            <w:tcBorders>
              <w:right w:val="nil"/>
            </w:tcBorders>
            <w:vAlign w:val="center"/>
          </w:tcPr>
          <w:p w14:paraId="47A06F0B"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w:t>
            </w:r>
          </w:p>
        </w:tc>
        <w:tc>
          <w:tcPr>
            <w:tcW w:w="421" w:type="pct"/>
            <w:vAlign w:val="center"/>
          </w:tcPr>
          <w:p w14:paraId="70D0E471"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0</w:t>
            </w:r>
          </w:p>
        </w:tc>
        <w:tc>
          <w:tcPr>
            <w:tcW w:w="717" w:type="pct"/>
            <w:tcBorders>
              <w:left w:val="nil"/>
            </w:tcBorders>
            <w:vAlign w:val="center"/>
          </w:tcPr>
          <w:p w14:paraId="18D8AF06"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12</w:t>
            </w:r>
          </w:p>
        </w:tc>
        <w:tc>
          <w:tcPr>
            <w:tcW w:w="946" w:type="pct"/>
            <w:vAlign w:val="center"/>
          </w:tcPr>
          <w:p w14:paraId="4BBF4947"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0.2</w:t>
            </w:r>
          </w:p>
        </w:tc>
      </w:tr>
      <w:tr w:rsidR="003A6141" w:rsidRPr="00502714" w14:paraId="031B344C" w14:textId="77777777" w:rsidTr="00BD6374">
        <w:trPr>
          <w:trHeight w:val="657"/>
          <w:jc w:val="center"/>
        </w:trPr>
        <w:tc>
          <w:tcPr>
            <w:tcW w:w="1672" w:type="pct"/>
            <w:vAlign w:val="center"/>
          </w:tcPr>
          <w:p w14:paraId="1950A704"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Number of horses that </w:t>
            </w:r>
          </w:p>
          <w:p w14:paraId="46240857"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died as </w:t>
            </w:r>
            <w:proofErr w:type="gramStart"/>
            <w:r w:rsidRPr="00DB74D4">
              <w:rPr>
                <w:rFonts w:ascii="Adobe Garamond Pro" w:hAnsi="Adobe Garamond Pro"/>
                <w:sz w:val="16"/>
                <w:szCs w:val="16"/>
              </w:rPr>
              <w:t xml:space="preserve">three year </w:t>
            </w:r>
            <w:proofErr w:type="spellStart"/>
            <w:r w:rsidRPr="00DB74D4">
              <w:rPr>
                <w:rFonts w:ascii="Adobe Garamond Pro" w:hAnsi="Adobe Garamond Pro"/>
                <w:sz w:val="16"/>
                <w:szCs w:val="16"/>
              </w:rPr>
              <w:t>olds</w:t>
            </w:r>
            <w:proofErr w:type="spellEnd"/>
            <w:proofErr w:type="gramEnd"/>
          </w:p>
        </w:tc>
        <w:tc>
          <w:tcPr>
            <w:tcW w:w="411" w:type="pct"/>
            <w:vAlign w:val="center"/>
          </w:tcPr>
          <w:p w14:paraId="6F60BACF"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17</w:t>
            </w:r>
          </w:p>
        </w:tc>
        <w:tc>
          <w:tcPr>
            <w:tcW w:w="414" w:type="pct"/>
            <w:vAlign w:val="center"/>
          </w:tcPr>
          <w:p w14:paraId="6CEB82CB"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21</w:t>
            </w:r>
          </w:p>
        </w:tc>
        <w:tc>
          <w:tcPr>
            <w:tcW w:w="419" w:type="pct"/>
            <w:tcBorders>
              <w:right w:val="nil"/>
            </w:tcBorders>
            <w:vAlign w:val="center"/>
          </w:tcPr>
          <w:p w14:paraId="22059FA8"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0</w:t>
            </w:r>
          </w:p>
        </w:tc>
        <w:tc>
          <w:tcPr>
            <w:tcW w:w="421" w:type="pct"/>
            <w:vAlign w:val="center"/>
          </w:tcPr>
          <w:p w14:paraId="4CCAB7E3"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0</w:t>
            </w:r>
          </w:p>
        </w:tc>
        <w:tc>
          <w:tcPr>
            <w:tcW w:w="717" w:type="pct"/>
            <w:tcBorders>
              <w:left w:val="nil"/>
            </w:tcBorders>
            <w:vAlign w:val="center"/>
          </w:tcPr>
          <w:p w14:paraId="17FD60B9"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38</w:t>
            </w:r>
          </w:p>
        </w:tc>
        <w:tc>
          <w:tcPr>
            <w:tcW w:w="946" w:type="pct"/>
            <w:vAlign w:val="center"/>
          </w:tcPr>
          <w:p w14:paraId="6E746A34"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0.7</w:t>
            </w:r>
          </w:p>
        </w:tc>
      </w:tr>
      <w:tr w:rsidR="003A6141" w:rsidRPr="00502714" w14:paraId="6BB9C941" w14:textId="77777777" w:rsidTr="00BD6374">
        <w:trPr>
          <w:trHeight w:val="748"/>
          <w:jc w:val="center"/>
        </w:trPr>
        <w:tc>
          <w:tcPr>
            <w:tcW w:w="1672" w:type="pct"/>
            <w:vAlign w:val="center"/>
          </w:tcPr>
          <w:p w14:paraId="45B1EE33"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Number of horses that </w:t>
            </w:r>
          </w:p>
          <w:p w14:paraId="560BE2E9"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did not</w:t>
            </w:r>
            <w:r>
              <w:rPr>
                <w:rFonts w:ascii="Adobe Garamond Pro" w:hAnsi="Adobe Garamond Pro"/>
                <w:sz w:val="16"/>
                <w:szCs w:val="16"/>
              </w:rPr>
              <w:t xml:space="preserve"> </w:t>
            </w:r>
            <w:r w:rsidRPr="00DB74D4">
              <w:rPr>
                <w:rFonts w:ascii="Adobe Garamond Pro" w:hAnsi="Adobe Garamond Pro"/>
                <w:sz w:val="16"/>
                <w:szCs w:val="16"/>
              </w:rPr>
              <w:t xml:space="preserve">run to a sufficient </w:t>
            </w:r>
          </w:p>
          <w:p w14:paraId="210CE0F5"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standard to receive a </w:t>
            </w:r>
          </w:p>
          <w:p w14:paraId="061EE874"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published </w:t>
            </w:r>
            <w:proofErr w:type="gramStart"/>
            <w:r w:rsidRPr="00DB74D4">
              <w:rPr>
                <w:rFonts w:ascii="Adobe Garamond Pro" w:hAnsi="Adobe Garamond Pro"/>
                <w:sz w:val="16"/>
                <w:szCs w:val="16"/>
              </w:rPr>
              <w:t>three year old</w:t>
            </w:r>
            <w:proofErr w:type="gramEnd"/>
            <w:r w:rsidRPr="00DB74D4">
              <w:rPr>
                <w:rFonts w:ascii="Adobe Garamond Pro" w:hAnsi="Adobe Garamond Pro"/>
                <w:sz w:val="16"/>
                <w:szCs w:val="16"/>
              </w:rPr>
              <w:t xml:space="preserve"> </w:t>
            </w:r>
          </w:p>
          <w:p w14:paraId="6AC86E9F"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end-of-year </w:t>
            </w:r>
          </w:p>
          <w:p w14:paraId="2648CAB7" w14:textId="77777777" w:rsidR="003A6141" w:rsidRPr="00DB74D4" w:rsidRDefault="003A6141" w:rsidP="003A6141">
            <w:pPr>
              <w:ind w:right="-46"/>
              <w:jc w:val="center"/>
              <w:rPr>
                <w:rFonts w:ascii="Adobe Garamond Pro" w:hAnsi="Adobe Garamond Pro"/>
                <w:sz w:val="16"/>
                <w:szCs w:val="16"/>
              </w:rPr>
            </w:pPr>
            <w:proofErr w:type="spellStart"/>
            <w:r w:rsidRPr="00DB74D4">
              <w:rPr>
                <w:rFonts w:ascii="Adobe Garamond Pro" w:hAnsi="Adobe Garamond Pro"/>
                <w:sz w:val="16"/>
                <w:szCs w:val="16"/>
              </w:rPr>
              <w:t>Timeform</w:t>
            </w:r>
            <w:proofErr w:type="spellEnd"/>
            <w:r w:rsidRPr="00DB74D4">
              <w:rPr>
                <w:rFonts w:ascii="Adobe Garamond Pro" w:hAnsi="Adobe Garamond Pro"/>
                <w:sz w:val="16"/>
                <w:szCs w:val="16"/>
              </w:rPr>
              <w:t xml:space="preserve"> rating</w:t>
            </w:r>
          </w:p>
        </w:tc>
        <w:tc>
          <w:tcPr>
            <w:tcW w:w="411" w:type="pct"/>
            <w:vAlign w:val="center"/>
          </w:tcPr>
          <w:p w14:paraId="5195992F"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100</w:t>
            </w:r>
          </w:p>
        </w:tc>
        <w:tc>
          <w:tcPr>
            <w:tcW w:w="414" w:type="pct"/>
            <w:vAlign w:val="center"/>
          </w:tcPr>
          <w:p w14:paraId="73227D95"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79</w:t>
            </w:r>
          </w:p>
        </w:tc>
        <w:tc>
          <w:tcPr>
            <w:tcW w:w="419" w:type="pct"/>
            <w:tcBorders>
              <w:right w:val="nil"/>
            </w:tcBorders>
            <w:vAlign w:val="center"/>
          </w:tcPr>
          <w:p w14:paraId="0D38B159"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36</w:t>
            </w:r>
          </w:p>
        </w:tc>
        <w:tc>
          <w:tcPr>
            <w:tcW w:w="421" w:type="pct"/>
            <w:vAlign w:val="center"/>
          </w:tcPr>
          <w:p w14:paraId="52F84C51"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27</w:t>
            </w:r>
          </w:p>
        </w:tc>
        <w:tc>
          <w:tcPr>
            <w:tcW w:w="717" w:type="pct"/>
            <w:tcBorders>
              <w:left w:val="nil"/>
            </w:tcBorders>
            <w:vAlign w:val="center"/>
          </w:tcPr>
          <w:p w14:paraId="1A94A6FB"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242</w:t>
            </w:r>
          </w:p>
        </w:tc>
        <w:tc>
          <w:tcPr>
            <w:tcW w:w="946" w:type="pct"/>
            <w:vAlign w:val="center"/>
          </w:tcPr>
          <w:p w14:paraId="53D69FB5"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4.2</w:t>
            </w:r>
          </w:p>
        </w:tc>
      </w:tr>
      <w:tr w:rsidR="003A6141" w:rsidRPr="00502714" w14:paraId="05BB3207" w14:textId="77777777" w:rsidTr="00BD6374">
        <w:trPr>
          <w:trHeight w:val="317"/>
          <w:jc w:val="center"/>
        </w:trPr>
        <w:tc>
          <w:tcPr>
            <w:tcW w:w="1672" w:type="pct"/>
            <w:vAlign w:val="center"/>
          </w:tcPr>
          <w:p w14:paraId="516AAF09"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Number of horses that did</w:t>
            </w:r>
          </w:p>
          <w:p w14:paraId="04C9BFD2"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 run on the Flat turf in </w:t>
            </w:r>
          </w:p>
          <w:p w14:paraId="4AD07CB5"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Britain as a </w:t>
            </w:r>
            <w:proofErr w:type="gramStart"/>
            <w:r w:rsidRPr="00DB74D4">
              <w:rPr>
                <w:rFonts w:ascii="Adobe Garamond Pro" w:hAnsi="Adobe Garamond Pro"/>
                <w:sz w:val="16"/>
                <w:szCs w:val="16"/>
              </w:rPr>
              <w:t>three year old</w:t>
            </w:r>
            <w:proofErr w:type="gramEnd"/>
            <w:r w:rsidRPr="00DB74D4">
              <w:rPr>
                <w:rFonts w:ascii="Adobe Garamond Pro" w:hAnsi="Adobe Garamond Pro"/>
                <w:sz w:val="16"/>
                <w:szCs w:val="16"/>
              </w:rPr>
              <w:t xml:space="preserve"> </w:t>
            </w:r>
          </w:p>
          <w:p w14:paraId="3B4D060B"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but were not published in </w:t>
            </w:r>
          </w:p>
          <w:p w14:paraId="14EDA91E"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the annual</w:t>
            </w:r>
          </w:p>
          <w:p w14:paraId="7C7DA48F"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 </w:t>
            </w:r>
            <w:proofErr w:type="spellStart"/>
            <w:r w:rsidRPr="00DB74D4">
              <w:rPr>
                <w:rFonts w:ascii="Adobe Garamond Pro" w:hAnsi="Adobe Garamond Pro"/>
                <w:sz w:val="16"/>
                <w:szCs w:val="16"/>
              </w:rPr>
              <w:t>Timeform</w:t>
            </w:r>
            <w:proofErr w:type="spellEnd"/>
            <w:r w:rsidRPr="00DB74D4">
              <w:rPr>
                <w:rFonts w:ascii="Adobe Garamond Pro" w:hAnsi="Adobe Garamond Pro"/>
                <w:sz w:val="16"/>
                <w:szCs w:val="16"/>
              </w:rPr>
              <w:t xml:space="preserve"> publication</w:t>
            </w:r>
          </w:p>
        </w:tc>
        <w:tc>
          <w:tcPr>
            <w:tcW w:w="411" w:type="pct"/>
            <w:vAlign w:val="center"/>
          </w:tcPr>
          <w:p w14:paraId="7B1EF8C8"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181</w:t>
            </w:r>
          </w:p>
        </w:tc>
        <w:tc>
          <w:tcPr>
            <w:tcW w:w="414" w:type="pct"/>
            <w:vAlign w:val="center"/>
          </w:tcPr>
          <w:p w14:paraId="6E3B1427"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138</w:t>
            </w:r>
          </w:p>
        </w:tc>
        <w:tc>
          <w:tcPr>
            <w:tcW w:w="419" w:type="pct"/>
            <w:tcBorders>
              <w:right w:val="nil"/>
            </w:tcBorders>
            <w:vAlign w:val="center"/>
          </w:tcPr>
          <w:p w14:paraId="6B8113FA"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172</w:t>
            </w:r>
          </w:p>
        </w:tc>
        <w:tc>
          <w:tcPr>
            <w:tcW w:w="421" w:type="pct"/>
            <w:vAlign w:val="center"/>
          </w:tcPr>
          <w:p w14:paraId="51E848BE"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212</w:t>
            </w:r>
          </w:p>
        </w:tc>
        <w:tc>
          <w:tcPr>
            <w:tcW w:w="717" w:type="pct"/>
            <w:tcBorders>
              <w:left w:val="nil"/>
            </w:tcBorders>
            <w:vAlign w:val="center"/>
          </w:tcPr>
          <w:p w14:paraId="573B82A7"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703</w:t>
            </w:r>
          </w:p>
        </w:tc>
        <w:tc>
          <w:tcPr>
            <w:tcW w:w="946" w:type="pct"/>
            <w:vAlign w:val="center"/>
          </w:tcPr>
          <w:p w14:paraId="21103482"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12.2</w:t>
            </w:r>
          </w:p>
        </w:tc>
      </w:tr>
      <w:tr w:rsidR="003A6141" w:rsidRPr="00502714" w14:paraId="4D44D8C1" w14:textId="77777777" w:rsidTr="00BD6374">
        <w:trPr>
          <w:trHeight w:val="643"/>
          <w:jc w:val="center"/>
        </w:trPr>
        <w:tc>
          <w:tcPr>
            <w:tcW w:w="1672" w:type="pct"/>
            <w:tcBorders>
              <w:bottom w:val="single" w:sz="4" w:space="0" w:color="auto"/>
            </w:tcBorders>
            <w:vAlign w:val="center"/>
          </w:tcPr>
          <w:p w14:paraId="797ADF00"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Sample population</w:t>
            </w:r>
          </w:p>
          <w:p w14:paraId="79CA067F"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 included within price/performance analysis</w:t>
            </w:r>
          </w:p>
        </w:tc>
        <w:tc>
          <w:tcPr>
            <w:tcW w:w="411" w:type="pct"/>
            <w:tcBorders>
              <w:bottom w:val="single" w:sz="4" w:space="0" w:color="auto"/>
            </w:tcBorders>
            <w:vAlign w:val="center"/>
          </w:tcPr>
          <w:p w14:paraId="56682DF2"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690</w:t>
            </w:r>
          </w:p>
        </w:tc>
        <w:tc>
          <w:tcPr>
            <w:tcW w:w="414" w:type="pct"/>
            <w:tcBorders>
              <w:bottom w:val="single" w:sz="4" w:space="0" w:color="auto"/>
            </w:tcBorders>
            <w:vAlign w:val="center"/>
          </w:tcPr>
          <w:p w14:paraId="75B787D5"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639</w:t>
            </w:r>
          </w:p>
        </w:tc>
        <w:tc>
          <w:tcPr>
            <w:tcW w:w="419" w:type="pct"/>
            <w:tcBorders>
              <w:bottom w:val="single" w:sz="4" w:space="0" w:color="auto"/>
              <w:right w:val="nil"/>
            </w:tcBorders>
            <w:vAlign w:val="center"/>
          </w:tcPr>
          <w:p w14:paraId="1CE2FE4D"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204</w:t>
            </w:r>
          </w:p>
        </w:tc>
        <w:tc>
          <w:tcPr>
            <w:tcW w:w="421" w:type="pct"/>
            <w:tcBorders>
              <w:bottom w:val="single" w:sz="4" w:space="0" w:color="auto"/>
            </w:tcBorders>
            <w:vAlign w:val="center"/>
          </w:tcPr>
          <w:p w14:paraId="4B4296A1"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202</w:t>
            </w:r>
          </w:p>
        </w:tc>
        <w:tc>
          <w:tcPr>
            <w:tcW w:w="717" w:type="pct"/>
            <w:tcBorders>
              <w:left w:val="nil"/>
              <w:bottom w:val="single" w:sz="4" w:space="0" w:color="auto"/>
            </w:tcBorders>
            <w:vAlign w:val="center"/>
          </w:tcPr>
          <w:p w14:paraId="54998357"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1735</w:t>
            </w:r>
          </w:p>
        </w:tc>
        <w:tc>
          <w:tcPr>
            <w:tcW w:w="946" w:type="pct"/>
            <w:tcBorders>
              <w:bottom w:val="single" w:sz="4" w:space="0" w:color="auto"/>
            </w:tcBorders>
            <w:vAlign w:val="center"/>
          </w:tcPr>
          <w:p w14:paraId="20508D2E"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30.2</w:t>
            </w:r>
          </w:p>
        </w:tc>
      </w:tr>
    </w:tbl>
    <w:p w14:paraId="653C430C" w14:textId="77777777" w:rsidR="003A6141" w:rsidRPr="00502714" w:rsidRDefault="003A6141" w:rsidP="003A6141">
      <w:pPr>
        <w:ind w:right="-46"/>
        <w:jc w:val="both"/>
        <w:rPr>
          <w:rFonts w:ascii="Adobe Garamond Pro" w:hAnsi="Adobe Garamond Pro"/>
        </w:rPr>
      </w:pPr>
    </w:p>
    <w:p w14:paraId="53E50284" w14:textId="77777777" w:rsidR="003A6141" w:rsidRPr="00BD6374" w:rsidRDefault="003A6141" w:rsidP="003A6141">
      <w:pPr>
        <w:ind w:right="-46"/>
        <w:jc w:val="both"/>
        <w:rPr>
          <w:rFonts w:ascii="Sylfaen" w:hAnsi="Sylfaen"/>
          <w:sz w:val="20"/>
          <w:szCs w:val="20"/>
        </w:rPr>
      </w:pPr>
      <w:r w:rsidRPr="00BD6374">
        <w:rPr>
          <w:rFonts w:ascii="Sylfaen" w:hAnsi="Sylfaen"/>
          <w:sz w:val="20"/>
          <w:szCs w:val="20"/>
        </w:rPr>
        <w:t xml:space="preserve">Note: Yearlings may be part of more than one group </w:t>
      </w:r>
      <w:proofErr w:type="gramStart"/>
      <w:r w:rsidRPr="00BD6374">
        <w:rPr>
          <w:rFonts w:ascii="Sylfaen" w:hAnsi="Sylfaen"/>
          <w:sz w:val="20"/>
          <w:szCs w:val="20"/>
        </w:rPr>
        <w:t>e.g.</w:t>
      </w:r>
      <w:proofErr w:type="gramEnd"/>
      <w:r w:rsidRPr="00BD6374">
        <w:rPr>
          <w:rFonts w:ascii="Sylfaen" w:hAnsi="Sylfaen"/>
          <w:sz w:val="20"/>
          <w:szCs w:val="20"/>
        </w:rPr>
        <w:t xml:space="preserve"> unnamed and did not run on the Flat turf in Britain at the age of three. </w:t>
      </w:r>
    </w:p>
    <w:p w14:paraId="58394F56" w14:textId="29A58D3B" w:rsidR="00BD6374" w:rsidRPr="00BD6374" w:rsidRDefault="003A6141" w:rsidP="00BD6374">
      <w:pPr>
        <w:pStyle w:val="Heading2"/>
        <w:spacing w:before="120" w:after="120" w:line="360" w:lineRule="auto"/>
        <w:rPr>
          <w:rFonts w:ascii="Sylfaen" w:hAnsi="Sylfaen"/>
          <w:i/>
          <w:iCs/>
          <w:color w:val="000000" w:themeColor="text1"/>
          <w:sz w:val="22"/>
          <w:szCs w:val="22"/>
        </w:rPr>
      </w:pPr>
      <w:r w:rsidRPr="00BD6374">
        <w:rPr>
          <w:rFonts w:ascii="Sylfaen" w:hAnsi="Sylfaen"/>
          <w:i/>
          <w:iCs/>
          <w:color w:val="000000" w:themeColor="text1"/>
          <w:sz w:val="22"/>
          <w:szCs w:val="22"/>
        </w:rPr>
        <w:lastRenderedPageBreak/>
        <w:t>Sale Price</w:t>
      </w:r>
    </w:p>
    <w:p w14:paraId="3AC49E6C" w14:textId="0ECCA045" w:rsidR="003A6141" w:rsidRPr="00BD6374" w:rsidRDefault="003A6141" w:rsidP="00BD6374">
      <w:pPr>
        <w:spacing w:before="120" w:after="120" w:line="360" w:lineRule="auto"/>
        <w:ind w:right="-46"/>
        <w:jc w:val="both"/>
        <w:rPr>
          <w:rFonts w:ascii="Sylfaen" w:hAnsi="Sylfaen"/>
          <w:color w:val="000000" w:themeColor="text1"/>
        </w:rPr>
      </w:pPr>
      <w:r w:rsidRPr="00BD6374">
        <w:rPr>
          <w:rFonts w:ascii="Sylfaen" w:hAnsi="Sylfaen"/>
          <w:color w:val="000000" w:themeColor="text1"/>
        </w:rPr>
        <w:t xml:space="preserve">Table 2 shows the variation in mean sale prices seen at both Tattersalls and </w:t>
      </w: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Yearling sales during 2004 and 2005 for those yearlings that went on to race as </w:t>
      </w:r>
      <w:proofErr w:type="gramStart"/>
      <w:r w:rsidRPr="00BD6374">
        <w:rPr>
          <w:rFonts w:ascii="Sylfaen" w:hAnsi="Sylfaen"/>
          <w:color w:val="000000" w:themeColor="text1"/>
        </w:rPr>
        <w:t>three year olds</w:t>
      </w:r>
      <w:proofErr w:type="gramEnd"/>
      <w:r w:rsidRPr="00BD6374">
        <w:rPr>
          <w:rFonts w:ascii="Sylfaen" w:hAnsi="Sylfaen"/>
          <w:color w:val="000000" w:themeColor="text1"/>
        </w:rPr>
        <w:t xml:space="preserve"> and receive a published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w:t>
      </w:r>
    </w:p>
    <w:p w14:paraId="23FE7B83" w14:textId="77777777" w:rsidR="003A6141" w:rsidRPr="00502714" w:rsidRDefault="003A6141" w:rsidP="003A6141">
      <w:pPr>
        <w:ind w:right="-46"/>
        <w:jc w:val="both"/>
        <w:rPr>
          <w:rFonts w:ascii="Adobe Garamond Pro" w:hAnsi="Adobe Garamond Pro"/>
        </w:rPr>
      </w:pPr>
    </w:p>
    <w:p w14:paraId="300729D0" w14:textId="276EC21A" w:rsidR="00BD6374" w:rsidRPr="00BD6374" w:rsidRDefault="00BD6374" w:rsidP="00BD6374">
      <w:pPr>
        <w:pStyle w:val="Caption"/>
        <w:keepNext/>
        <w:rPr>
          <w:color w:val="000000" w:themeColor="text1"/>
        </w:rPr>
      </w:pPr>
      <w:r w:rsidRPr="00BD6374">
        <w:rPr>
          <w:color w:val="000000" w:themeColor="text1"/>
        </w:rPr>
        <w:t xml:space="preserve">Table </w:t>
      </w:r>
      <w:r w:rsidRPr="00BD6374">
        <w:rPr>
          <w:color w:val="000000" w:themeColor="text1"/>
        </w:rPr>
        <w:fldChar w:fldCharType="begin"/>
      </w:r>
      <w:r w:rsidRPr="00BD6374">
        <w:rPr>
          <w:color w:val="000000" w:themeColor="text1"/>
        </w:rPr>
        <w:instrText xml:space="preserve"> SEQ Table \* ARABIC </w:instrText>
      </w:r>
      <w:r w:rsidRPr="00BD6374">
        <w:rPr>
          <w:color w:val="000000" w:themeColor="text1"/>
        </w:rPr>
        <w:fldChar w:fldCharType="separate"/>
      </w:r>
      <w:r>
        <w:rPr>
          <w:noProof/>
          <w:color w:val="000000" w:themeColor="text1"/>
        </w:rPr>
        <w:t>2</w:t>
      </w:r>
      <w:r w:rsidRPr="00BD6374">
        <w:rPr>
          <w:color w:val="000000" w:themeColor="text1"/>
        </w:rPr>
        <w:fldChar w:fldCharType="end"/>
      </w:r>
      <w:r w:rsidRPr="00BD6374">
        <w:rPr>
          <w:color w:val="000000" w:themeColor="text1"/>
        </w:rPr>
        <w:t xml:space="preserve">:Descriptive statistics and measures of dispersion: yearlings sold at Tattersalls and </w:t>
      </w:r>
      <w:proofErr w:type="spellStart"/>
      <w:r w:rsidRPr="00BD6374">
        <w:rPr>
          <w:color w:val="000000" w:themeColor="text1"/>
        </w:rPr>
        <w:t>Goffs</w:t>
      </w:r>
      <w:proofErr w:type="spellEnd"/>
      <w:r w:rsidRPr="00BD6374">
        <w:rPr>
          <w:color w:val="000000" w:themeColor="text1"/>
        </w:rPr>
        <w:t xml:space="preserve"> sales in 2004 and 2005</w:t>
      </w:r>
    </w:p>
    <w:tbl>
      <w:tblPr>
        <w:tblStyle w:val="TableGrid"/>
        <w:tblW w:w="5000" w:type="pct"/>
        <w:jc w:val="center"/>
        <w:tblLook w:val="01E0" w:firstRow="1" w:lastRow="1" w:firstColumn="1" w:lastColumn="1" w:noHBand="0" w:noVBand="0"/>
      </w:tblPr>
      <w:tblGrid>
        <w:gridCol w:w="1472"/>
        <w:gridCol w:w="1682"/>
        <w:gridCol w:w="1201"/>
        <w:gridCol w:w="1343"/>
        <w:gridCol w:w="1717"/>
        <w:gridCol w:w="1601"/>
      </w:tblGrid>
      <w:tr w:rsidR="003A6141" w:rsidRPr="00502714" w14:paraId="62114692" w14:textId="77777777" w:rsidTr="00BD6374">
        <w:trPr>
          <w:trHeight w:val="629"/>
          <w:jc w:val="center"/>
        </w:trPr>
        <w:tc>
          <w:tcPr>
            <w:tcW w:w="1749" w:type="pct"/>
            <w:gridSpan w:val="2"/>
            <w:tcBorders>
              <w:top w:val="single" w:sz="4" w:space="0" w:color="auto"/>
              <w:bottom w:val="single" w:sz="4" w:space="0" w:color="auto"/>
            </w:tcBorders>
            <w:vAlign w:val="center"/>
          </w:tcPr>
          <w:p w14:paraId="74D5281A" w14:textId="77777777" w:rsidR="003A6141" w:rsidRPr="00DB74D4"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Sale name and year</w:t>
            </w:r>
          </w:p>
        </w:tc>
        <w:tc>
          <w:tcPr>
            <w:tcW w:w="666" w:type="pct"/>
            <w:tcBorders>
              <w:top w:val="single" w:sz="4" w:space="0" w:color="auto"/>
              <w:bottom w:val="single" w:sz="4" w:space="0" w:color="auto"/>
            </w:tcBorders>
            <w:vAlign w:val="center"/>
          </w:tcPr>
          <w:p w14:paraId="307073A5" w14:textId="77777777" w:rsidR="003A6141" w:rsidRPr="00DB74D4"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Sample number</w:t>
            </w:r>
          </w:p>
        </w:tc>
        <w:tc>
          <w:tcPr>
            <w:tcW w:w="745" w:type="pct"/>
            <w:tcBorders>
              <w:top w:val="single" w:sz="4" w:space="0" w:color="auto"/>
              <w:bottom w:val="single" w:sz="4" w:space="0" w:color="auto"/>
            </w:tcBorders>
            <w:vAlign w:val="center"/>
          </w:tcPr>
          <w:p w14:paraId="651140B4" w14:textId="77777777" w:rsidR="003A6141"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 xml:space="preserve">Mean sale </w:t>
            </w:r>
          </w:p>
          <w:p w14:paraId="61EC2955" w14:textId="77777777" w:rsidR="003A6141" w:rsidRPr="00DB74D4"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price (</w:t>
            </w:r>
            <w:proofErr w:type="spellStart"/>
            <w:r w:rsidRPr="00DB74D4">
              <w:rPr>
                <w:rFonts w:ascii="Adobe Garamond Pro" w:hAnsi="Adobe Garamond Pro"/>
                <w:b/>
                <w:sz w:val="16"/>
                <w:szCs w:val="16"/>
              </w:rPr>
              <w:t>gns</w:t>
            </w:r>
            <w:proofErr w:type="spellEnd"/>
            <w:r w:rsidRPr="00DB74D4">
              <w:rPr>
                <w:rFonts w:ascii="Adobe Garamond Pro" w:hAnsi="Adobe Garamond Pro"/>
                <w:b/>
                <w:sz w:val="16"/>
                <w:szCs w:val="16"/>
              </w:rPr>
              <w:t>)</w:t>
            </w:r>
          </w:p>
        </w:tc>
        <w:tc>
          <w:tcPr>
            <w:tcW w:w="952" w:type="pct"/>
            <w:tcBorders>
              <w:top w:val="single" w:sz="4" w:space="0" w:color="auto"/>
              <w:bottom w:val="single" w:sz="4" w:space="0" w:color="auto"/>
            </w:tcBorders>
            <w:vAlign w:val="center"/>
          </w:tcPr>
          <w:p w14:paraId="3BFA89F4" w14:textId="77777777" w:rsidR="003A6141"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 xml:space="preserve">Standard </w:t>
            </w:r>
          </w:p>
          <w:p w14:paraId="158B3AF2" w14:textId="77777777" w:rsidR="003A6141"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 xml:space="preserve">deviation </w:t>
            </w:r>
          </w:p>
          <w:p w14:paraId="19611F92" w14:textId="77777777" w:rsidR="003A6141" w:rsidRPr="00DB74D4"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w:t>
            </w:r>
            <w:proofErr w:type="spellStart"/>
            <w:r w:rsidRPr="00DB74D4">
              <w:rPr>
                <w:rFonts w:ascii="Adobe Garamond Pro" w:hAnsi="Adobe Garamond Pro"/>
                <w:b/>
                <w:sz w:val="16"/>
                <w:szCs w:val="16"/>
              </w:rPr>
              <w:t>gns</w:t>
            </w:r>
            <w:proofErr w:type="spellEnd"/>
            <w:r w:rsidRPr="00DB74D4">
              <w:rPr>
                <w:rFonts w:ascii="Adobe Garamond Pro" w:hAnsi="Adobe Garamond Pro"/>
                <w:b/>
                <w:sz w:val="16"/>
                <w:szCs w:val="16"/>
              </w:rPr>
              <w:t>)</w:t>
            </w:r>
          </w:p>
        </w:tc>
        <w:tc>
          <w:tcPr>
            <w:tcW w:w="888" w:type="pct"/>
            <w:tcBorders>
              <w:top w:val="single" w:sz="4" w:space="0" w:color="auto"/>
              <w:bottom w:val="single" w:sz="4" w:space="0" w:color="auto"/>
            </w:tcBorders>
            <w:vAlign w:val="center"/>
          </w:tcPr>
          <w:p w14:paraId="3E04ECB8" w14:textId="77777777" w:rsidR="003A6141"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 xml:space="preserve">Standard </w:t>
            </w:r>
          </w:p>
          <w:p w14:paraId="5DFA3006" w14:textId="77777777" w:rsidR="003A6141" w:rsidRPr="00DB74D4" w:rsidRDefault="003A6141" w:rsidP="003A6141">
            <w:pPr>
              <w:ind w:right="-46"/>
              <w:jc w:val="center"/>
              <w:rPr>
                <w:rFonts w:ascii="Adobe Garamond Pro" w:hAnsi="Adobe Garamond Pro"/>
                <w:b/>
                <w:sz w:val="16"/>
                <w:szCs w:val="16"/>
              </w:rPr>
            </w:pPr>
            <w:r w:rsidRPr="00DB74D4">
              <w:rPr>
                <w:rFonts w:ascii="Adobe Garamond Pro" w:hAnsi="Adobe Garamond Pro"/>
                <w:b/>
                <w:sz w:val="16"/>
                <w:szCs w:val="16"/>
              </w:rPr>
              <w:t>error</w:t>
            </w:r>
          </w:p>
        </w:tc>
      </w:tr>
      <w:tr w:rsidR="003A6141" w:rsidRPr="00502714" w14:paraId="139C62BD" w14:textId="77777777" w:rsidTr="00BD6374">
        <w:trPr>
          <w:trHeight w:val="292"/>
          <w:jc w:val="center"/>
        </w:trPr>
        <w:tc>
          <w:tcPr>
            <w:tcW w:w="816" w:type="pct"/>
            <w:vMerge w:val="restart"/>
            <w:tcBorders>
              <w:top w:val="single" w:sz="4" w:space="0" w:color="auto"/>
              <w:bottom w:val="single" w:sz="4" w:space="0" w:color="auto"/>
            </w:tcBorders>
            <w:vAlign w:val="center"/>
          </w:tcPr>
          <w:p w14:paraId="4BCD3A90"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Tattersalls Yearling </w:t>
            </w:r>
          </w:p>
          <w:p w14:paraId="1B4C72E4"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Sales</w:t>
            </w:r>
          </w:p>
        </w:tc>
        <w:tc>
          <w:tcPr>
            <w:tcW w:w="933" w:type="pct"/>
            <w:tcBorders>
              <w:top w:val="single" w:sz="4" w:space="0" w:color="auto"/>
            </w:tcBorders>
            <w:vAlign w:val="center"/>
          </w:tcPr>
          <w:p w14:paraId="5EE060BB" w14:textId="77777777" w:rsidR="003A6141" w:rsidRPr="00DB74D4" w:rsidRDefault="003A6141" w:rsidP="003A6141">
            <w:pPr>
              <w:ind w:right="-46"/>
              <w:jc w:val="center"/>
              <w:rPr>
                <w:rFonts w:ascii="Adobe Garamond Pro" w:hAnsi="Adobe Garamond Pro"/>
                <w:sz w:val="16"/>
                <w:szCs w:val="16"/>
              </w:rPr>
            </w:pPr>
          </w:p>
          <w:p w14:paraId="60EBBFD9"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2004</w:t>
            </w:r>
          </w:p>
          <w:p w14:paraId="4F2BC079" w14:textId="77777777" w:rsidR="003A6141" w:rsidRPr="00DB74D4" w:rsidRDefault="003A6141" w:rsidP="003A6141">
            <w:pPr>
              <w:ind w:right="-46"/>
              <w:jc w:val="center"/>
              <w:rPr>
                <w:rFonts w:ascii="Adobe Garamond Pro" w:hAnsi="Adobe Garamond Pro"/>
                <w:sz w:val="16"/>
                <w:szCs w:val="16"/>
              </w:rPr>
            </w:pPr>
          </w:p>
        </w:tc>
        <w:tc>
          <w:tcPr>
            <w:tcW w:w="666" w:type="pct"/>
            <w:tcBorders>
              <w:top w:val="single" w:sz="4" w:space="0" w:color="auto"/>
            </w:tcBorders>
            <w:vAlign w:val="center"/>
          </w:tcPr>
          <w:p w14:paraId="5C83B739"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690</w:t>
            </w:r>
          </w:p>
        </w:tc>
        <w:tc>
          <w:tcPr>
            <w:tcW w:w="745" w:type="pct"/>
            <w:tcBorders>
              <w:top w:val="single" w:sz="4" w:space="0" w:color="auto"/>
            </w:tcBorders>
            <w:vAlign w:val="center"/>
          </w:tcPr>
          <w:p w14:paraId="4418FAAC"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53,041.88</w:t>
            </w:r>
          </w:p>
        </w:tc>
        <w:tc>
          <w:tcPr>
            <w:tcW w:w="952" w:type="pct"/>
            <w:tcBorders>
              <w:top w:val="single" w:sz="4" w:space="0" w:color="auto"/>
            </w:tcBorders>
            <w:vAlign w:val="center"/>
          </w:tcPr>
          <w:p w14:paraId="0D5560B8"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82,086.974</w:t>
            </w:r>
          </w:p>
        </w:tc>
        <w:tc>
          <w:tcPr>
            <w:tcW w:w="888" w:type="pct"/>
            <w:tcBorders>
              <w:top w:val="single" w:sz="4" w:space="0" w:color="auto"/>
            </w:tcBorders>
            <w:vAlign w:val="center"/>
          </w:tcPr>
          <w:p w14:paraId="1F6C2A38"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3124.998</w:t>
            </w:r>
          </w:p>
        </w:tc>
      </w:tr>
      <w:tr w:rsidR="003A6141" w:rsidRPr="00502714" w14:paraId="40C93CFE" w14:textId="77777777" w:rsidTr="00BD6374">
        <w:trPr>
          <w:trHeight w:val="489"/>
          <w:jc w:val="center"/>
        </w:trPr>
        <w:tc>
          <w:tcPr>
            <w:tcW w:w="816" w:type="pct"/>
            <w:vMerge/>
            <w:tcBorders>
              <w:bottom w:val="single" w:sz="4" w:space="0" w:color="auto"/>
            </w:tcBorders>
            <w:vAlign w:val="center"/>
          </w:tcPr>
          <w:p w14:paraId="7184AF92" w14:textId="77777777" w:rsidR="003A6141" w:rsidRPr="00DB74D4" w:rsidRDefault="003A6141" w:rsidP="003A6141">
            <w:pPr>
              <w:ind w:right="-46"/>
              <w:jc w:val="center"/>
              <w:rPr>
                <w:rFonts w:ascii="Adobe Garamond Pro" w:hAnsi="Adobe Garamond Pro"/>
                <w:sz w:val="16"/>
                <w:szCs w:val="16"/>
              </w:rPr>
            </w:pPr>
          </w:p>
        </w:tc>
        <w:tc>
          <w:tcPr>
            <w:tcW w:w="933" w:type="pct"/>
            <w:vAlign w:val="center"/>
          </w:tcPr>
          <w:p w14:paraId="0A5055C0" w14:textId="77777777" w:rsidR="003A6141" w:rsidRPr="00DB74D4" w:rsidRDefault="003A6141" w:rsidP="003A6141">
            <w:pPr>
              <w:ind w:right="-46"/>
              <w:jc w:val="center"/>
              <w:rPr>
                <w:rFonts w:ascii="Adobe Garamond Pro" w:hAnsi="Adobe Garamond Pro"/>
                <w:sz w:val="16"/>
                <w:szCs w:val="16"/>
              </w:rPr>
            </w:pPr>
          </w:p>
          <w:p w14:paraId="46F654D5"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2005</w:t>
            </w:r>
          </w:p>
          <w:p w14:paraId="73213E0D" w14:textId="77777777" w:rsidR="003A6141" w:rsidRPr="00DB74D4" w:rsidRDefault="003A6141" w:rsidP="003A6141">
            <w:pPr>
              <w:ind w:right="-46"/>
              <w:jc w:val="center"/>
              <w:rPr>
                <w:rFonts w:ascii="Adobe Garamond Pro" w:hAnsi="Adobe Garamond Pro"/>
                <w:sz w:val="16"/>
                <w:szCs w:val="16"/>
              </w:rPr>
            </w:pPr>
          </w:p>
        </w:tc>
        <w:tc>
          <w:tcPr>
            <w:tcW w:w="666" w:type="pct"/>
            <w:vAlign w:val="center"/>
          </w:tcPr>
          <w:p w14:paraId="5D566E49"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639</w:t>
            </w:r>
          </w:p>
        </w:tc>
        <w:tc>
          <w:tcPr>
            <w:tcW w:w="745" w:type="pct"/>
            <w:vAlign w:val="center"/>
          </w:tcPr>
          <w:p w14:paraId="57D1C035"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60,832.08</w:t>
            </w:r>
          </w:p>
        </w:tc>
        <w:tc>
          <w:tcPr>
            <w:tcW w:w="952" w:type="pct"/>
            <w:vAlign w:val="center"/>
          </w:tcPr>
          <w:p w14:paraId="24C79B5B"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81,076.107</w:t>
            </w:r>
          </w:p>
        </w:tc>
        <w:tc>
          <w:tcPr>
            <w:tcW w:w="888" w:type="pct"/>
            <w:vAlign w:val="center"/>
          </w:tcPr>
          <w:p w14:paraId="189FAD54"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3207.321</w:t>
            </w:r>
          </w:p>
        </w:tc>
      </w:tr>
      <w:tr w:rsidR="003A6141" w:rsidRPr="00502714" w14:paraId="7EB6774F" w14:textId="77777777" w:rsidTr="00BD6374">
        <w:trPr>
          <w:trHeight w:val="370"/>
          <w:jc w:val="center"/>
        </w:trPr>
        <w:tc>
          <w:tcPr>
            <w:tcW w:w="816" w:type="pct"/>
            <w:vMerge/>
            <w:tcBorders>
              <w:bottom w:val="single" w:sz="4" w:space="0" w:color="auto"/>
            </w:tcBorders>
            <w:vAlign w:val="center"/>
          </w:tcPr>
          <w:p w14:paraId="0335AF13" w14:textId="77777777" w:rsidR="003A6141" w:rsidRPr="00DB74D4" w:rsidRDefault="003A6141" w:rsidP="003A6141">
            <w:pPr>
              <w:ind w:right="-46"/>
              <w:jc w:val="center"/>
              <w:rPr>
                <w:rFonts w:ascii="Adobe Garamond Pro" w:hAnsi="Adobe Garamond Pro"/>
                <w:sz w:val="16"/>
                <w:szCs w:val="16"/>
              </w:rPr>
            </w:pPr>
          </w:p>
        </w:tc>
        <w:tc>
          <w:tcPr>
            <w:tcW w:w="933" w:type="pct"/>
            <w:tcBorders>
              <w:bottom w:val="single" w:sz="4" w:space="0" w:color="auto"/>
            </w:tcBorders>
            <w:vAlign w:val="center"/>
          </w:tcPr>
          <w:p w14:paraId="3D8A145D" w14:textId="77777777" w:rsidR="003A6141" w:rsidRPr="00DB74D4" w:rsidRDefault="003A6141" w:rsidP="003A6141">
            <w:pPr>
              <w:ind w:right="-46"/>
              <w:jc w:val="center"/>
              <w:rPr>
                <w:rFonts w:ascii="Adobe Garamond Pro" w:hAnsi="Adobe Garamond Pro"/>
                <w:sz w:val="16"/>
                <w:szCs w:val="16"/>
              </w:rPr>
            </w:pPr>
          </w:p>
          <w:p w14:paraId="753C10EC"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Total</w:t>
            </w:r>
          </w:p>
          <w:p w14:paraId="1C62161D" w14:textId="77777777" w:rsidR="003A6141" w:rsidRPr="00DB74D4" w:rsidRDefault="003A6141" w:rsidP="003A6141">
            <w:pPr>
              <w:ind w:right="-46"/>
              <w:jc w:val="center"/>
              <w:rPr>
                <w:rFonts w:ascii="Adobe Garamond Pro" w:hAnsi="Adobe Garamond Pro"/>
                <w:sz w:val="16"/>
                <w:szCs w:val="16"/>
              </w:rPr>
            </w:pPr>
          </w:p>
        </w:tc>
        <w:tc>
          <w:tcPr>
            <w:tcW w:w="666" w:type="pct"/>
            <w:tcBorders>
              <w:bottom w:val="single" w:sz="4" w:space="0" w:color="auto"/>
            </w:tcBorders>
            <w:vAlign w:val="center"/>
          </w:tcPr>
          <w:p w14:paraId="79F70B0F"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1329</w:t>
            </w:r>
          </w:p>
        </w:tc>
        <w:tc>
          <w:tcPr>
            <w:tcW w:w="745" w:type="pct"/>
            <w:tcBorders>
              <w:bottom w:val="single" w:sz="4" w:space="0" w:color="auto"/>
            </w:tcBorders>
            <w:vAlign w:val="center"/>
          </w:tcPr>
          <w:p w14:paraId="157024F4"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56,787.51</w:t>
            </w:r>
          </w:p>
        </w:tc>
        <w:tc>
          <w:tcPr>
            <w:tcW w:w="952" w:type="pct"/>
            <w:tcBorders>
              <w:bottom w:val="single" w:sz="4" w:space="0" w:color="auto"/>
            </w:tcBorders>
            <w:vAlign w:val="center"/>
          </w:tcPr>
          <w:p w14:paraId="0A466AB4"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81,664.676</w:t>
            </w:r>
          </w:p>
        </w:tc>
        <w:tc>
          <w:tcPr>
            <w:tcW w:w="888" w:type="pct"/>
            <w:tcBorders>
              <w:bottom w:val="single" w:sz="4" w:space="0" w:color="auto"/>
            </w:tcBorders>
            <w:vAlign w:val="center"/>
          </w:tcPr>
          <w:p w14:paraId="4A78287F"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2240.122</w:t>
            </w:r>
          </w:p>
        </w:tc>
      </w:tr>
      <w:tr w:rsidR="003A6141" w:rsidRPr="00502714" w14:paraId="5799F453" w14:textId="77777777" w:rsidTr="00BD6374">
        <w:trPr>
          <w:trHeight w:val="489"/>
          <w:jc w:val="center"/>
        </w:trPr>
        <w:tc>
          <w:tcPr>
            <w:tcW w:w="816" w:type="pct"/>
            <w:vMerge w:val="restart"/>
            <w:tcBorders>
              <w:top w:val="single" w:sz="4" w:space="0" w:color="auto"/>
              <w:bottom w:val="single" w:sz="4" w:space="0" w:color="auto"/>
            </w:tcBorders>
            <w:vAlign w:val="center"/>
          </w:tcPr>
          <w:p w14:paraId="390C1679" w14:textId="77777777" w:rsidR="003A6141" w:rsidRDefault="003A6141" w:rsidP="003A6141">
            <w:pPr>
              <w:ind w:right="-46"/>
              <w:jc w:val="center"/>
              <w:rPr>
                <w:rFonts w:ascii="Adobe Garamond Pro" w:hAnsi="Adobe Garamond Pro"/>
                <w:sz w:val="16"/>
                <w:szCs w:val="16"/>
              </w:rPr>
            </w:pPr>
            <w:proofErr w:type="spellStart"/>
            <w:r w:rsidRPr="00DB74D4">
              <w:rPr>
                <w:rFonts w:ascii="Adobe Garamond Pro" w:hAnsi="Adobe Garamond Pro"/>
                <w:sz w:val="16"/>
                <w:szCs w:val="16"/>
              </w:rPr>
              <w:t>Goffs</w:t>
            </w:r>
            <w:proofErr w:type="spellEnd"/>
            <w:r w:rsidRPr="00DB74D4">
              <w:rPr>
                <w:rFonts w:ascii="Adobe Garamond Pro" w:hAnsi="Adobe Garamond Pro"/>
                <w:sz w:val="16"/>
                <w:szCs w:val="16"/>
              </w:rPr>
              <w:t xml:space="preserve"> </w:t>
            </w:r>
          </w:p>
          <w:p w14:paraId="1FC6F4B4" w14:textId="77777777" w:rsidR="003A6141"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 xml:space="preserve">Yearling </w:t>
            </w:r>
          </w:p>
          <w:p w14:paraId="2EA66194"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Sales</w:t>
            </w:r>
          </w:p>
        </w:tc>
        <w:tc>
          <w:tcPr>
            <w:tcW w:w="933" w:type="pct"/>
            <w:tcBorders>
              <w:top w:val="single" w:sz="4" w:space="0" w:color="auto"/>
            </w:tcBorders>
            <w:vAlign w:val="center"/>
          </w:tcPr>
          <w:p w14:paraId="3FFA297B" w14:textId="77777777" w:rsidR="003A6141" w:rsidRPr="00DB74D4" w:rsidRDefault="003A6141" w:rsidP="003A6141">
            <w:pPr>
              <w:ind w:right="-46"/>
              <w:jc w:val="center"/>
              <w:rPr>
                <w:rFonts w:ascii="Adobe Garamond Pro" w:hAnsi="Adobe Garamond Pro"/>
                <w:sz w:val="16"/>
                <w:szCs w:val="16"/>
              </w:rPr>
            </w:pPr>
          </w:p>
          <w:p w14:paraId="7B162ECB"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2004</w:t>
            </w:r>
          </w:p>
          <w:p w14:paraId="1D0E1D28" w14:textId="77777777" w:rsidR="003A6141" w:rsidRPr="00DB74D4" w:rsidRDefault="003A6141" w:rsidP="003A6141">
            <w:pPr>
              <w:ind w:right="-46"/>
              <w:jc w:val="center"/>
              <w:rPr>
                <w:rFonts w:ascii="Adobe Garamond Pro" w:hAnsi="Adobe Garamond Pro"/>
                <w:sz w:val="16"/>
                <w:szCs w:val="16"/>
              </w:rPr>
            </w:pPr>
          </w:p>
        </w:tc>
        <w:tc>
          <w:tcPr>
            <w:tcW w:w="666" w:type="pct"/>
            <w:tcBorders>
              <w:top w:val="single" w:sz="4" w:space="0" w:color="auto"/>
            </w:tcBorders>
            <w:vAlign w:val="center"/>
          </w:tcPr>
          <w:p w14:paraId="4181414D"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204</w:t>
            </w:r>
          </w:p>
        </w:tc>
        <w:tc>
          <w:tcPr>
            <w:tcW w:w="745" w:type="pct"/>
            <w:tcBorders>
              <w:top w:val="single" w:sz="4" w:space="0" w:color="auto"/>
            </w:tcBorders>
            <w:vAlign w:val="center"/>
          </w:tcPr>
          <w:p w14:paraId="16B3028A"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40,307.24</w:t>
            </w:r>
          </w:p>
        </w:tc>
        <w:tc>
          <w:tcPr>
            <w:tcW w:w="952" w:type="pct"/>
            <w:tcBorders>
              <w:top w:val="single" w:sz="4" w:space="0" w:color="auto"/>
            </w:tcBorders>
            <w:vAlign w:val="center"/>
          </w:tcPr>
          <w:p w14:paraId="6C751A42"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42,562.805</w:t>
            </w:r>
          </w:p>
        </w:tc>
        <w:tc>
          <w:tcPr>
            <w:tcW w:w="888" w:type="pct"/>
            <w:tcBorders>
              <w:top w:val="single" w:sz="4" w:space="0" w:color="auto"/>
            </w:tcBorders>
            <w:vAlign w:val="center"/>
          </w:tcPr>
          <w:p w14:paraId="637D43AB"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2979.992</w:t>
            </w:r>
          </w:p>
        </w:tc>
      </w:tr>
      <w:tr w:rsidR="003A6141" w:rsidRPr="00502714" w14:paraId="5E9E6D2F" w14:textId="77777777" w:rsidTr="00BD6374">
        <w:trPr>
          <w:trHeight w:val="489"/>
          <w:jc w:val="center"/>
        </w:trPr>
        <w:tc>
          <w:tcPr>
            <w:tcW w:w="816" w:type="pct"/>
            <w:vMerge/>
            <w:tcBorders>
              <w:bottom w:val="single" w:sz="4" w:space="0" w:color="auto"/>
            </w:tcBorders>
            <w:vAlign w:val="center"/>
          </w:tcPr>
          <w:p w14:paraId="483F01FF" w14:textId="77777777" w:rsidR="003A6141" w:rsidRPr="00DB74D4" w:rsidRDefault="003A6141" w:rsidP="003A6141">
            <w:pPr>
              <w:ind w:right="-46"/>
              <w:jc w:val="both"/>
              <w:rPr>
                <w:rFonts w:ascii="Adobe Garamond Pro" w:hAnsi="Adobe Garamond Pro"/>
                <w:sz w:val="16"/>
                <w:szCs w:val="16"/>
              </w:rPr>
            </w:pPr>
          </w:p>
        </w:tc>
        <w:tc>
          <w:tcPr>
            <w:tcW w:w="933" w:type="pct"/>
            <w:vAlign w:val="center"/>
          </w:tcPr>
          <w:p w14:paraId="343C786B" w14:textId="77777777" w:rsidR="003A6141" w:rsidRPr="00DB74D4" w:rsidRDefault="003A6141" w:rsidP="003A6141">
            <w:pPr>
              <w:ind w:right="-46"/>
              <w:jc w:val="center"/>
              <w:rPr>
                <w:rFonts w:ascii="Adobe Garamond Pro" w:hAnsi="Adobe Garamond Pro"/>
                <w:sz w:val="16"/>
                <w:szCs w:val="16"/>
              </w:rPr>
            </w:pPr>
          </w:p>
          <w:p w14:paraId="0EE4601D"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2005</w:t>
            </w:r>
          </w:p>
          <w:p w14:paraId="6A47F7B3" w14:textId="77777777" w:rsidR="003A6141" w:rsidRPr="00DB74D4" w:rsidRDefault="003A6141" w:rsidP="003A6141">
            <w:pPr>
              <w:ind w:right="-46"/>
              <w:jc w:val="center"/>
              <w:rPr>
                <w:rFonts w:ascii="Adobe Garamond Pro" w:hAnsi="Adobe Garamond Pro"/>
                <w:sz w:val="16"/>
                <w:szCs w:val="16"/>
              </w:rPr>
            </w:pPr>
          </w:p>
        </w:tc>
        <w:tc>
          <w:tcPr>
            <w:tcW w:w="666" w:type="pct"/>
            <w:vAlign w:val="center"/>
          </w:tcPr>
          <w:p w14:paraId="65F66C96"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202</w:t>
            </w:r>
          </w:p>
        </w:tc>
        <w:tc>
          <w:tcPr>
            <w:tcW w:w="745" w:type="pct"/>
            <w:vAlign w:val="center"/>
          </w:tcPr>
          <w:p w14:paraId="39B0992C"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65,176.25</w:t>
            </w:r>
          </w:p>
        </w:tc>
        <w:tc>
          <w:tcPr>
            <w:tcW w:w="952" w:type="pct"/>
            <w:vAlign w:val="center"/>
          </w:tcPr>
          <w:p w14:paraId="46F10F4A"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77,745.353</w:t>
            </w:r>
          </w:p>
        </w:tc>
        <w:tc>
          <w:tcPr>
            <w:tcW w:w="888" w:type="pct"/>
            <w:vAlign w:val="center"/>
          </w:tcPr>
          <w:p w14:paraId="28E46FB6"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5470.144</w:t>
            </w:r>
          </w:p>
        </w:tc>
      </w:tr>
      <w:tr w:rsidR="003A6141" w:rsidRPr="00502714" w14:paraId="30E75103" w14:textId="77777777" w:rsidTr="00BD6374">
        <w:trPr>
          <w:trHeight w:val="503"/>
          <w:jc w:val="center"/>
        </w:trPr>
        <w:tc>
          <w:tcPr>
            <w:tcW w:w="816" w:type="pct"/>
            <w:vMerge/>
            <w:tcBorders>
              <w:bottom w:val="single" w:sz="4" w:space="0" w:color="auto"/>
            </w:tcBorders>
            <w:vAlign w:val="center"/>
          </w:tcPr>
          <w:p w14:paraId="7ECF9CA1" w14:textId="77777777" w:rsidR="003A6141" w:rsidRPr="00DB74D4" w:rsidRDefault="003A6141" w:rsidP="003A6141">
            <w:pPr>
              <w:ind w:right="-46"/>
              <w:jc w:val="both"/>
              <w:rPr>
                <w:rFonts w:ascii="Adobe Garamond Pro" w:hAnsi="Adobe Garamond Pro"/>
                <w:sz w:val="16"/>
                <w:szCs w:val="16"/>
              </w:rPr>
            </w:pPr>
          </w:p>
        </w:tc>
        <w:tc>
          <w:tcPr>
            <w:tcW w:w="933" w:type="pct"/>
            <w:tcBorders>
              <w:bottom w:val="single" w:sz="4" w:space="0" w:color="auto"/>
            </w:tcBorders>
            <w:vAlign w:val="center"/>
          </w:tcPr>
          <w:p w14:paraId="7DB8D6A7" w14:textId="77777777" w:rsidR="003A6141" w:rsidRPr="00DB74D4" w:rsidRDefault="003A6141" w:rsidP="003A6141">
            <w:pPr>
              <w:ind w:right="-46"/>
              <w:jc w:val="center"/>
              <w:rPr>
                <w:rFonts w:ascii="Adobe Garamond Pro" w:hAnsi="Adobe Garamond Pro"/>
                <w:sz w:val="16"/>
                <w:szCs w:val="16"/>
              </w:rPr>
            </w:pPr>
          </w:p>
          <w:p w14:paraId="370FC2C6"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Total</w:t>
            </w:r>
          </w:p>
          <w:p w14:paraId="72AFF460" w14:textId="77777777" w:rsidR="003A6141" w:rsidRPr="00DB74D4" w:rsidRDefault="003A6141" w:rsidP="003A6141">
            <w:pPr>
              <w:ind w:right="-46"/>
              <w:jc w:val="center"/>
              <w:rPr>
                <w:rFonts w:ascii="Adobe Garamond Pro" w:hAnsi="Adobe Garamond Pro"/>
                <w:sz w:val="16"/>
                <w:szCs w:val="16"/>
              </w:rPr>
            </w:pPr>
          </w:p>
        </w:tc>
        <w:tc>
          <w:tcPr>
            <w:tcW w:w="666" w:type="pct"/>
            <w:tcBorders>
              <w:bottom w:val="single" w:sz="4" w:space="0" w:color="auto"/>
            </w:tcBorders>
            <w:vAlign w:val="center"/>
          </w:tcPr>
          <w:p w14:paraId="633F0DE5"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406</w:t>
            </w:r>
          </w:p>
        </w:tc>
        <w:tc>
          <w:tcPr>
            <w:tcW w:w="745" w:type="pct"/>
            <w:tcBorders>
              <w:bottom w:val="single" w:sz="4" w:space="0" w:color="auto"/>
            </w:tcBorders>
            <w:vAlign w:val="center"/>
          </w:tcPr>
          <w:p w14:paraId="0504F053"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52,680.49</w:t>
            </w:r>
          </w:p>
        </w:tc>
        <w:tc>
          <w:tcPr>
            <w:tcW w:w="952" w:type="pct"/>
            <w:tcBorders>
              <w:bottom w:val="single" w:sz="4" w:space="0" w:color="auto"/>
            </w:tcBorders>
            <w:vAlign w:val="center"/>
          </w:tcPr>
          <w:p w14:paraId="2984435F"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63,740.185</w:t>
            </w:r>
          </w:p>
        </w:tc>
        <w:tc>
          <w:tcPr>
            <w:tcW w:w="888" w:type="pct"/>
            <w:tcBorders>
              <w:bottom w:val="single" w:sz="4" w:space="0" w:color="auto"/>
            </w:tcBorders>
            <w:vAlign w:val="center"/>
          </w:tcPr>
          <w:p w14:paraId="52195539" w14:textId="77777777" w:rsidR="003A6141" w:rsidRPr="00DB74D4" w:rsidRDefault="003A6141" w:rsidP="003A6141">
            <w:pPr>
              <w:ind w:right="-46"/>
              <w:jc w:val="center"/>
              <w:rPr>
                <w:rFonts w:ascii="Adobe Garamond Pro" w:hAnsi="Adobe Garamond Pro"/>
                <w:sz w:val="16"/>
                <w:szCs w:val="16"/>
              </w:rPr>
            </w:pPr>
            <w:r w:rsidRPr="00DB74D4">
              <w:rPr>
                <w:rFonts w:ascii="Adobe Garamond Pro" w:hAnsi="Adobe Garamond Pro"/>
                <w:sz w:val="16"/>
                <w:szCs w:val="16"/>
              </w:rPr>
              <w:t>3163.372</w:t>
            </w:r>
          </w:p>
        </w:tc>
      </w:tr>
    </w:tbl>
    <w:p w14:paraId="351BA9BF" w14:textId="77777777" w:rsidR="003A6141" w:rsidRPr="00502714" w:rsidRDefault="003A6141" w:rsidP="003A6141">
      <w:pPr>
        <w:ind w:right="-46"/>
        <w:jc w:val="both"/>
        <w:rPr>
          <w:rFonts w:ascii="Adobe Garamond Pro" w:hAnsi="Adobe Garamond Pro"/>
        </w:rPr>
      </w:pPr>
    </w:p>
    <w:p w14:paraId="014BCD12" w14:textId="77777777" w:rsidR="003A6141" w:rsidRPr="00BD6374" w:rsidRDefault="003A6141" w:rsidP="00BD6374">
      <w:pPr>
        <w:spacing w:before="120" w:after="120" w:line="360" w:lineRule="auto"/>
        <w:ind w:right="-46"/>
        <w:jc w:val="both"/>
        <w:rPr>
          <w:rFonts w:ascii="Sylfaen" w:hAnsi="Sylfaen"/>
          <w:color w:val="000000" w:themeColor="text1"/>
        </w:rPr>
      </w:pPr>
      <w:r w:rsidRPr="00BD6374">
        <w:rPr>
          <w:rFonts w:ascii="Sylfaen" w:hAnsi="Sylfaen"/>
          <w:color w:val="000000" w:themeColor="text1"/>
        </w:rPr>
        <w:t xml:space="preserve">Both sales saw an increase in their mean sale price from 2004 to 2005 despite the sample numbers decreasing. The mean sale price increased by 7,790.20 </w:t>
      </w:r>
      <w:proofErr w:type="spellStart"/>
      <w:r w:rsidRPr="00BD6374">
        <w:rPr>
          <w:rFonts w:ascii="Sylfaen" w:hAnsi="Sylfaen"/>
          <w:color w:val="000000" w:themeColor="text1"/>
        </w:rPr>
        <w:t>gns</w:t>
      </w:r>
      <w:proofErr w:type="spellEnd"/>
      <w:r w:rsidRPr="00BD6374">
        <w:rPr>
          <w:rFonts w:ascii="Sylfaen" w:hAnsi="Sylfaen"/>
          <w:color w:val="000000" w:themeColor="text1"/>
        </w:rPr>
        <w:t xml:space="preserve"> and 24,869.01 </w:t>
      </w:r>
      <w:proofErr w:type="spellStart"/>
      <w:r w:rsidRPr="00BD6374">
        <w:rPr>
          <w:rFonts w:ascii="Sylfaen" w:hAnsi="Sylfaen"/>
          <w:color w:val="000000" w:themeColor="text1"/>
        </w:rPr>
        <w:t>gns</w:t>
      </w:r>
      <w:proofErr w:type="spellEnd"/>
      <w:r w:rsidRPr="00BD6374">
        <w:rPr>
          <w:rFonts w:ascii="Sylfaen" w:hAnsi="Sylfaen"/>
          <w:color w:val="000000" w:themeColor="text1"/>
        </w:rPr>
        <w:t xml:space="preserve"> for Tattersalls and </w:t>
      </w: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respectively from 2004 to 2005. The mean sale price varied amongst individual sales; however, Tattersalls October Sale Part 1 had the largest mean sale price for both 2004 (95,006.31 </w:t>
      </w:r>
      <w:proofErr w:type="spellStart"/>
      <w:r w:rsidRPr="00BD6374">
        <w:rPr>
          <w:rFonts w:ascii="Sylfaen" w:hAnsi="Sylfaen"/>
          <w:color w:val="000000" w:themeColor="text1"/>
        </w:rPr>
        <w:t>gns</w:t>
      </w:r>
      <w:proofErr w:type="spellEnd"/>
      <w:r w:rsidRPr="00BD6374">
        <w:rPr>
          <w:rFonts w:ascii="Sylfaen" w:hAnsi="Sylfaen"/>
          <w:color w:val="000000" w:themeColor="text1"/>
        </w:rPr>
        <w:t xml:space="preserve">) and 2005 (104,890.51 </w:t>
      </w:r>
      <w:proofErr w:type="spellStart"/>
      <w:r w:rsidRPr="00BD6374">
        <w:rPr>
          <w:rFonts w:ascii="Sylfaen" w:hAnsi="Sylfaen"/>
          <w:color w:val="000000" w:themeColor="text1"/>
        </w:rPr>
        <w:t>gns</w:t>
      </w:r>
      <w:proofErr w:type="spellEnd"/>
      <w:r w:rsidRPr="00BD6374">
        <w:rPr>
          <w:rFonts w:ascii="Sylfaen" w:hAnsi="Sylfaen"/>
          <w:color w:val="000000" w:themeColor="text1"/>
        </w:rPr>
        <w:t xml:space="preserve">). </w:t>
      </w: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Millions Sale 2005 had the highest mean sale price (77,725.24 </w:t>
      </w:r>
      <w:proofErr w:type="spellStart"/>
      <w:r w:rsidRPr="00BD6374">
        <w:rPr>
          <w:rFonts w:ascii="Sylfaen" w:hAnsi="Sylfaen"/>
          <w:color w:val="000000" w:themeColor="text1"/>
        </w:rPr>
        <w:t>gns</w:t>
      </w:r>
      <w:proofErr w:type="spellEnd"/>
      <w:r w:rsidRPr="00BD6374">
        <w:rPr>
          <w:rFonts w:ascii="Sylfaen" w:hAnsi="Sylfaen"/>
          <w:color w:val="000000" w:themeColor="text1"/>
        </w:rPr>
        <w:t xml:space="preserve">) amongst the </w:t>
      </w: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yearling sales in 2004 and 2005. </w:t>
      </w:r>
    </w:p>
    <w:p w14:paraId="27C02174" w14:textId="77777777" w:rsidR="003A6141" w:rsidRPr="00BD6374" w:rsidRDefault="003A6141" w:rsidP="00BD6374">
      <w:pPr>
        <w:spacing w:before="120" w:after="120" w:line="360" w:lineRule="auto"/>
        <w:ind w:right="-46"/>
        <w:jc w:val="both"/>
        <w:rPr>
          <w:rFonts w:ascii="Sylfaen" w:hAnsi="Sylfaen"/>
          <w:color w:val="000000" w:themeColor="text1"/>
        </w:rPr>
      </w:pPr>
      <w:r w:rsidRPr="00BD6374">
        <w:rPr>
          <w:rFonts w:ascii="Sylfaen" w:hAnsi="Sylfaen"/>
          <w:color w:val="000000" w:themeColor="text1"/>
        </w:rPr>
        <w:t xml:space="preserve">The sale prices of all 1,735 yearlings included in this study, sold from both Tattersalls and </w:t>
      </w: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in 2004 and 2005, did not follow a normal distribution and produced a Pearson’s Skewness value of 4.524. The yearling sale prices were transformed using a log transformation and the log of the yearling sale prices had a Pearson’s skewness value of -0.255, therefore following a normal distribution. </w:t>
      </w:r>
    </w:p>
    <w:p w14:paraId="10D02FC4" w14:textId="77777777" w:rsidR="003A6141" w:rsidRPr="00BD6374" w:rsidRDefault="003A6141" w:rsidP="00BD6374">
      <w:pPr>
        <w:spacing w:before="120" w:after="120" w:line="360" w:lineRule="auto"/>
        <w:ind w:right="-46"/>
        <w:jc w:val="both"/>
        <w:rPr>
          <w:rFonts w:ascii="Sylfaen" w:hAnsi="Sylfaen"/>
          <w:color w:val="000000" w:themeColor="text1"/>
        </w:rPr>
      </w:pPr>
    </w:p>
    <w:p w14:paraId="31D2B866" w14:textId="6E1D89C7" w:rsidR="003A6141" w:rsidRDefault="003A6141" w:rsidP="00BD6374">
      <w:pPr>
        <w:spacing w:before="120" w:after="120" w:line="360" w:lineRule="auto"/>
        <w:ind w:right="-46"/>
        <w:jc w:val="both"/>
        <w:rPr>
          <w:rFonts w:ascii="Sylfaen" w:hAnsi="Sylfaen"/>
          <w:color w:val="000000" w:themeColor="text1"/>
        </w:rPr>
      </w:pPr>
      <w:r w:rsidRPr="00BD6374">
        <w:rPr>
          <w:rFonts w:ascii="Sylfaen" w:hAnsi="Sylfaen"/>
          <w:color w:val="000000" w:themeColor="text1"/>
        </w:rPr>
        <w:lastRenderedPageBreak/>
        <w:t xml:space="preserve">The Pearson’s skewness values for the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ratings of yearlings sold at Tattersalls and </w:t>
      </w: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were 0.364 and 0.361 respectively, thus following a normal distribution.</w:t>
      </w:r>
    </w:p>
    <w:p w14:paraId="7E3B9A7D" w14:textId="77777777" w:rsidR="00BD6374" w:rsidRPr="00BD6374" w:rsidRDefault="00BD6374" w:rsidP="00BD6374">
      <w:pPr>
        <w:spacing w:before="120" w:after="120" w:line="360" w:lineRule="auto"/>
        <w:ind w:right="-46"/>
        <w:jc w:val="both"/>
        <w:rPr>
          <w:rFonts w:ascii="Sylfaen" w:hAnsi="Sylfaen"/>
          <w:color w:val="000000" w:themeColor="text1"/>
        </w:rPr>
      </w:pPr>
    </w:p>
    <w:p w14:paraId="7BF8E78F" w14:textId="7B83FE70" w:rsidR="003A6141" w:rsidRPr="00BD6374" w:rsidRDefault="003A6141" w:rsidP="00BD6374">
      <w:pPr>
        <w:pStyle w:val="Heading2"/>
        <w:spacing w:before="120" w:after="120" w:line="360" w:lineRule="auto"/>
        <w:rPr>
          <w:rFonts w:ascii="Sylfaen" w:hAnsi="Sylfaen"/>
          <w:i/>
          <w:iCs/>
          <w:color w:val="000000" w:themeColor="text1"/>
          <w:sz w:val="22"/>
          <w:szCs w:val="22"/>
        </w:rPr>
      </w:pPr>
      <w:r w:rsidRPr="00BD6374">
        <w:rPr>
          <w:rFonts w:ascii="Sylfaen" w:hAnsi="Sylfaen"/>
          <w:i/>
          <w:iCs/>
          <w:color w:val="000000" w:themeColor="text1"/>
          <w:sz w:val="22"/>
          <w:szCs w:val="22"/>
        </w:rPr>
        <w:t xml:space="preserve">End-of-year </w:t>
      </w:r>
      <w:proofErr w:type="spellStart"/>
      <w:r w:rsidRPr="00BD6374">
        <w:rPr>
          <w:rFonts w:ascii="Sylfaen" w:hAnsi="Sylfaen"/>
          <w:i/>
          <w:iCs/>
          <w:color w:val="000000" w:themeColor="text1"/>
          <w:sz w:val="22"/>
          <w:szCs w:val="22"/>
        </w:rPr>
        <w:t>Timeform</w:t>
      </w:r>
      <w:proofErr w:type="spellEnd"/>
      <w:r w:rsidRPr="00BD6374">
        <w:rPr>
          <w:rFonts w:ascii="Sylfaen" w:hAnsi="Sylfaen"/>
          <w:i/>
          <w:iCs/>
          <w:color w:val="000000" w:themeColor="text1"/>
          <w:sz w:val="22"/>
          <w:szCs w:val="22"/>
        </w:rPr>
        <w:t xml:space="preserve"> ratings</w:t>
      </w:r>
    </w:p>
    <w:p w14:paraId="16D8563B" w14:textId="77777777" w:rsidR="003A6141" w:rsidRPr="00BD6374" w:rsidRDefault="003A6141" w:rsidP="00BD6374">
      <w:pPr>
        <w:spacing w:before="120" w:after="120" w:line="360" w:lineRule="auto"/>
        <w:ind w:right="-46"/>
        <w:jc w:val="both"/>
        <w:rPr>
          <w:rFonts w:ascii="Sylfaen" w:hAnsi="Sylfaen"/>
          <w:color w:val="000000" w:themeColor="text1"/>
        </w:rPr>
      </w:pPr>
      <w:r w:rsidRPr="00BD6374">
        <w:rPr>
          <w:rFonts w:ascii="Sylfaen" w:hAnsi="Sylfaen"/>
          <w:color w:val="000000" w:themeColor="text1"/>
        </w:rPr>
        <w:t xml:space="preserve">Little variation was seen in the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ratings (age three) between those yearlings sold from Tattersalls in 2004 and 2005 and those sold from </w:t>
      </w: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(Table 3). </w:t>
      </w:r>
    </w:p>
    <w:p w14:paraId="0470E3E3" w14:textId="77777777" w:rsidR="003A6141" w:rsidRPr="00502714" w:rsidRDefault="003A6141" w:rsidP="003A6141">
      <w:pPr>
        <w:ind w:right="-46"/>
        <w:jc w:val="both"/>
        <w:rPr>
          <w:rFonts w:ascii="Adobe Garamond Pro" w:hAnsi="Adobe Garamond Pro"/>
        </w:rPr>
      </w:pPr>
    </w:p>
    <w:p w14:paraId="1C923975" w14:textId="77777777" w:rsidR="003A6141" w:rsidRPr="00502714" w:rsidRDefault="003A6141" w:rsidP="003A6141">
      <w:pPr>
        <w:ind w:right="-46"/>
        <w:jc w:val="both"/>
        <w:rPr>
          <w:rFonts w:ascii="Adobe Garamond Pro" w:hAnsi="Adobe Garamond Pro"/>
        </w:rPr>
      </w:pPr>
    </w:p>
    <w:p w14:paraId="3E17DB4B" w14:textId="37C3C4DE" w:rsidR="00BD6374" w:rsidRPr="00BD6374" w:rsidRDefault="00BD6374" w:rsidP="00BD6374">
      <w:pPr>
        <w:pStyle w:val="Caption"/>
        <w:keepNext/>
        <w:jc w:val="center"/>
        <w:rPr>
          <w:color w:val="000000" w:themeColor="text1"/>
        </w:rPr>
      </w:pPr>
      <w:r w:rsidRPr="00BD6374">
        <w:rPr>
          <w:color w:val="000000" w:themeColor="text1"/>
        </w:rPr>
        <w:t xml:space="preserve">Table </w:t>
      </w:r>
      <w:r w:rsidRPr="00BD6374">
        <w:rPr>
          <w:color w:val="000000" w:themeColor="text1"/>
        </w:rPr>
        <w:fldChar w:fldCharType="begin"/>
      </w:r>
      <w:r w:rsidRPr="00BD6374">
        <w:rPr>
          <w:color w:val="000000" w:themeColor="text1"/>
        </w:rPr>
        <w:instrText xml:space="preserve"> SEQ Table \* ARABIC </w:instrText>
      </w:r>
      <w:r w:rsidRPr="00BD6374">
        <w:rPr>
          <w:color w:val="000000" w:themeColor="text1"/>
        </w:rPr>
        <w:fldChar w:fldCharType="separate"/>
      </w:r>
      <w:r w:rsidRPr="00BD6374">
        <w:rPr>
          <w:noProof/>
          <w:color w:val="000000" w:themeColor="text1"/>
        </w:rPr>
        <w:t>3</w:t>
      </w:r>
      <w:r w:rsidRPr="00BD6374">
        <w:rPr>
          <w:color w:val="000000" w:themeColor="text1"/>
        </w:rPr>
        <w:fldChar w:fldCharType="end"/>
      </w:r>
      <w:r w:rsidRPr="00BD6374">
        <w:rPr>
          <w:color w:val="000000" w:themeColor="text1"/>
        </w:rPr>
        <w:t xml:space="preserve">:Descriptive statistics and measures of dispersion: </w:t>
      </w:r>
      <w:proofErr w:type="spellStart"/>
      <w:r w:rsidRPr="00BD6374">
        <w:rPr>
          <w:color w:val="000000" w:themeColor="text1"/>
        </w:rPr>
        <w:t>Timeform</w:t>
      </w:r>
      <w:proofErr w:type="spellEnd"/>
      <w:r w:rsidRPr="00BD6374">
        <w:rPr>
          <w:color w:val="000000" w:themeColor="text1"/>
        </w:rPr>
        <w:t xml:space="preserve"> ratings at the age of three years</w:t>
      </w:r>
    </w:p>
    <w:tbl>
      <w:tblPr>
        <w:tblStyle w:val="TableGrid"/>
        <w:tblW w:w="5580" w:type="dxa"/>
        <w:jc w:val="center"/>
        <w:tblLook w:val="01E0" w:firstRow="1" w:lastRow="1" w:firstColumn="1" w:lastColumn="1" w:noHBand="0" w:noVBand="0"/>
      </w:tblPr>
      <w:tblGrid>
        <w:gridCol w:w="1282"/>
        <w:gridCol w:w="887"/>
        <w:gridCol w:w="1105"/>
        <w:gridCol w:w="1070"/>
        <w:gridCol w:w="1236"/>
      </w:tblGrid>
      <w:tr w:rsidR="003A6141" w:rsidRPr="00DC1EF1" w14:paraId="0237B49E" w14:textId="77777777" w:rsidTr="00BD6374">
        <w:trPr>
          <w:trHeight w:val="631"/>
          <w:jc w:val="center"/>
        </w:trPr>
        <w:tc>
          <w:tcPr>
            <w:tcW w:w="2169" w:type="dxa"/>
            <w:gridSpan w:val="2"/>
            <w:tcBorders>
              <w:top w:val="single" w:sz="4" w:space="0" w:color="auto"/>
              <w:bottom w:val="single" w:sz="4" w:space="0" w:color="auto"/>
            </w:tcBorders>
            <w:vAlign w:val="center"/>
          </w:tcPr>
          <w:p w14:paraId="30B2F939" w14:textId="77777777" w:rsidR="003A6141" w:rsidRPr="00DC1EF1" w:rsidRDefault="003A6141" w:rsidP="003A6141">
            <w:pPr>
              <w:ind w:right="-46"/>
              <w:jc w:val="center"/>
              <w:rPr>
                <w:rFonts w:ascii="Adobe Garamond Pro" w:hAnsi="Adobe Garamond Pro"/>
                <w:b/>
                <w:sz w:val="16"/>
                <w:szCs w:val="16"/>
              </w:rPr>
            </w:pPr>
            <w:r w:rsidRPr="00DC1EF1">
              <w:rPr>
                <w:rFonts w:ascii="Adobe Garamond Pro" w:hAnsi="Adobe Garamond Pro"/>
                <w:b/>
                <w:sz w:val="16"/>
                <w:szCs w:val="16"/>
              </w:rPr>
              <w:t>Sale name and year</w:t>
            </w:r>
          </w:p>
        </w:tc>
        <w:tc>
          <w:tcPr>
            <w:tcW w:w="1105" w:type="dxa"/>
            <w:tcBorders>
              <w:top w:val="single" w:sz="4" w:space="0" w:color="auto"/>
              <w:bottom w:val="single" w:sz="4" w:space="0" w:color="auto"/>
            </w:tcBorders>
            <w:vAlign w:val="center"/>
          </w:tcPr>
          <w:p w14:paraId="5D0FD0A1" w14:textId="77777777" w:rsidR="003A6141" w:rsidRDefault="003A6141" w:rsidP="003A6141">
            <w:pPr>
              <w:ind w:right="-46"/>
              <w:jc w:val="center"/>
              <w:rPr>
                <w:rFonts w:ascii="Adobe Garamond Pro" w:hAnsi="Adobe Garamond Pro"/>
                <w:b/>
                <w:sz w:val="16"/>
                <w:szCs w:val="16"/>
              </w:rPr>
            </w:pPr>
            <w:r w:rsidRPr="00DC1EF1">
              <w:rPr>
                <w:rFonts w:ascii="Adobe Garamond Pro" w:hAnsi="Adobe Garamond Pro"/>
                <w:b/>
                <w:sz w:val="16"/>
                <w:szCs w:val="16"/>
              </w:rPr>
              <w:t xml:space="preserve">Mean </w:t>
            </w:r>
          </w:p>
          <w:p w14:paraId="42C390EC" w14:textId="77777777" w:rsidR="003A6141" w:rsidRDefault="003A6141" w:rsidP="003A6141">
            <w:pPr>
              <w:ind w:right="-46"/>
              <w:jc w:val="center"/>
              <w:rPr>
                <w:rFonts w:ascii="Adobe Garamond Pro" w:hAnsi="Adobe Garamond Pro"/>
                <w:b/>
                <w:sz w:val="16"/>
                <w:szCs w:val="16"/>
              </w:rPr>
            </w:pPr>
            <w:proofErr w:type="spellStart"/>
            <w:r w:rsidRPr="00DC1EF1">
              <w:rPr>
                <w:rFonts w:ascii="Adobe Garamond Pro" w:hAnsi="Adobe Garamond Pro"/>
                <w:b/>
                <w:sz w:val="16"/>
                <w:szCs w:val="16"/>
              </w:rPr>
              <w:t>Timeform</w:t>
            </w:r>
            <w:proofErr w:type="spellEnd"/>
            <w:r w:rsidRPr="00DC1EF1">
              <w:rPr>
                <w:rFonts w:ascii="Adobe Garamond Pro" w:hAnsi="Adobe Garamond Pro"/>
                <w:b/>
                <w:sz w:val="16"/>
                <w:szCs w:val="16"/>
              </w:rPr>
              <w:t xml:space="preserve"> </w:t>
            </w:r>
          </w:p>
          <w:p w14:paraId="639B7ECE" w14:textId="77777777" w:rsidR="003A6141" w:rsidRPr="00DC1EF1" w:rsidRDefault="003A6141" w:rsidP="003A6141">
            <w:pPr>
              <w:ind w:right="-46"/>
              <w:jc w:val="center"/>
              <w:rPr>
                <w:rFonts w:ascii="Adobe Garamond Pro" w:hAnsi="Adobe Garamond Pro"/>
                <w:b/>
                <w:sz w:val="16"/>
                <w:szCs w:val="16"/>
              </w:rPr>
            </w:pPr>
            <w:r w:rsidRPr="00DC1EF1">
              <w:rPr>
                <w:rFonts w:ascii="Adobe Garamond Pro" w:hAnsi="Adobe Garamond Pro"/>
                <w:b/>
                <w:sz w:val="16"/>
                <w:szCs w:val="16"/>
              </w:rPr>
              <w:t>Rating</w:t>
            </w:r>
          </w:p>
        </w:tc>
        <w:tc>
          <w:tcPr>
            <w:tcW w:w="1070" w:type="dxa"/>
            <w:tcBorders>
              <w:top w:val="single" w:sz="4" w:space="0" w:color="auto"/>
              <w:bottom w:val="single" w:sz="4" w:space="0" w:color="auto"/>
            </w:tcBorders>
            <w:vAlign w:val="center"/>
          </w:tcPr>
          <w:p w14:paraId="5F5C9334" w14:textId="77777777" w:rsidR="003A6141" w:rsidRDefault="003A6141" w:rsidP="003A6141">
            <w:pPr>
              <w:ind w:right="-46"/>
              <w:jc w:val="center"/>
              <w:rPr>
                <w:rFonts w:ascii="Adobe Garamond Pro" w:hAnsi="Adobe Garamond Pro"/>
                <w:b/>
                <w:sz w:val="16"/>
                <w:szCs w:val="16"/>
              </w:rPr>
            </w:pPr>
            <w:r w:rsidRPr="00DC1EF1">
              <w:rPr>
                <w:rFonts w:ascii="Adobe Garamond Pro" w:hAnsi="Adobe Garamond Pro"/>
                <w:b/>
                <w:sz w:val="16"/>
                <w:szCs w:val="16"/>
              </w:rPr>
              <w:t xml:space="preserve">Standard </w:t>
            </w:r>
          </w:p>
          <w:p w14:paraId="7D882115" w14:textId="77777777" w:rsidR="003A6141" w:rsidRPr="00DC1EF1" w:rsidRDefault="003A6141" w:rsidP="003A6141">
            <w:pPr>
              <w:ind w:right="-46"/>
              <w:jc w:val="center"/>
              <w:rPr>
                <w:rFonts w:ascii="Adobe Garamond Pro" w:hAnsi="Adobe Garamond Pro"/>
                <w:b/>
                <w:sz w:val="16"/>
                <w:szCs w:val="16"/>
              </w:rPr>
            </w:pPr>
            <w:r w:rsidRPr="00DC1EF1">
              <w:rPr>
                <w:rFonts w:ascii="Adobe Garamond Pro" w:hAnsi="Adobe Garamond Pro"/>
                <w:b/>
                <w:sz w:val="16"/>
                <w:szCs w:val="16"/>
              </w:rPr>
              <w:t>deviation</w:t>
            </w:r>
          </w:p>
        </w:tc>
        <w:tc>
          <w:tcPr>
            <w:tcW w:w="1236" w:type="dxa"/>
            <w:tcBorders>
              <w:top w:val="single" w:sz="4" w:space="0" w:color="auto"/>
              <w:bottom w:val="single" w:sz="4" w:space="0" w:color="auto"/>
            </w:tcBorders>
            <w:vAlign w:val="center"/>
          </w:tcPr>
          <w:p w14:paraId="6A6A11BF" w14:textId="77777777" w:rsidR="003A6141" w:rsidRPr="00DC1EF1" w:rsidRDefault="003A6141" w:rsidP="003A6141">
            <w:pPr>
              <w:ind w:right="-46"/>
              <w:jc w:val="center"/>
              <w:rPr>
                <w:rFonts w:ascii="Adobe Garamond Pro" w:hAnsi="Adobe Garamond Pro"/>
                <w:b/>
                <w:sz w:val="16"/>
                <w:szCs w:val="16"/>
              </w:rPr>
            </w:pPr>
            <w:r w:rsidRPr="00DC1EF1">
              <w:rPr>
                <w:rFonts w:ascii="Adobe Garamond Pro" w:hAnsi="Adobe Garamond Pro"/>
                <w:b/>
                <w:sz w:val="16"/>
                <w:szCs w:val="16"/>
              </w:rPr>
              <w:t>Standard error</w:t>
            </w:r>
          </w:p>
        </w:tc>
      </w:tr>
      <w:tr w:rsidR="003A6141" w:rsidRPr="00DC1EF1" w14:paraId="2FC3D470" w14:textId="77777777" w:rsidTr="00BD6374">
        <w:trPr>
          <w:trHeight w:val="653"/>
          <w:jc w:val="center"/>
        </w:trPr>
        <w:tc>
          <w:tcPr>
            <w:tcW w:w="1282" w:type="dxa"/>
            <w:vMerge w:val="restart"/>
            <w:tcBorders>
              <w:top w:val="single" w:sz="4" w:space="0" w:color="auto"/>
              <w:bottom w:val="single" w:sz="4" w:space="0" w:color="auto"/>
            </w:tcBorders>
            <w:vAlign w:val="center"/>
          </w:tcPr>
          <w:p w14:paraId="2E18B7EA"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Tattersalls Yearling Sales</w:t>
            </w:r>
          </w:p>
        </w:tc>
        <w:tc>
          <w:tcPr>
            <w:tcW w:w="887" w:type="dxa"/>
            <w:tcBorders>
              <w:top w:val="single" w:sz="4" w:space="0" w:color="auto"/>
            </w:tcBorders>
            <w:vAlign w:val="center"/>
          </w:tcPr>
          <w:p w14:paraId="05544D6D" w14:textId="77777777" w:rsidR="003A6141" w:rsidRPr="00DC1EF1" w:rsidRDefault="003A6141" w:rsidP="003A6141">
            <w:pPr>
              <w:ind w:right="-46"/>
              <w:jc w:val="center"/>
              <w:rPr>
                <w:rFonts w:ascii="Adobe Garamond Pro" w:hAnsi="Adobe Garamond Pro"/>
                <w:sz w:val="16"/>
                <w:szCs w:val="16"/>
              </w:rPr>
            </w:pPr>
          </w:p>
          <w:p w14:paraId="0E2B08AC"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2004</w:t>
            </w:r>
          </w:p>
          <w:p w14:paraId="23F85932" w14:textId="77777777" w:rsidR="003A6141" w:rsidRPr="00DC1EF1" w:rsidRDefault="003A6141" w:rsidP="003A6141">
            <w:pPr>
              <w:ind w:right="-46"/>
              <w:jc w:val="center"/>
              <w:rPr>
                <w:rFonts w:ascii="Adobe Garamond Pro" w:hAnsi="Adobe Garamond Pro"/>
                <w:sz w:val="16"/>
                <w:szCs w:val="16"/>
              </w:rPr>
            </w:pPr>
          </w:p>
        </w:tc>
        <w:tc>
          <w:tcPr>
            <w:tcW w:w="1105" w:type="dxa"/>
            <w:tcBorders>
              <w:top w:val="single" w:sz="4" w:space="0" w:color="auto"/>
            </w:tcBorders>
            <w:vAlign w:val="center"/>
          </w:tcPr>
          <w:p w14:paraId="09829B2C"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78</w:t>
            </w:r>
          </w:p>
        </w:tc>
        <w:tc>
          <w:tcPr>
            <w:tcW w:w="1070" w:type="dxa"/>
            <w:tcBorders>
              <w:top w:val="single" w:sz="4" w:space="0" w:color="auto"/>
            </w:tcBorders>
            <w:vAlign w:val="center"/>
          </w:tcPr>
          <w:p w14:paraId="7287AFD0"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19</w:t>
            </w:r>
          </w:p>
        </w:tc>
        <w:tc>
          <w:tcPr>
            <w:tcW w:w="1236" w:type="dxa"/>
            <w:tcBorders>
              <w:top w:val="single" w:sz="4" w:space="0" w:color="auto"/>
            </w:tcBorders>
            <w:vAlign w:val="center"/>
          </w:tcPr>
          <w:p w14:paraId="5A70ADAE"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0.706</w:t>
            </w:r>
          </w:p>
        </w:tc>
      </w:tr>
      <w:tr w:rsidR="003A6141" w:rsidRPr="00DC1EF1" w14:paraId="5A76A3C8" w14:textId="77777777" w:rsidTr="00BD6374">
        <w:trPr>
          <w:trHeight w:val="808"/>
          <w:jc w:val="center"/>
        </w:trPr>
        <w:tc>
          <w:tcPr>
            <w:tcW w:w="1282" w:type="dxa"/>
            <w:vMerge/>
            <w:tcBorders>
              <w:bottom w:val="single" w:sz="4" w:space="0" w:color="auto"/>
            </w:tcBorders>
            <w:vAlign w:val="center"/>
          </w:tcPr>
          <w:p w14:paraId="06B99991" w14:textId="77777777" w:rsidR="003A6141" w:rsidRPr="00DC1EF1" w:rsidRDefault="003A6141" w:rsidP="003A6141">
            <w:pPr>
              <w:ind w:right="-46"/>
              <w:jc w:val="center"/>
              <w:rPr>
                <w:rFonts w:ascii="Adobe Garamond Pro" w:hAnsi="Adobe Garamond Pro"/>
                <w:color w:val="FF0000"/>
                <w:sz w:val="16"/>
                <w:szCs w:val="16"/>
              </w:rPr>
            </w:pPr>
          </w:p>
        </w:tc>
        <w:tc>
          <w:tcPr>
            <w:tcW w:w="887" w:type="dxa"/>
            <w:vAlign w:val="center"/>
          </w:tcPr>
          <w:p w14:paraId="19451117" w14:textId="77777777" w:rsidR="003A6141" w:rsidRPr="00DC1EF1" w:rsidRDefault="003A6141" w:rsidP="003A6141">
            <w:pPr>
              <w:ind w:right="-46"/>
              <w:jc w:val="center"/>
              <w:rPr>
                <w:rFonts w:ascii="Adobe Garamond Pro" w:hAnsi="Adobe Garamond Pro"/>
                <w:sz w:val="16"/>
                <w:szCs w:val="16"/>
              </w:rPr>
            </w:pPr>
          </w:p>
          <w:p w14:paraId="09AD68CA"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2005</w:t>
            </w:r>
          </w:p>
          <w:p w14:paraId="5C99C128" w14:textId="77777777" w:rsidR="003A6141" w:rsidRPr="00DC1EF1" w:rsidRDefault="003A6141" w:rsidP="003A6141">
            <w:pPr>
              <w:ind w:right="-46"/>
              <w:jc w:val="center"/>
              <w:rPr>
                <w:rFonts w:ascii="Adobe Garamond Pro" w:hAnsi="Adobe Garamond Pro"/>
                <w:sz w:val="16"/>
                <w:szCs w:val="16"/>
              </w:rPr>
            </w:pPr>
          </w:p>
        </w:tc>
        <w:tc>
          <w:tcPr>
            <w:tcW w:w="1105" w:type="dxa"/>
            <w:vAlign w:val="center"/>
          </w:tcPr>
          <w:p w14:paraId="11940914"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77</w:t>
            </w:r>
          </w:p>
        </w:tc>
        <w:tc>
          <w:tcPr>
            <w:tcW w:w="1070" w:type="dxa"/>
            <w:vAlign w:val="center"/>
          </w:tcPr>
          <w:p w14:paraId="772D0D2B"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18</w:t>
            </w:r>
          </w:p>
        </w:tc>
        <w:tc>
          <w:tcPr>
            <w:tcW w:w="1236" w:type="dxa"/>
            <w:vAlign w:val="center"/>
          </w:tcPr>
          <w:p w14:paraId="165F20B6"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0.725</w:t>
            </w:r>
          </w:p>
        </w:tc>
      </w:tr>
      <w:tr w:rsidR="003A6141" w:rsidRPr="00DC1EF1" w14:paraId="7FF8854D" w14:textId="77777777" w:rsidTr="00BD6374">
        <w:trPr>
          <w:trHeight w:val="784"/>
          <w:jc w:val="center"/>
        </w:trPr>
        <w:tc>
          <w:tcPr>
            <w:tcW w:w="1282" w:type="dxa"/>
            <w:vMerge/>
            <w:tcBorders>
              <w:bottom w:val="single" w:sz="4" w:space="0" w:color="auto"/>
            </w:tcBorders>
            <w:vAlign w:val="center"/>
          </w:tcPr>
          <w:p w14:paraId="14761C4E" w14:textId="77777777" w:rsidR="003A6141" w:rsidRPr="00DC1EF1" w:rsidRDefault="003A6141" w:rsidP="003A6141">
            <w:pPr>
              <w:ind w:right="-46"/>
              <w:jc w:val="center"/>
              <w:rPr>
                <w:rFonts w:ascii="Adobe Garamond Pro" w:hAnsi="Adobe Garamond Pro"/>
                <w:color w:val="FF0000"/>
                <w:sz w:val="16"/>
                <w:szCs w:val="16"/>
              </w:rPr>
            </w:pPr>
          </w:p>
        </w:tc>
        <w:tc>
          <w:tcPr>
            <w:tcW w:w="887" w:type="dxa"/>
            <w:tcBorders>
              <w:bottom w:val="single" w:sz="4" w:space="0" w:color="auto"/>
            </w:tcBorders>
            <w:vAlign w:val="center"/>
          </w:tcPr>
          <w:p w14:paraId="12289E5A" w14:textId="77777777" w:rsidR="003A6141" w:rsidRPr="00DC1EF1" w:rsidRDefault="003A6141" w:rsidP="003A6141">
            <w:pPr>
              <w:ind w:right="-46"/>
              <w:jc w:val="center"/>
              <w:rPr>
                <w:rFonts w:ascii="Adobe Garamond Pro" w:hAnsi="Adobe Garamond Pro"/>
                <w:sz w:val="16"/>
                <w:szCs w:val="16"/>
              </w:rPr>
            </w:pPr>
          </w:p>
          <w:p w14:paraId="3B4F9725"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Total</w:t>
            </w:r>
          </w:p>
          <w:p w14:paraId="776645F9" w14:textId="77777777" w:rsidR="003A6141" w:rsidRPr="00DC1EF1" w:rsidRDefault="003A6141" w:rsidP="003A6141">
            <w:pPr>
              <w:ind w:right="-46"/>
              <w:jc w:val="center"/>
              <w:rPr>
                <w:rFonts w:ascii="Adobe Garamond Pro" w:hAnsi="Adobe Garamond Pro"/>
                <w:sz w:val="16"/>
                <w:szCs w:val="16"/>
              </w:rPr>
            </w:pPr>
          </w:p>
        </w:tc>
        <w:tc>
          <w:tcPr>
            <w:tcW w:w="1105" w:type="dxa"/>
            <w:tcBorders>
              <w:bottom w:val="single" w:sz="4" w:space="0" w:color="auto"/>
            </w:tcBorders>
            <w:vAlign w:val="center"/>
          </w:tcPr>
          <w:p w14:paraId="29975200"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78</w:t>
            </w:r>
          </w:p>
        </w:tc>
        <w:tc>
          <w:tcPr>
            <w:tcW w:w="1070" w:type="dxa"/>
            <w:tcBorders>
              <w:bottom w:val="single" w:sz="4" w:space="0" w:color="auto"/>
            </w:tcBorders>
            <w:vAlign w:val="center"/>
          </w:tcPr>
          <w:p w14:paraId="2D319D3F"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18</w:t>
            </w:r>
          </w:p>
        </w:tc>
        <w:tc>
          <w:tcPr>
            <w:tcW w:w="1236" w:type="dxa"/>
            <w:tcBorders>
              <w:bottom w:val="single" w:sz="4" w:space="0" w:color="auto"/>
            </w:tcBorders>
            <w:vAlign w:val="center"/>
          </w:tcPr>
          <w:p w14:paraId="636A4C28"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0.506</w:t>
            </w:r>
          </w:p>
        </w:tc>
      </w:tr>
      <w:tr w:rsidR="003A6141" w:rsidRPr="00DC1EF1" w14:paraId="40FBD2A9" w14:textId="77777777" w:rsidTr="00BD6374">
        <w:trPr>
          <w:trHeight w:val="760"/>
          <w:jc w:val="center"/>
        </w:trPr>
        <w:tc>
          <w:tcPr>
            <w:tcW w:w="1282" w:type="dxa"/>
            <w:vMerge w:val="restart"/>
            <w:tcBorders>
              <w:top w:val="single" w:sz="4" w:space="0" w:color="auto"/>
              <w:bottom w:val="single" w:sz="4" w:space="0" w:color="auto"/>
            </w:tcBorders>
            <w:vAlign w:val="center"/>
          </w:tcPr>
          <w:p w14:paraId="7C1ED4F4" w14:textId="77777777" w:rsidR="003A6141" w:rsidRDefault="003A6141" w:rsidP="003A6141">
            <w:pPr>
              <w:ind w:right="-46"/>
              <w:jc w:val="center"/>
              <w:rPr>
                <w:rFonts w:ascii="Adobe Garamond Pro" w:hAnsi="Adobe Garamond Pro"/>
                <w:sz w:val="16"/>
                <w:szCs w:val="16"/>
              </w:rPr>
            </w:pPr>
            <w:proofErr w:type="spellStart"/>
            <w:r w:rsidRPr="00DC1EF1">
              <w:rPr>
                <w:rFonts w:ascii="Adobe Garamond Pro" w:hAnsi="Adobe Garamond Pro"/>
                <w:sz w:val="16"/>
                <w:szCs w:val="16"/>
              </w:rPr>
              <w:t>Goffs</w:t>
            </w:r>
            <w:proofErr w:type="spellEnd"/>
            <w:r w:rsidRPr="00DC1EF1">
              <w:rPr>
                <w:rFonts w:ascii="Adobe Garamond Pro" w:hAnsi="Adobe Garamond Pro"/>
                <w:sz w:val="16"/>
                <w:szCs w:val="16"/>
              </w:rPr>
              <w:t xml:space="preserve"> Yearling </w:t>
            </w:r>
          </w:p>
          <w:p w14:paraId="45DC89C1"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Sales</w:t>
            </w:r>
          </w:p>
        </w:tc>
        <w:tc>
          <w:tcPr>
            <w:tcW w:w="887" w:type="dxa"/>
            <w:tcBorders>
              <w:top w:val="single" w:sz="4" w:space="0" w:color="auto"/>
            </w:tcBorders>
            <w:vAlign w:val="center"/>
          </w:tcPr>
          <w:p w14:paraId="389D875B" w14:textId="77777777" w:rsidR="003A6141" w:rsidRPr="00DC1EF1" w:rsidRDefault="003A6141" w:rsidP="003A6141">
            <w:pPr>
              <w:ind w:right="-46"/>
              <w:jc w:val="center"/>
              <w:rPr>
                <w:rFonts w:ascii="Adobe Garamond Pro" w:hAnsi="Adobe Garamond Pro"/>
                <w:sz w:val="16"/>
                <w:szCs w:val="16"/>
              </w:rPr>
            </w:pPr>
          </w:p>
          <w:p w14:paraId="0E5E8A86"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2004</w:t>
            </w:r>
          </w:p>
          <w:p w14:paraId="5BF4EFB3" w14:textId="77777777" w:rsidR="003A6141" w:rsidRPr="00DC1EF1" w:rsidRDefault="003A6141" w:rsidP="003A6141">
            <w:pPr>
              <w:ind w:right="-46"/>
              <w:jc w:val="center"/>
              <w:rPr>
                <w:rFonts w:ascii="Adobe Garamond Pro" w:hAnsi="Adobe Garamond Pro"/>
                <w:sz w:val="16"/>
                <w:szCs w:val="16"/>
              </w:rPr>
            </w:pPr>
          </w:p>
        </w:tc>
        <w:tc>
          <w:tcPr>
            <w:tcW w:w="1105" w:type="dxa"/>
            <w:tcBorders>
              <w:top w:val="single" w:sz="4" w:space="0" w:color="auto"/>
            </w:tcBorders>
            <w:vAlign w:val="center"/>
          </w:tcPr>
          <w:p w14:paraId="5E9C88A2"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76</w:t>
            </w:r>
          </w:p>
        </w:tc>
        <w:tc>
          <w:tcPr>
            <w:tcW w:w="1070" w:type="dxa"/>
            <w:tcBorders>
              <w:top w:val="single" w:sz="4" w:space="0" w:color="auto"/>
            </w:tcBorders>
            <w:vAlign w:val="center"/>
          </w:tcPr>
          <w:p w14:paraId="36328A31"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19</w:t>
            </w:r>
          </w:p>
        </w:tc>
        <w:tc>
          <w:tcPr>
            <w:tcW w:w="1236" w:type="dxa"/>
            <w:tcBorders>
              <w:top w:val="single" w:sz="4" w:space="0" w:color="auto"/>
            </w:tcBorders>
            <w:vAlign w:val="center"/>
          </w:tcPr>
          <w:p w14:paraId="4BEC3D63"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1.317</w:t>
            </w:r>
          </w:p>
        </w:tc>
      </w:tr>
      <w:tr w:rsidR="003A6141" w:rsidRPr="00DC1EF1" w14:paraId="4F3B326E" w14:textId="77777777" w:rsidTr="00BD6374">
        <w:trPr>
          <w:jc w:val="center"/>
        </w:trPr>
        <w:tc>
          <w:tcPr>
            <w:tcW w:w="1282" w:type="dxa"/>
            <w:vMerge/>
            <w:tcBorders>
              <w:bottom w:val="single" w:sz="4" w:space="0" w:color="auto"/>
            </w:tcBorders>
            <w:vAlign w:val="center"/>
          </w:tcPr>
          <w:p w14:paraId="17CD731E" w14:textId="77777777" w:rsidR="003A6141" w:rsidRPr="00DC1EF1" w:rsidRDefault="003A6141" w:rsidP="003A6141">
            <w:pPr>
              <w:ind w:right="-46"/>
              <w:rPr>
                <w:rFonts w:ascii="Adobe Garamond Pro" w:hAnsi="Adobe Garamond Pro"/>
                <w:color w:val="FF0000"/>
                <w:sz w:val="16"/>
                <w:szCs w:val="16"/>
              </w:rPr>
            </w:pPr>
          </w:p>
        </w:tc>
        <w:tc>
          <w:tcPr>
            <w:tcW w:w="887" w:type="dxa"/>
            <w:vAlign w:val="center"/>
          </w:tcPr>
          <w:p w14:paraId="3FC5F195" w14:textId="77777777" w:rsidR="003A6141" w:rsidRPr="00DC1EF1" w:rsidRDefault="003A6141" w:rsidP="003A6141">
            <w:pPr>
              <w:ind w:right="-46"/>
              <w:jc w:val="center"/>
              <w:rPr>
                <w:rFonts w:ascii="Adobe Garamond Pro" w:hAnsi="Adobe Garamond Pro"/>
                <w:sz w:val="16"/>
                <w:szCs w:val="16"/>
              </w:rPr>
            </w:pPr>
          </w:p>
          <w:p w14:paraId="27D1B700"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2005</w:t>
            </w:r>
          </w:p>
          <w:p w14:paraId="3366349F" w14:textId="77777777" w:rsidR="003A6141" w:rsidRPr="00DC1EF1" w:rsidRDefault="003A6141" w:rsidP="003A6141">
            <w:pPr>
              <w:ind w:right="-46"/>
              <w:jc w:val="center"/>
              <w:rPr>
                <w:rFonts w:ascii="Adobe Garamond Pro" w:hAnsi="Adobe Garamond Pro"/>
                <w:sz w:val="16"/>
                <w:szCs w:val="16"/>
              </w:rPr>
            </w:pPr>
          </w:p>
        </w:tc>
        <w:tc>
          <w:tcPr>
            <w:tcW w:w="1105" w:type="dxa"/>
            <w:vAlign w:val="center"/>
          </w:tcPr>
          <w:p w14:paraId="72FD8562"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78</w:t>
            </w:r>
          </w:p>
        </w:tc>
        <w:tc>
          <w:tcPr>
            <w:tcW w:w="1070" w:type="dxa"/>
            <w:vAlign w:val="center"/>
          </w:tcPr>
          <w:p w14:paraId="02F307B4"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18</w:t>
            </w:r>
          </w:p>
        </w:tc>
        <w:tc>
          <w:tcPr>
            <w:tcW w:w="1236" w:type="dxa"/>
            <w:vAlign w:val="center"/>
          </w:tcPr>
          <w:p w14:paraId="407B24AF"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1.252</w:t>
            </w:r>
          </w:p>
        </w:tc>
      </w:tr>
      <w:tr w:rsidR="003A6141" w:rsidRPr="00DC1EF1" w14:paraId="367E51C3" w14:textId="77777777" w:rsidTr="00BD6374">
        <w:trPr>
          <w:jc w:val="center"/>
        </w:trPr>
        <w:tc>
          <w:tcPr>
            <w:tcW w:w="1282" w:type="dxa"/>
            <w:vMerge/>
            <w:tcBorders>
              <w:bottom w:val="single" w:sz="4" w:space="0" w:color="auto"/>
            </w:tcBorders>
            <w:vAlign w:val="center"/>
          </w:tcPr>
          <w:p w14:paraId="2D0A832C" w14:textId="77777777" w:rsidR="003A6141" w:rsidRPr="00DC1EF1" w:rsidRDefault="003A6141" w:rsidP="003A6141">
            <w:pPr>
              <w:ind w:right="-46"/>
              <w:rPr>
                <w:rFonts w:ascii="Adobe Garamond Pro" w:hAnsi="Adobe Garamond Pro"/>
                <w:color w:val="FF0000"/>
                <w:sz w:val="16"/>
                <w:szCs w:val="16"/>
              </w:rPr>
            </w:pPr>
          </w:p>
        </w:tc>
        <w:tc>
          <w:tcPr>
            <w:tcW w:w="887" w:type="dxa"/>
            <w:tcBorders>
              <w:bottom w:val="single" w:sz="4" w:space="0" w:color="auto"/>
            </w:tcBorders>
            <w:vAlign w:val="center"/>
          </w:tcPr>
          <w:p w14:paraId="07570754" w14:textId="77777777" w:rsidR="003A6141" w:rsidRPr="00DC1EF1" w:rsidRDefault="003A6141" w:rsidP="003A6141">
            <w:pPr>
              <w:ind w:right="-46"/>
              <w:jc w:val="center"/>
              <w:rPr>
                <w:rFonts w:ascii="Adobe Garamond Pro" w:hAnsi="Adobe Garamond Pro"/>
                <w:sz w:val="16"/>
                <w:szCs w:val="16"/>
              </w:rPr>
            </w:pPr>
          </w:p>
          <w:p w14:paraId="30C0DAE9"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Total</w:t>
            </w:r>
          </w:p>
          <w:p w14:paraId="719AFBBA" w14:textId="77777777" w:rsidR="003A6141" w:rsidRPr="00DC1EF1" w:rsidRDefault="003A6141" w:rsidP="003A6141">
            <w:pPr>
              <w:ind w:right="-46"/>
              <w:jc w:val="center"/>
              <w:rPr>
                <w:rFonts w:ascii="Adobe Garamond Pro" w:hAnsi="Adobe Garamond Pro"/>
                <w:sz w:val="16"/>
                <w:szCs w:val="16"/>
              </w:rPr>
            </w:pPr>
          </w:p>
        </w:tc>
        <w:tc>
          <w:tcPr>
            <w:tcW w:w="1105" w:type="dxa"/>
            <w:tcBorders>
              <w:bottom w:val="single" w:sz="4" w:space="0" w:color="auto"/>
            </w:tcBorders>
            <w:vAlign w:val="center"/>
          </w:tcPr>
          <w:p w14:paraId="61B7FBAA"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77</w:t>
            </w:r>
          </w:p>
        </w:tc>
        <w:tc>
          <w:tcPr>
            <w:tcW w:w="1070" w:type="dxa"/>
            <w:tcBorders>
              <w:bottom w:val="single" w:sz="4" w:space="0" w:color="auto"/>
            </w:tcBorders>
            <w:vAlign w:val="center"/>
          </w:tcPr>
          <w:p w14:paraId="6A3E9494"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18</w:t>
            </w:r>
          </w:p>
        </w:tc>
        <w:tc>
          <w:tcPr>
            <w:tcW w:w="1236" w:type="dxa"/>
            <w:tcBorders>
              <w:bottom w:val="single" w:sz="4" w:space="0" w:color="auto"/>
            </w:tcBorders>
            <w:vAlign w:val="center"/>
          </w:tcPr>
          <w:p w14:paraId="7DD6DA36" w14:textId="77777777" w:rsidR="003A6141" w:rsidRPr="00DC1EF1" w:rsidRDefault="003A6141" w:rsidP="003A6141">
            <w:pPr>
              <w:ind w:right="-46"/>
              <w:jc w:val="center"/>
              <w:rPr>
                <w:rFonts w:ascii="Adobe Garamond Pro" w:hAnsi="Adobe Garamond Pro"/>
                <w:sz w:val="16"/>
                <w:szCs w:val="16"/>
              </w:rPr>
            </w:pPr>
            <w:r w:rsidRPr="00DC1EF1">
              <w:rPr>
                <w:rFonts w:ascii="Adobe Garamond Pro" w:hAnsi="Adobe Garamond Pro"/>
                <w:sz w:val="16"/>
                <w:szCs w:val="16"/>
              </w:rPr>
              <w:t>0.909</w:t>
            </w:r>
          </w:p>
        </w:tc>
      </w:tr>
    </w:tbl>
    <w:p w14:paraId="27138154" w14:textId="77777777" w:rsidR="003A6141" w:rsidRPr="00502714" w:rsidRDefault="003A6141" w:rsidP="003A6141">
      <w:pPr>
        <w:ind w:right="-46"/>
        <w:jc w:val="both"/>
        <w:rPr>
          <w:rFonts w:ascii="Adobe Garamond Pro" w:hAnsi="Adobe Garamond Pro"/>
        </w:rPr>
      </w:pPr>
    </w:p>
    <w:p w14:paraId="3255450A" w14:textId="77777777" w:rsidR="003A6141" w:rsidRPr="00BD6374" w:rsidRDefault="003A6141" w:rsidP="00BD6374">
      <w:pPr>
        <w:spacing w:before="120" w:after="120" w:line="360" w:lineRule="auto"/>
        <w:ind w:right="-46"/>
        <w:jc w:val="both"/>
        <w:rPr>
          <w:rFonts w:ascii="Sylfaen" w:hAnsi="Sylfaen"/>
          <w:color w:val="000000" w:themeColor="text1"/>
        </w:rPr>
      </w:pPr>
      <w:r w:rsidRPr="00BD6374">
        <w:rPr>
          <w:rFonts w:ascii="Sylfaen" w:hAnsi="Sylfaen"/>
          <w:color w:val="000000" w:themeColor="text1"/>
        </w:rPr>
        <w:t xml:space="preserve">The mean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ratings varied more with individual sales, with yearlings sold from Tattersalls October Sale Part 1 (2004 and 2005) achieving the highest average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 at the age of three (82) compared to those sold from Tattersalls October Sale Part 3 (2005) who achieved the lowest average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 at the age of three (67); emphasising the high quality of the yearlings sold at Tattersalls October Part 1.</w:t>
      </w:r>
    </w:p>
    <w:p w14:paraId="02478E77" w14:textId="77777777" w:rsidR="003A6141" w:rsidRPr="00BD6374" w:rsidRDefault="003A6141" w:rsidP="00BD6374">
      <w:pPr>
        <w:spacing w:before="120" w:after="120" w:line="360" w:lineRule="auto"/>
        <w:ind w:right="-46"/>
        <w:jc w:val="both"/>
        <w:rPr>
          <w:rFonts w:ascii="Sylfaen" w:hAnsi="Sylfaen"/>
          <w:color w:val="000000" w:themeColor="text1"/>
        </w:rPr>
      </w:pPr>
      <w:r w:rsidRPr="00BD6374">
        <w:rPr>
          <w:rFonts w:ascii="Sylfaen" w:hAnsi="Sylfaen"/>
          <w:color w:val="000000" w:themeColor="text1"/>
        </w:rPr>
        <w:t xml:space="preserve">No yearlings achieved an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 higher than 133 (Figure 1). The two yearlings that achieved a rating of 133 at the age of three were purchased for very different amounts as </w:t>
      </w:r>
      <w:proofErr w:type="gramStart"/>
      <w:r w:rsidRPr="00BD6374">
        <w:rPr>
          <w:rFonts w:ascii="Sylfaen" w:hAnsi="Sylfaen"/>
          <w:color w:val="000000" w:themeColor="text1"/>
        </w:rPr>
        <w:lastRenderedPageBreak/>
        <w:t>yearlings;</w:t>
      </w:r>
      <w:proofErr w:type="gramEnd"/>
      <w:r w:rsidRPr="00BD6374">
        <w:rPr>
          <w:rFonts w:ascii="Sylfaen" w:hAnsi="Sylfaen"/>
          <w:color w:val="000000" w:themeColor="text1"/>
        </w:rPr>
        <w:t xml:space="preserve"> one for 400,000 </w:t>
      </w:r>
      <w:proofErr w:type="spellStart"/>
      <w:r w:rsidRPr="00BD6374">
        <w:rPr>
          <w:rFonts w:ascii="Sylfaen" w:hAnsi="Sylfaen"/>
          <w:color w:val="000000" w:themeColor="text1"/>
        </w:rPr>
        <w:t>gns</w:t>
      </w:r>
      <w:proofErr w:type="spellEnd"/>
      <w:r w:rsidRPr="00BD6374">
        <w:rPr>
          <w:rFonts w:ascii="Sylfaen" w:hAnsi="Sylfaen"/>
          <w:color w:val="000000" w:themeColor="text1"/>
        </w:rPr>
        <w:t xml:space="preserve">, and the other for 1,150,000 </w:t>
      </w:r>
      <w:proofErr w:type="spellStart"/>
      <w:r w:rsidRPr="00BD6374">
        <w:rPr>
          <w:rFonts w:ascii="Sylfaen" w:hAnsi="Sylfaen"/>
          <w:color w:val="000000" w:themeColor="text1"/>
        </w:rPr>
        <w:t>gns</w:t>
      </w:r>
      <w:proofErr w:type="spellEnd"/>
      <w:r w:rsidRPr="00BD6374">
        <w:rPr>
          <w:rFonts w:ascii="Sylfaen" w:hAnsi="Sylfaen"/>
          <w:color w:val="000000" w:themeColor="text1"/>
        </w:rPr>
        <w:t xml:space="preserve">. The latter purchased for 1,150,000 </w:t>
      </w:r>
      <w:proofErr w:type="spellStart"/>
      <w:r w:rsidRPr="00BD6374">
        <w:rPr>
          <w:rFonts w:ascii="Sylfaen" w:hAnsi="Sylfaen"/>
          <w:color w:val="000000" w:themeColor="text1"/>
        </w:rPr>
        <w:t>gns</w:t>
      </w:r>
      <w:proofErr w:type="spellEnd"/>
      <w:r w:rsidRPr="00BD6374">
        <w:rPr>
          <w:rFonts w:ascii="Sylfaen" w:hAnsi="Sylfaen"/>
          <w:color w:val="000000" w:themeColor="text1"/>
        </w:rPr>
        <w:t xml:space="preserve"> was not only the highest rated horse within this study, but also the second highest priced horse; the highest priced horse was purchased for 1,250,000 </w:t>
      </w:r>
      <w:proofErr w:type="spellStart"/>
      <w:r w:rsidRPr="00BD6374">
        <w:rPr>
          <w:rFonts w:ascii="Sylfaen" w:hAnsi="Sylfaen"/>
          <w:color w:val="000000" w:themeColor="text1"/>
        </w:rPr>
        <w:t>gns</w:t>
      </w:r>
      <w:proofErr w:type="spellEnd"/>
      <w:r w:rsidRPr="00BD6374">
        <w:rPr>
          <w:rFonts w:ascii="Sylfaen" w:hAnsi="Sylfaen"/>
          <w:color w:val="000000" w:themeColor="text1"/>
        </w:rPr>
        <w:t xml:space="preserve"> and only achieved an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 of 93. One notable purchase (</w:t>
      </w:r>
      <w:r w:rsidRPr="00BD6374">
        <w:rPr>
          <w:rFonts w:ascii="Sylfaen" w:hAnsi="Sylfaen"/>
          <w:i/>
          <w:color w:val="000000" w:themeColor="text1"/>
        </w:rPr>
        <w:t>Sir Percy</w:t>
      </w:r>
      <w:r w:rsidRPr="00BD6374">
        <w:rPr>
          <w:rFonts w:ascii="Sylfaen" w:hAnsi="Sylfaen"/>
          <w:color w:val="000000" w:themeColor="text1"/>
        </w:rPr>
        <w:t xml:space="preserve">, 2006 Epsom Derby winner at the age of three) was sold for 16,000 </w:t>
      </w:r>
      <w:proofErr w:type="spellStart"/>
      <w:r w:rsidRPr="00BD6374">
        <w:rPr>
          <w:rFonts w:ascii="Sylfaen" w:hAnsi="Sylfaen"/>
          <w:color w:val="000000" w:themeColor="text1"/>
        </w:rPr>
        <w:t>gns</w:t>
      </w:r>
      <w:proofErr w:type="spellEnd"/>
      <w:r w:rsidRPr="00BD6374">
        <w:rPr>
          <w:rFonts w:ascii="Sylfaen" w:hAnsi="Sylfaen"/>
          <w:color w:val="000000" w:themeColor="text1"/>
        </w:rPr>
        <w:t xml:space="preserve"> and achieved an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 of 129 at the age of three. Other notable purchases include a yearling purchased for 3,500 </w:t>
      </w:r>
      <w:proofErr w:type="spellStart"/>
      <w:r w:rsidRPr="00BD6374">
        <w:rPr>
          <w:rFonts w:ascii="Sylfaen" w:hAnsi="Sylfaen"/>
          <w:color w:val="000000" w:themeColor="text1"/>
        </w:rPr>
        <w:t>gns</w:t>
      </w:r>
      <w:proofErr w:type="spellEnd"/>
      <w:r w:rsidRPr="00BD6374">
        <w:rPr>
          <w:rFonts w:ascii="Sylfaen" w:hAnsi="Sylfaen"/>
          <w:color w:val="000000" w:themeColor="text1"/>
        </w:rPr>
        <w:t xml:space="preserve"> that achieved a rating of 117, a yearling purchased for 2,000 </w:t>
      </w:r>
      <w:proofErr w:type="spellStart"/>
      <w:r w:rsidRPr="00BD6374">
        <w:rPr>
          <w:rFonts w:ascii="Sylfaen" w:hAnsi="Sylfaen"/>
          <w:color w:val="000000" w:themeColor="text1"/>
        </w:rPr>
        <w:t>gns</w:t>
      </w:r>
      <w:proofErr w:type="spellEnd"/>
      <w:r w:rsidRPr="00BD6374">
        <w:rPr>
          <w:rFonts w:ascii="Sylfaen" w:hAnsi="Sylfaen"/>
          <w:color w:val="000000" w:themeColor="text1"/>
        </w:rPr>
        <w:t xml:space="preserve"> that achieved a rating of 104, and two yearlings purchased for 420,000 </w:t>
      </w:r>
      <w:proofErr w:type="spellStart"/>
      <w:r w:rsidRPr="00BD6374">
        <w:rPr>
          <w:rFonts w:ascii="Sylfaen" w:hAnsi="Sylfaen"/>
          <w:color w:val="000000" w:themeColor="text1"/>
        </w:rPr>
        <w:t>gns</w:t>
      </w:r>
      <w:proofErr w:type="spellEnd"/>
      <w:r w:rsidRPr="00BD6374">
        <w:rPr>
          <w:rFonts w:ascii="Sylfaen" w:hAnsi="Sylfaen"/>
          <w:color w:val="000000" w:themeColor="text1"/>
        </w:rPr>
        <w:t xml:space="preserve"> and 320,000 </w:t>
      </w:r>
      <w:proofErr w:type="spellStart"/>
      <w:r w:rsidRPr="00BD6374">
        <w:rPr>
          <w:rFonts w:ascii="Sylfaen" w:hAnsi="Sylfaen"/>
          <w:color w:val="000000" w:themeColor="text1"/>
        </w:rPr>
        <w:t>gns</w:t>
      </w:r>
      <w:proofErr w:type="spellEnd"/>
      <w:r w:rsidRPr="00BD6374">
        <w:rPr>
          <w:rFonts w:ascii="Sylfaen" w:hAnsi="Sylfaen"/>
          <w:color w:val="000000" w:themeColor="text1"/>
        </w:rPr>
        <w:t>, that only achieved of 69 and 57, respectively.</w:t>
      </w:r>
    </w:p>
    <w:p w14:paraId="0E310FE0" w14:textId="77777777" w:rsidR="003A6141" w:rsidRPr="00BD6374" w:rsidRDefault="003A6141" w:rsidP="00BD6374">
      <w:pPr>
        <w:spacing w:before="120" w:after="120" w:line="360" w:lineRule="auto"/>
        <w:ind w:right="-46"/>
        <w:jc w:val="both"/>
        <w:rPr>
          <w:rFonts w:ascii="Sylfaen" w:hAnsi="Sylfaen"/>
          <w:color w:val="000000" w:themeColor="text1"/>
        </w:rPr>
      </w:pPr>
    </w:p>
    <w:p w14:paraId="0B3AB10A" w14:textId="1BB2F482" w:rsidR="003A6141" w:rsidRPr="00BD6374" w:rsidRDefault="003A6141" w:rsidP="00BD6374">
      <w:pPr>
        <w:pStyle w:val="Heading2"/>
        <w:spacing w:before="120" w:after="120" w:line="360" w:lineRule="auto"/>
        <w:rPr>
          <w:rFonts w:ascii="Sylfaen" w:hAnsi="Sylfaen"/>
          <w:i/>
          <w:iCs/>
          <w:color w:val="000000" w:themeColor="text1"/>
          <w:sz w:val="22"/>
          <w:szCs w:val="22"/>
        </w:rPr>
      </w:pPr>
      <w:r w:rsidRPr="00BD6374">
        <w:rPr>
          <w:rFonts w:ascii="Sylfaen" w:hAnsi="Sylfaen"/>
          <w:i/>
          <w:iCs/>
          <w:color w:val="000000" w:themeColor="text1"/>
          <w:sz w:val="22"/>
          <w:szCs w:val="22"/>
        </w:rPr>
        <w:t>Correlations</w:t>
      </w:r>
    </w:p>
    <w:p w14:paraId="65A67AA3" w14:textId="57327EED" w:rsidR="003A6141" w:rsidRPr="00BD6374" w:rsidRDefault="003A6141" w:rsidP="00BD6374">
      <w:pPr>
        <w:spacing w:before="120" w:after="120" w:line="360" w:lineRule="auto"/>
        <w:ind w:right="-46"/>
        <w:jc w:val="both"/>
        <w:rPr>
          <w:rFonts w:ascii="Sylfaen" w:hAnsi="Sylfaen"/>
          <w:color w:val="000000" w:themeColor="text1"/>
        </w:rPr>
      </w:pPr>
      <w:r w:rsidRPr="00BD6374">
        <w:rPr>
          <w:rFonts w:ascii="Sylfaen" w:hAnsi="Sylfaen"/>
          <w:color w:val="000000" w:themeColor="text1"/>
        </w:rPr>
        <w:t xml:space="preserve">A very highly significant correlation between LOG yearling sale price and end-of-year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 was observed across the whole population (Figure 1), (r = 0.363, n = 1,735, p&lt;0.001). Individual sales showed varying levels of correlation. The highest level of association at an individual sale was observed at </w:t>
      </w: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Orby Sale 2004 (r=0.389, n=202, p&lt;0.01). Two sales, Tattersalls October Sale Part 3 </w:t>
      </w:r>
      <w:proofErr w:type="gramStart"/>
      <w:r w:rsidRPr="00BD6374">
        <w:rPr>
          <w:rFonts w:ascii="Sylfaen" w:hAnsi="Sylfaen"/>
          <w:color w:val="000000" w:themeColor="text1"/>
        </w:rPr>
        <w:t>2005</w:t>
      </w:r>
      <w:proofErr w:type="gramEnd"/>
      <w:r w:rsidRPr="00BD6374">
        <w:rPr>
          <w:rFonts w:ascii="Sylfaen" w:hAnsi="Sylfaen"/>
          <w:color w:val="000000" w:themeColor="text1"/>
        </w:rPr>
        <w:t xml:space="preserve"> and </w:t>
      </w:r>
      <w:proofErr w:type="spellStart"/>
      <w:r w:rsidRPr="00BD6374">
        <w:rPr>
          <w:rFonts w:ascii="Sylfaen" w:hAnsi="Sylfaen"/>
          <w:color w:val="000000" w:themeColor="text1"/>
        </w:rPr>
        <w:t>Goffs</w:t>
      </w:r>
      <w:proofErr w:type="spellEnd"/>
      <w:r w:rsidRPr="00BD6374">
        <w:rPr>
          <w:rFonts w:ascii="Sylfaen" w:hAnsi="Sylfaen"/>
          <w:color w:val="000000" w:themeColor="text1"/>
        </w:rPr>
        <w:t xml:space="preserve"> Sportsman’s Sale 2005, returned no statistical significance in their sales price vs. </w:t>
      </w:r>
      <w:proofErr w:type="spellStart"/>
      <w:r w:rsidRPr="00BD6374">
        <w:rPr>
          <w:rFonts w:ascii="Sylfaen" w:hAnsi="Sylfaen"/>
          <w:color w:val="000000" w:themeColor="text1"/>
        </w:rPr>
        <w:t>Timeform</w:t>
      </w:r>
      <w:proofErr w:type="spellEnd"/>
      <w:r w:rsidRPr="00BD6374">
        <w:rPr>
          <w:rFonts w:ascii="Sylfaen" w:hAnsi="Sylfaen"/>
          <w:color w:val="000000" w:themeColor="text1"/>
        </w:rPr>
        <w:t xml:space="preserve"> rating correlations. </w:t>
      </w:r>
    </w:p>
    <w:p w14:paraId="1E134849" w14:textId="473C2908" w:rsidR="00BD6374" w:rsidRDefault="00BD6374" w:rsidP="003A6141">
      <w:pPr>
        <w:ind w:right="-46"/>
        <w:jc w:val="both"/>
        <w:rPr>
          <w:rFonts w:ascii="Adobe Garamond Pro" w:hAnsi="Adobe Garamond Pro"/>
        </w:rPr>
      </w:pPr>
      <w:r>
        <w:rPr>
          <w:noProof/>
        </w:rPr>
        <mc:AlternateContent>
          <mc:Choice Requires="wps">
            <w:drawing>
              <wp:anchor distT="0" distB="0" distL="114300" distR="114300" simplePos="0" relativeHeight="251661312" behindDoc="1" locked="0" layoutInCell="1" allowOverlap="1" wp14:anchorId="5E4F0C18" wp14:editId="4F87F971">
                <wp:simplePos x="0" y="0"/>
                <wp:positionH relativeFrom="column">
                  <wp:posOffset>337320</wp:posOffset>
                </wp:positionH>
                <wp:positionV relativeFrom="paragraph">
                  <wp:posOffset>20131</wp:posOffset>
                </wp:positionV>
                <wp:extent cx="4686300" cy="457200"/>
                <wp:effectExtent l="0" t="0" r="0" b="0"/>
                <wp:wrapTight wrapText="bothSides">
                  <wp:wrapPolygon edited="0">
                    <wp:start x="0" y="0"/>
                    <wp:lineTo x="0" y="21000"/>
                    <wp:lineTo x="21541" y="21000"/>
                    <wp:lineTo x="21541"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4686300" cy="457200"/>
                        </a:xfrm>
                        <a:prstGeom prst="rect">
                          <a:avLst/>
                        </a:prstGeom>
                        <a:solidFill>
                          <a:prstClr val="white"/>
                        </a:solidFill>
                        <a:ln>
                          <a:noFill/>
                        </a:ln>
                      </wps:spPr>
                      <wps:txbx>
                        <w:txbxContent>
                          <w:p w14:paraId="645D31C2" w14:textId="26CC30D1" w:rsidR="00BD6374" w:rsidRPr="00BD6374" w:rsidRDefault="00BD6374" w:rsidP="00BD6374">
                            <w:pPr>
                              <w:pStyle w:val="Caption"/>
                              <w:rPr>
                                <w:rFonts w:ascii="Adobe Garamond Pro" w:hAnsi="Adobe Garamond Pro"/>
                                <w:noProof/>
                                <w:color w:val="000000" w:themeColor="text1"/>
                                <w:sz w:val="22"/>
                                <w:szCs w:val="22"/>
                              </w:rPr>
                            </w:pPr>
                            <w:r w:rsidRPr="00BD6374">
                              <w:rPr>
                                <w:color w:val="000000" w:themeColor="text1"/>
                              </w:rPr>
                              <w:t xml:space="preserve">Figure </w:t>
                            </w:r>
                            <w:r w:rsidRPr="00BD6374">
                              <w:rPr>
                                <w:color w:val="000000" w:themeColor="text1"/>
                              </w:rPr>
                              <w:fldChar w:fldCharType="begin"/>
                            </w:r>
                            <w:r w:rsidRPr="00BD6374">
                              <w:rPr>
                                <w:color w:val="000000" w:themeColor="text1"/>
                              </w:rPr>
                              <w:instrText xml:space="preserve"> SEQ Figure \* ARABIC </w:instrText>
                            </w:r>
                            <w:r w:rsidRPr="00BD6374">
                              <w:rPr>
                                <w:color w:val="000000" w:themeColor="text1"/>
                              </w:rPr>
                              <w:fldChar w:fldCharType="separate"/>
                            </w:r>
                            <w:r w:rsidRPr="00BD6374">
                              <w:rPr>
                                <w:noProof/>
                                <w:color w:val="000000" w:themeColor="text1"/>
                              </w:rPr>
                              <w:t>1</w:t>
                            </w:r>
                            <w:r w:rsidRPr="00BD6374">
                              <w:rPr>
                                <w:color w:val="000000" w:themeColor="text1"/>
                              </w:rPr>
                              <w:fldChar w:fldCharType="end"/>
                            </w:r>
                            <w:r w:rsidRPr="00BD6374">
                              <w:rPr>
                                <w:color w:val="000000" w:themeColor="text1"/>
                              </w:rPr>
                              <w:t xml:space="preserve">:The association between LOG yearling sale price (2004-2005 Tattersalls and </w:t>
                            </w:r>
                            <w:proofErr w:type="spellStart"/>
                            <w:r w:rsidRPr="00BD6374">
                              <w:rPr>
                                <w:color w:val="000000" w:themeColor="text1"/>
                              </w:rPr>
                              <w:t>Goffs</w:t>
                            </w:r>
                            <w:proofErr w:type="spellEnd"/>
                            <w:r w:rsidRPr="00BD6374">
                              <w:rPr>
                                <w:color w:val="000000" w:themeColor="text1"/>
                              </w:rPr>
                              <w:t xml:space="preserve"> sales) and end-of-year </w:t>
                            </w:r>
                            <w:proofErr w:type="spellStart"/>
                            <w:r w:rsidRPr="00BD6374">
                              <w:rPr>
                                <w:color w:val="000000" w:themeColor="text1"/>
                              </w:rPr>
                              <w:t>Timeform</w:t>
                            </w:r>
                            <w:proofErr w:type="spellEnd"/>
                            <w:r w:rsidRPr="00BD6374">
                              <w:rPr>
                                <w:color w:val="000000" w:themeColor="text1"/>
                              </w:rPr>
                              <w:t xml:space="preserve"> rating.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E4F0C18" id="_x0000_t202" coordsize="21600,21600" o:spt="202" path="m,l,21600r21600,l21600,xe">
                <v:stroke joinstyle="miter"/>
                <v:path gradientshapeok="t" o:connecttype="rect"/>
              </v:shapetype>
              <v:shape id="Text Box 3" o:spid="_x0000_s1026" type="#_x0000_t202" style="position:absolute;left:0;text-align:left;margin-left:26.55pt;margin-top:1.6pt;width:369pt;height:3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" stroked="f">
                <v:textbox inset="0,0,0,0">
                  <w:txbxContent>
                    <w:p w14:paraId="645D31C2" w14:textId="26CC30D1" w:rsidR="00BD6374" w:rsidRPr="00BD6374" w:rsidRDefault="00BD6374" w:rsidP="00BD6374">
                      <w:pPr>
                        <w:pStyle w:val="Caption"/>
                        <w:rPr>
                          <w:rFonts w:ascii="Adobe Garamond Pro" w:hAnsi="Adobe Garamond Pro"/>
                          <w:noProof/>
                          <w:color w:val="000000" w:themeColor="text1"/>
                          <w:sz w:val="22"/>
                          <w:szCs w:val="22"/>
                        </w:rPr>
                      </w:pPr>
                      <w:r w:rsidRPr="00BD6374">
                        <w:rPr>
                          <w:color w:val="000000" w:themeColor="text1"/>
                        </w:rPr>
                        <w:t xml:space="preserve">Figure </w:t>
                      </w:r>
                      <w:r w:rsidRPr="00BD6374">
                        <w:rPr>
                          <w:color w:val="000000" w:themeColor="text1"/>
                        </w:rPr>
                        <w:fldChar w:fldCharType="begin"/>
                      </w:r>
                      <w:r w:rsidRPr="00BD6374">
                        <w:rPr>
                          <w:color w:val="000000" w:themeColor="text1"/>
                        </w:rPr>
                        <w:instrText xml:space="preserve"> SEQ Figure \* ARABIC </w:instrText>
                      </w:r>
                      <w:r w:rsidRPr="00BD6374">
                        <w:rPr>
                          <w:color w:val="000000" w:themeColor="text1"/>
                        </w:rPr>
                        <w:fldChar w:fldCharType="separate"/>
                      </w:r>
                      <w:r w:rsidRPr="00BD6374">
                        <w:rPr>
                          <w:noProof/>
                          <w:color w:val="000000" w:themeColor="text1"/>
                        </w:rPr>
                        <w:t>1</w:t>
                      </w:r>
                      <w:r w:rsidRPr="00BD6374">
                        <w:rPr>
                          <w:color w:val="000000" w:themeColor="text1"/>
                        </w:rPr>
                        <w:fldChar w:fldCharType="end"/>
                      </w:r>
                      <w:r w:rsidRPr="00BD6374">
                        <w:rPr>
                          <w:color w:val="000000" w:themeColor="text1"/>
                        </w:rPr>
                        <w:t xml:space="preserve">:The association between LOG yearling sale price (2004-2005 Tattersalls and </w:t>
                      </w:r>
                      <w:proofErr w:type="spellStart"/>
                      <w:r w:rsidRPr="00BD6374">
                        <w:rPr>
                          <w:color w:val="000000" w:themeColor="text1"/>
                        </w:rPr>
                        <w:t>Goffs</w:t>
                      </w:r>
                      <w:proofErr w:type="spellEnd"/>
                      <w:r w:rsidRPr="00BD6374">
                        <w:rPr>
                          <w:color w:val="000000" w:themeColor="text1"/>
                        </w:rPr>
                        <w:t xml:space="preserve"> sales) and end-of-year </w:t>
                      </w:r>
                      <w:proofErr w:type="spellStart"/>
                      <w:r w:rsidRPr="00BD6374">
                        <w:rPr>
                          <w:color w:val="000000" w:themeColor="text1"/>
                        </w:rPr>
                        <w:t>Timeform</w:t>
                      </w:r>
                      <w:proofErr w:type="spellEnd"/>
                      <w:r w:rsidRPr="00BD6374">
                        <w:rPr>
                          <w:color w:val="000000" w:themeColor="text1"/>
                        </w:rPr>
                        <w:t xml:space="preserve"> rating.</w:t>
                      </w:r>
                    </w:p>
                  </w:txbxContent>
                </v:textbox>
                <w10:wrap type="tight"/>
              </v:shape>
            </w:pict>
          </mc:Fallback>
        </mc:AlternateContent>
      </w:r>
    </w:p>
    <w:p w14:paraId="0A85566D" w14:textId="1270C21B" w:rsidR="00BD6374" w:rsidRDefault="00BD6374" w:rsidP="003A6141">
      <w:pPr>
        <w:ind w:right="-46"/>
        <w:jc w:val="both"/>
        <w:rPr>
          <w:rFonts w:ascii="Adobe Garamond Pro" w:hAnsi="Adobe Garamond Pro"/>
        </w:rPr>
      </w:pPr>
    </w:p>
    <w:p w14:paraId="2353DC3A" w14:textId="0474924A" w:rsidR="00BD6374" w:rsidRPr="00502714" w:rsidRDefault="00BD6374" w:rsidP="003A6141">
      <w:pPr>
        <w:ind w:right="-46"/>
        <w:jc w:val="both"/>
        <w:rPr>
          <w:rFonts w:ascii="Adobe Garamond Pro" w:hAnsi="Adobe Garamond Pro"/>
        </w:rPr>
      </w:pPr>
    </w:p>
    <w:p w14:paraId="3EBBAD49" w14:textId="4DFBC0D3" w:rsidR="003A6141" w:rsidRPr="00502714" w:rsidRDefault="003A6141" w:rsidP="003A6141">
      <w:pPr>
        <w:ind w:right="-46"/>
        <w:jc w:val="both"/>
        <w:rPr>
          <w:rFonts w:ascii="Adobe Garamond Pro" w:hAnsi="Adobe Garamond Pro"/>
        </w:rPr>
      </w:pPr>
    </w:p>
    <w:p w14:paraId="40F39CD7" w14:textId="1E164799" w:rsidR="003A6141" w:rsidRPr="00502714" w:rsidRDefault="003A6141" w:rsidP="003A6141">
      <w:pPr>
        <w:ind w:right="-46"/>
        <w:jc w:val="both"/>
        <w:rPr>
          <w:rFonts w:ascii="Adobe Garamond Pro" w:hAnsi="Adobe Garamond Pro"/>
        </w:rPr>
      </w:pPr>
    </w:p>
    <w:p w14:paraId="5CD4BD58" w14:textId="213AEE44" w:rsidR="003A6141" w:rsidRPr="00502714" w:rsidRDefault="003A6141" w:rsidP="003A6141">
      <w:pPr>
        <w:autoSpaceDE w:val="0"/>
        <w:autoSpaceDN w:val="0"/>
        <w:adjustRightInd w:val="0"/>
        <w:ind w:right="-46"/>
        <w:jc w:val="both"/>
        <w:rPr>
          <w:rFonts w:ascii="Adobe Garamond Pro" w:eastAsia="SimSun" w:hAnsi="Adobe Garamond Pro"/>
          <w:lang w:eastAsia="zh-CN"/>
        </w:rPr>
      </w:pPr>
    </w:p>
    <w:p w14:paraId="0DDB0592" w14:textId="4E21356B" w:rsidR="00BD6374" w:rsidRDefault="00BD6374" w:rsidP="003A6141">
      <w:pPr>
        <w:ind w:right="-46"/>
        <w:jc w:val="both"/>
        <w:rPr>
          <w:rFonts w:ascii="Adobe Garamond Pro" w:eastAsia="SimSun" w:hAnsi="Adobe Garamond Pro"/>
          <w:lang w:eastAsia="zh-CN"/>
        </w:rPr>
      </w:pPr>
      <w:r w:rsidRPr="00502714">
        <w:rPr>
          <w:rFonts w:ascii="Adobe Garamond Pro" w:hAnsi="Adobe Garamond Pro"/>
          <w:noProof/>
        </w:rPr>
        <w:drawing>
          <wp:anchor distT="0" distB="0" distL="114300" distR="114300" simplePos="0" relativeHeight="251659264" behindDoc="1" locked="0" layoutInCell="1" allowOverlap="1" wp14:anchorId="085D1879" wp14:editId="4D5CE13A">
            <wp:simplePos x="0" y="0"/>
            <wp:positionH relativeFrom="column">
              <wp:posOffset>427706</wp:posOffset>
            </wp:positionH>
            <wp:positionV relativeFrom="paragraph">
              <wp:posOffset>-1260516</wp:posOffset>
            </wp:positionV>
            <wp:extent cx="4229100" cy="3073400"/>
            <wp:effectExtent l="0" t="0" r="0" b="0"/>
            <wp:wrapTight wrapText="bothSides">
              <wp:wrapPolygon edited="0">
                <wp:start x="0" y="0"/>
                <wp:lineTo x="0" y="21511"/>
                <wp:lineTo x="21535" y="21511"/>
                <wp:lineTo x="21535" y="0"/>
                <wp:lineTo x="0" y="0"/>
              </wp:wrapPolygon>
            </wp:wrapTight>
            <wp:docPr id="782" name="Picture 782" descr="Chart, scatter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2" name="Picture 782" descr="Chart, scatter chart&#10;&#10;Description automatically generated"/>
                    <pic:cNvPicPr>
                      <a:picLocks/>
                    </pic:cNvPicPr>
                  </pic:nvPicPr>
                  <pic:blipFill>
                    <a:blip r:embed="rId8">
                      <a:extLst>
                        <a:ext uri="{28A0092B-C50C-407E-A947-70E740481C1C}">
                          <a14:useLocalDpi xmlns:a14="http://schemas.microsoft.com/office/drawing/2010/main" val="0"/>
                        </a:ext>
                      </a:extLst>
                    </a:blip>
                    <a:srcRect t="12170"/>
                    <a:stretch>
                      <a:fillRect/>
                    </a:stretch>
                  </pic:blipFill>
                  <pic:spPr bwMode="auto">
                    <a:xfrm>
                      <a:off x="0" y="0"/>
                      <a:ext cx="4229100" cy="307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ACB482" w14:textId="4437E2D2" w:rsidR="00BD6374" w:rsidRDefault="00BD6374" w:rsidP="003A6141">
      <w:pPr>
        <w:ind w:right="-46"/>
        <w:jc w:val="both"/>
        <w:rPr>
          <w:rFonts w:ascii="Adobe Garamond Pro" w:eastAsia="SimSun" w:hAnsi="Adobe Garamond Pro"/>
          <w:lang w:eastAsia="zh-CN"/>
        </w:rPr>
      </w:pPr>
    </w:p>
    <w:p w14:paraId="666A9602" w14:textId="2DA54DE9" w:rsidR="00BD6374" w:rsidRDefault="00BD6374" w:rsidP="003A6141">
      <w:pPr>
        <w:ind w:right="-46"/>
        <w:jc w:val="both"/>
        <w:rPr>
          <w:rFonts w:ascii="Adobe Garamond Pro" w:eastAsia="SimSun" w:hAnsi="Adobe Garamond Pro"/>
          <w:lang w:eastAsia="zh-CN"/>
        </w:rPr>
      </w:pPr>
    </w:p>
    <w:p w14:paraId="672BFE26" w14:textId="1A294D34" w:rsidR="00BD6374" w:rsidRDefault="00BD6374" w:rsidP="003A6141">
      <w:pPr>
        <w:ind w:right="-46"/>
        <w:jc w:val="both"/>
        <w:rPr>
          <w:rFonts w:ascii="Adobe Garamond Pro" w:eastAsia="SimSun" w:hAnsi="Adobe Garamond Pro"/>
          <w:lang w:eastAsia="zh-CN"/>
        </w:rPr>
      </w:pPr>
    </w:p>
    <w:p w14:paraId="30830DE1" w14:textId="73D83CC3" w:rsidR="00BD6374" w:rsidRDefault="00BD6374" w:rsidP="003A6141">
      <w:pPr>
        <w:ind w:right="-46"/>
        <w:jc w:val="both"/>
        <w:rPr>
          <w:rFonts w:ascii="Adobe Garamond Pro" w:eastAsia="SimSun" w:hAnsi="Adobe Garamond Pro"/>
          <w:lang w:eastAsia="zh-CN"/>
        </w:rPr>
      </w:pPr>
    </w:p>
    <w:p w14:paraId="6F7C3CA6" w14:textId="42269F31" w:rsidR="00BD6374" w:rsidRDefault="00BD6374" w:rsidP="003A6141">
      <w:pPr>
        <w:ind w:right="-46"/>
        <w:jc w:val="both"/>
        <w:rPr>
          <w:rFonts w:ascii="Adobe Garamond Pro" w:eastAsia="SimSun" w:hAnsi="Adobe Garamond Pro"/>
          <w:lang w:eastAsia="zh-CN"/>
        </w:rPr>
      </w:pPr>
    </w:p>
    <w:p w14:paraId="1C0DE825" w14:textId="499CE8C3" w:rsidR="00BD6374" w:rsidRDefault="00BD6374" w:rsidP="003A6141">
      <w:pPr>
        <w:ind w:right="-46"/>
        <w:jc w:val="both"/>
        <w:rPr>
          <w:rFonts w:ascii="Adobe Garamond Pro" w:eastAsia="SimSun" w:hAnsi="Adobe Garamond Pro"/>
          <w:lang w:eastAsia="zh-CN"/>
        </w:rPr>
      </w:pPr>
    </w:p>
    <w:p w14:paraId="48740AC2" w14:textId="12B73FE8" w:rsidR="003A6141" w:rsidRPr="00934757" w:rsidRDefault="003A6141" w:rsidP="00934757">
      <w:pPr>
        <w:pStyle w:val="Heading2"/>
        <w:spacing w:before="120" w:after="120" w:line="360" w:lineRule="auto"/>
        <w:rPr>
          <w:rFonts w:ascii="Sylfaen" w:hAnsi="Sylfaen"/>
          <w:i/>
          <w:iCs/>
          <w:color w:val="000000" w:themeColor="text1"/>
          <w:sz w:val="22"/>
          <w:szCs w:val="22"/>
        </w:rPr>
      </w:pPr>
      <w:r w:rsidRPr="00934757">
        <w:rPr>
          <w:rFonts w:ascii="Sylfaen" w:hAnsi="Sylfaen"/>
          <w:i/>
          <w:iCs/>
          <w:color w:val="000000" w:themeColor="text1"/>
          <w:sz w:val="22"/>
          <w:szCs w:val="22"/>
        </w:rPr>
        <w:t>Regression analysis</w:t>
      </w:r>
    </w:p>
    <w:p w14:paraId="26CD7FB5" w14:textId="77777777" w:rsidR="003A6141" w:rsidRPr="00934757" w:rsidRDefault="003A6141" w:rsidP="00934757">
      <w:pPr>
        <w:spacing w:before="120" w:after="120" w:line="360" w:lineRule="auto"/>
        <w:ind w:right="-46"/>
        <w:jc w:val="both"/>
        <w:rPr>
          <w:rFonts w:ascii="Sylfaen" w:hAnsi="Sylfaen"/>
          <w:color w:val="000000" w:themeColor="text1"/>
        </w:rPr>
      </w:pPr>
      <w:r w:rsidRPr="00934757">
        <w:rPr>
          <w:rFonts w:ascii="Sylfaen" w:hAnsi="Sylfaen"/>
          <w:color w:val="000000" w:themeColor="text1"/>
        </w:rPr>
        <w:t xml:space="preserve">Regression analysis was performed on the whole population (n=1,735), to establish a prediction of end-of-year </w:t>
      </w: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rating via LOG yearling sale price. The analysis returned an r</w:t>
      </w:r>
      <w:r w:rsidRPr="00934757">
        <w:rPr>
          <w:rFonts w:ascii="Sylfaen" w:hAnsi="Sylfaen"/>
          <w:color w:val="000000" w:themeColor="text1"/>
          <w:vertAlign w:val="superscript"/>
        </w:rPr>
        <w:t xml:space="preserve">2 </w:t>
      </w:r>
      <w:r w:rsidRPr="00934757">
        <w:rPr>
          <w:rFonts w:ascii="Sylfaen" w:hAnsi="Sylfaen"/>
          <w:color w:val="000000" w:themeColor="text1"/>
        </w:rPr>
        <w:t xml:space="preserve">= 0.133, (n = 1,735, p&lt;0.01), unstandardized beta coefficient (β) of 13.118, and a constant (y) of 18.775. </w:t>
      </w:r>
    </w:p>
    <w:p w14:paraId="53176ECB" w14:textId="77777777" w:rsidR="003A6141" w:rsidRPr="00934757" w:rsidRDefault="003A6141" w:rsidP="00934757">
      <w:pPr>
        <w:spacing w:before="120" w:after="120" w:line="360" w:lineRule="auto"/>
        <w:ind w:right="-46"/>
        <w:jc w:val="both"/>
        <w:rPr>
          <w:rFonts w:ascii="Sylfaen" w:hAnsi="Sylfaen"/>
          <w:color w:val="000000" w:themeColor="text1"/>
        </w:rPr>
      </w:pPr>
      <w:r w:rsidRPr="00934757">
        <w:rPr>
          <w:rFonts w:ascii="Sylfaen" w:hAnsi="Sylfaen"/>
          <w:color w:val="000000" w:themeColor="text1"/>
        </w:rPr>
        <w:t>Using these variables with a standard regression equation (</w:t>
      </w:r>
      <w:r w:rsidRPr="00934757">
        <w:rPr>
          <w:rFonts w:ascii="Sylfaen" w:hAnsi="Sylfaen"/>
          <w:i/>
          <w:color w:val="000000" w:themeColor="text1"/>
        </w:rPr>
        <w:t>a = y + βx)</w:t>
      </w:r>
      <w:r w:rsidRPr="00934757">
        <w:rPr>
          <w:rFonts w:ascii="Sylfaen" w:hAnsi="Sylfaen"/>
          <w:color w:val="000000" w:themeColor="text1"/>
        </w:rPr>
        <w:t xml:space="preserve"> it was estimated that on average a yearling with a sale price of 10,000 </w:t>
      </w:r>
      <w:proofErr w:type="spellStart"/>
      <w:r w:rsidRPr="00934757">
        <w:rPr>
          <w:rFonts w:ascii="Sylfaen" w:hAnsi="Sylfaen"/>
          <w:color w:val="000000" w:themeColor="text1"/>
        </w:rPr>
        <w:t>gns</w:t>
      </w:r>
      <w:proofErr w:type="spellEnd"/>
      <w:r w:rsidRPr="00934757">
        <w:rPr>
          <w:rFonts w:ascii="Sylfaen" w:hAnsi="Sylfaen"/>
          <w:color w:val="000000" w:themeColor="text1"/>
        </w:rPr>
        <w:t xml:space="preserve"> (LOG = 4) would return an end-of-year </w:t>
      </w: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rating of 71 at the age of three.  </w:t>
      </w:r>
    </w:p>
    <w:p w14:paraId="450233A5" w14:textId="77777777" w:rsidR="003A6141" w:rsidRPr="00934757" w:rsidRDefault="003A6141" w:rsidP="00934757">
      <w:pPr>
        <w:spacing w:before="120" w:after="120" w:line="360" w:lineRule="auto"/>
        <w:ind w:right="-46"/>
        <w:rPr>
          <w:rFonts w:ascii="Sylfaen" w:hAnsi="Sylfaen"/>
          <w:color w:val="000000" w:themeColor="text1"/>
        </w:rPr>
      </w:pPr>
    </w:p>
    <w:p w14:paraId="008408E0" w14:textId="6B78F69A" w:rsidR="003A6141" w:rsidRPr="00934757" w:rsidRDefault="003A6141" w:rsidP="00934757">
      <w:pPr>
        <w:pStyle w:val="Heading1"/>
        <w:spacing w:before="120" w:after="120" w:line="360" w:lineRule="auto"/>
        <w:rPr>
          <w:rFonts w:ascii="Sylfaen" w:hAnsi="Sylfaen"/>
          <w:b/>
          <w:bCs/>
          <w:color w:val="000000" w:themeColor="text1"/>
          <w:sz w:val="22"/>
          <w:szCs w:val="22"/>
        </w:rPr>
      </w:pPr>
      <w:r w:rsidRPr="00934757">
        <w:rPr>
          <w:rFonts w:ascii="Sylfaen" w:hAnsi="Sylfaen"/>
          <w:b/>
          <w:bCs/>
          <w:color w:val="000000" w:themeColor="text1"/>
          <w:sz w:val="22"/>
          <w:szCs w:val="22"/>
        </w:rPr>
        <w:t>Summary</w:t>
      </w:r>
    </w:p>
    <w:p w14:paraId="34CE600A" w14:textId="77777777" w:rsidR="003A6141" w:rsidRPr="00934757" w:rsidRDefault="003A6141" w:rsidP="00934757">
      <w:pPr>
        <w:spacing w:before="120" w:after="120" w:line="360" w:lineRule="auto"/>
        <w:ind w:right="-46"/>
        <w:jc w:val="both"/>
        <w:rPr>
          <w:rFonts w:ascii="Sylfaen" w:hAnsi="Sylfaen"/>
          <w:color w:val="000000" w:themeColor="text1"/>
        </w:rPr>
      </w:pPr>
      <w:r w:rsidRPr="00934757">
        <w:rPr>
          <w:rFonts w:ascii="Sylfaen" w:hAnsi="Sylfaen"/>
          <w:color w:val="000000" w:themeColor="text1"/>
        </w:rPr>
        <w:t xml:space="preserve">Seventy percent of yearlings purchased at Tattersalls October Yearling sales and </w:t>
      </w:r>
      <w:proofErr w:type="spellStart"/>
      <w:r w:rsidRPr="00934757">
        <w:rPr>
          <w:rFonts w:ascii="Sylfaen" w:hAnsi="Sylfaen"/>
          <w:color w:val="000000" w:themeColor="text1"/>
        </w:rPr>
        <w:t>Goffs</w:t>
      </w:r>
      <w:proofErr w:type="spellEnd"/>
      <w:r w:rsidRPr="00934757">
        <w:rPr>
          <w:rFonts w:ascii="Sylfaen" w:hAnsi="Sylfaen"/>
          <w:color w:val="000000" w:themeColor="text1"/>
        </w:rPr>
        <w:t xml:space="preserve"> Yearling sales in 2004 and 2005, did not go on to run on the Flat turf in Britain and obtain an end-of-year </w:t>
      </w: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rating at the age of three. The reasons for this effective culling from the population are likely to be multifactorial. They may include death or injury. </w:t>
      </w:r>
      <w:proofErr w:type="spellStart"/>
      <w:r w:rsidRPr="00934757">
        <w:rPr>
          <w:rFonts w:ascii="Sylfaen" w:hAnsi="Sylfaen"/>
          <w:color w:val="000000" w:themeColor="text1"/>
        </w:rPr>
        <w:t>Sobczyńska</w:t>
      </w:r>
      <w:proofErr w:type="spellEnd"/>
      <w:r w:rsidRPr="00934757">
        <w:rPr>
          <w:rFonts w:ascii="Sylfaen" w:hAnsi="Sylfaen"/>
          <w:color w:val="000000" w:themeColor="text1"/>
        </w:rPr>
        <w:t xml:space="preserve"> (2007) studied 1759 polish Thoroughbreds that raced from 1998-2005 and found that an incredible 28% of those that first raced as </w:t>
      </w:r>
      <w:proofErr w:type="gramStart"/>
      <w:r w:rsidRPr="00934757">
        <w:rPr>
          <w:rFonts w:ascii="Sylfaen" w:hAnsi="Sylfaen"/>
          <w:color w:val="000000" w:themeColor="text1"/>
        </w:rPr>
        <w:t>two or three year olds</w:t>
      </w:r>
      <w:proofErr w:type="gramEnd"/>
      <w:r w:rsidRPr="00934757">
        <w:rPr>
          <w:rFonts w:ascii="Sylfaen" w:hAnsi="Sylfaen"/>
          <w:color w:val="000000" w:themeColor="text1"/>
        </w:rPr>
        <w:t xml:space="preserve"> did not continue to race for more than one year. A large number of the yearlings within the presented study were purchased by foreign buyers to train and race abroad, such as the </w:t>
      </w:r>
      <w:r w:rsidRPr="00934757">
        <w:rPr>
          <w:rFonts w:ascii="Sylfaen" w:hAnsi="Sylfaen"/>
          <w:i/>
          <w:color w:val="000000" w:themeColor="text1"/>
        </w:rPr>
        <w:t>Sadler’s Wells</w:t>
      </w:r>
      <w:r w:rsidRPr="00934757">
        <w:rPr>
          <w:rFonts w:ascii="Sylfaen" w:hAnsi="Sylfaen"/>
          <w:color w:val="000000" w:themeColor="text1"/>
        </w:rPr>
        <w:t xml:space="preserve"> colt purchased for 700,000 </w:t>
      </w:r>
      <w:proofErr w:type="spellStart"/>
      <w:r w:rsidRPr="00934757">
        <w:rPr>
          <w:rFonts w:ascii="Sylfaen" w:hAnsi="Sylfaen"/>
          <w:color w:val="000000" w:themeColor="text1"/>
        </w:rPr>
        <w:t>gns</w:t>
      </w:r>
      <w:proofErr w:type="spellEnd"/>
      <w:r w:rsidRPr="00934757">
        <w:rPr>
          <w:rFonts w:ascii="Sylfaen" w:hAnsi="Sylfaen"/>
          <w:color w:val="000000" w:themeColor="text1"/>
        </w:rPr>
        <w:t xml:space="preserve"> at Tattersalls October Part 1 2004 by Japanese agent </w:t>
      </w:r>
      <w:proofErr w:type="spellStart"/>
      <w:r w:rsidRPr="00934757">
        <w:rPr>
          <w:rFonts w:ascii="Sylfaen" w:hAnsi="Sylfaen"/>
          <w:color w:val="000000" w:themeColor="text1"/>
        </w:rPr>
        <w:t>Nobutaka</w:t>
      </w:r>
      <w:proofErr w:type="spellEnd"/>
      <w:r w:rsidRPr="00934757">
        <w:rPr>
          <w:rFonts w:ascii="Sylfaen" w:hAnsi="Sylfaen"/>
          <w:color w:val="000000" w:themeColor="text1"/>
        </w:rPr>
        <w:t xml:space="preserve"> Tada who went to Japan to be trained (</w:t>
      </w:r>
      <w:proofErr w:type="spellStart"/>
      <w:r w:rsidRPr="00934757">
        <w:rPr>
          <w:rFonts w:ascii="Sylfaen" w:hAnsi="Sylfaen"/>
          <w:color w:val="000000" w:themeColor="text1"/>
        </w:rPr>
        <w:t>Weatherbys</w:t>
      </w:r>
      <w:proofErr w:type="spellEnd"/>
      <w:r w:rsidRPr="00934757">
        <w:rPr>
          <w:rFonts w:ascii="Sylfaen" w:hAnsi="Sylfaen"/>
          <w:color w:val="000000" w:themeColor="text1"/>
        </w:rPr>
        <w:t xml:space="preserve">, 2004). A higher percentage of the yearlings sold at </w:t>
      </w:r>
      <w:proofErr w:type="spellStart"/>
      <w:r w:rsidRPr="00934757">
        <w:rPr>
          <w:rFonts w:ascii="Sylfaen" w:hAnsi="Sylfaen"/>
          <w:color w:val="000000" w:themeColor="text1"/>
        </w:rPr>
        <w:t>Goffs</w:t>
      </w:r>
      <w:proofErr w:type="spellEnd"/>
      <w:r w:rsidRPr="00934757">
        <w:rPr>
          <w:rFonts w:ascii="Sylfaen" w:hAnsi="Sylfaen"/>
          <w:color w:val="000000" w:themeColor="text1"/>
        </w:rPr>
        <w:t xml:space="preserve"> in 2004 and 2005 did not run on the Flat turf in Britain and achieve an end-of-year </w:t>
      </w: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rating at the age of three, compared to those sold from Tattersalls. John Ingles (an employee at </w:t>
      </w: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explains this may be because </w:t>
      </w:r>
      <w:proofErr w:type="spellStart"/>
      <w:r w:rsidRPr="00934757">
        <w:rPr>
          <w:rFonts w:ascii="Sylfaen" w:hAnsi="Sylfaen"/>
          <w:color w:val="000000" w:themeColor="text1"/>
        </w:rPr>
        <w:t>Goffs</w:t>
      </w:r>
      <w:proofErr w:type="spellEnd"/>
      <w:r w:rsidRPr="00934757">
        <w:rPr>
          <w:rFonts w:ascii="Sylfaen" w:hAnsi="Sylfaen"/>
          <w:color w:val="000000" w:themeColor="text1"/>
        </w:rPr>
        <w:t xml:space="preserve"> is a more popular sale for foreign buyers than Tattersalls; </w:t>
      </w:r>
      <w:proofErr w:type="gramStart"/>
      <w:r w:rsidRPr="00934757">
        <w:rPr>
          <w:rFonts w:ascii="Sylfaen" w:hAnsi="Sylfaen"/>
          <w:color w:val="000000" w:themeColor="text1"/>
        </w:rPr>
        <w:t>therefore</w:t>
      </w:r>
      <w:proofErr w:type="gramEnd"/>
      <w:r w:rsidRPr="00934757">
        <w:rPr>
          <w:rFonts w:ascii="Sylfaen" w:hAnsi="Sylfaen"/>
          <w:color w:val="000000" w:themeColor="text1"/>
        </w:rPr>
        <w:t xml:space="preserve"> more horses move abroad and thus are not included in the </w:t>
      </w: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annual publications (personal communication, 10 November 2008). This reason provides part of the explanation why only fifty percent of the yearlings from Fuller’s (2003) study did not run on the Flat turf in Britain at the age of three, compared to the seventy percent in this study. Fuller (2003) only studied Tattersalls, which is not as popular with foreign buyers as </w:t>
      </w:r>
      <w:proofErr w:type="spellStart"/>
      <w:r w:rsidRPr="00934757">
        <w:rPr>
          <w:rFonts w:ascii="Sylfaen" w:hAnsi="Sylfaen"/>
          <w:color w:val="000000" w:themeColor="text1"/>
        </w:rPr>
        <w:t>Goffs</w:t>
      </w:r>
      <w:proofErr w:type="spellEnd"/>
      <w:r w:rsidRPr="00934757">
        <w:rPr>
          <w:rFonts w:ascii="Sylfaen" w:hAnsi="Sylfaen"/>
          <w:color w:val="000000" w:themeColor="text1"/>
        </w:rPr>
        <w:t>, therefore fewer horses will move abroad to be trained and race.</w:t>
      </w:r>
    </w:p>
    <w:p w14:paraId="6C472C82" w14:textId="77777777" w:rsidR="003A6141" w:rsidRPr="00934757" w:rsidRDefault="003A6141" w:rsidP="00934757">
      <w:pPr>
        <w:spacing w:before="120" w:after="120" w:line="360" w:lineRule="auto"/>
        <w:ind w:right="-46"/>
        <w:jc w:val="both"/>
        <w:rPr>
          <w:rFonts w:ascii="Sylfaen" w:hAnsi="Sylfaen"/>
          <w:color w:val="000000" w:themeColor="text1"/>
        </w:rPr>
      </w:pPr>
    </w:p>
    <w:p w14:paraId="01835F02" w14:textId="77777777" w:rsidR="003A6141" w:rsidRPr="00934757" w:rsidRDefault="003A6141" w:rsidP="00934757">
      <w:pPr>
        <w:spacing w:before="120" w:after="120" w:line="360" w:lineRule="auto"/>
        <w:ind w:right="-46"/>
        <w:jc w:val="both"/>
        <w:rPr>
          <w:rFonts w:ascii="Sylfaen" w:hAnsi="Sylfaen"/>
          <w:color w:val="000000" w:themeColor="text1"/>
        </w:rPr>
      </w:pPr>
      <w:proofErr w:type="gramStart"/>
      <w:r w:rsidRPr="00934757">
        <w:rPr>
          <w:rFonts w:ascii="Sylfaen" w:hAnsi="Sylfaen"/>
          <w:color w:val="000000" w:themeColor="text1"/>
        </w:rPr>
        <w:lastRenderedPageBreak/>
        <w:t>Additionally</w:t>
      </w:r>
      <w:proofErr w:type="gramEnd"/>
      <w:r w:rsidRPr="00934757">
        <w:rPr>
          <w:rFonts w:ascii="Sylfaen" w:hAnsi="Sylfaen"/>
          <w:color w:val="000000" w:themeColor="text1"/>
        </w:rPr>
        <w:t xml:space="preserve"> non-performance to an expected level is likely to account for a large proportion of the excluded yearlings within this study. Of the yearlings sold from Tattersalls and </w:t>
      </w:r>
      <w:proofErr w:type="spellStart"/>
      <w:r w:rsidRPr="00934757">
        <w:rPr>
          <w:rFonts w:ascii="Sylfaen" w:hAnsi="Sylfaen"/>
          <w:color w:val="000000" w:themeColor="text1"/>
        </w:rPr>
        <w:t>Goffs</w:t>
      </w:r>
      <w:proofErr w:type="spellEnd"/>
      <w:r w:rsidRPr="00934757">
        <w:rPr>
          <w:rFonts w:ascii="Sylfaen" w:hAnsi="Sylfaen"/>
          <w:color w:val="000000" w:themeColor="text1"/>
        </w:rPr>
        <w:t xml:space="preserve"> in 2004 and 2005 that went on to be named, 34% did not run on the Flat turf in Britain at the age of three years. The most common reason for this was that horses either did not run to a sufficient standard to achieve an end-of-year </w:t>
      </w: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rating or if they did achieve one, it was not sufficient enough to be published in the annual </w:t>
      </w: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publication. John Ingles (an employee at </w:t>
      </w: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explained that a lot of horses sold at </w:t>
      </w:r>
      <w:proofErr w:type="spellStart"/>
      <w:r w:rsidRPr="00934757">
        <w:rPr>
          <w:rFonts w:ascii="Sylfaen" w:hAnsi="Sylfaen"/>
          <w:color w:val="000000" w:themeColor="text1"/>
        </w:rPr>
        <w:t>Goffs</w:t>
      </w:r>
      <w:proofErr w:type="spellEnd"/>
      <w:r w:rsidRPr="00934757">
        <w:rPr>
          <w:rFonts w:ascii="Sylfaen" w:hAnsi="Sylfaen"/>
          <w:color w:val="000000" w:themeColor="text1"/>
        </w:rPr>
        <w:t xml:space="preserve"> are trained and run in Ireland, therefore their details are not provided in the </w:t>
      </w: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annual publications unless they are of an exceptional standard. This accounted for a large number of horses that were not suitable for this study’s statistical analysis (personal communication, 10 November 2008). Not all yearlings sold went on to race on the Flat turf, a large number became hurdlers (n=105) or ran on all weather racetracks (n=109), therefore they were excluded from the statistical analysis. The gamble involved with purchasing a yearling for future racing is considerably high. This was demonstrated by the large number of horses purchased that failed to either achieve an end-of-year </w:t>
      </w: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rating or were unable to be assessed with confidence.</w:t>
      </w:r>
    </w:p>
    <w:p w14:paraId="68A38FC1" w14:textId="77777777" w:rsidR="003A6141" w:rsidRPr="00934757" w:rsidRDefault="003A6141" w:rsidP="00934757">
      <w:pPr>
        <w:spacing w:before="120" w:after="120" w:line="360" w:lineRule="auto"/>
        <w:ind w:right="-46"/>
        <w:jc w:val="both"/>
        <w:rPr>
          <w:rFonts w:ascii="Sylfaen" w:hAnsi="Sylfaen"/>
          <w:color w:val="000000" w:themeColor="text1"/>
        </w:rPr>
      </w:pPr>
      <w:r w:rsidRPr="00934757">
        <w:rPr>
          <w:rFonts w:ascii="Sylfaen" w:hAnsi="Sylfaen"/>
          <w:color w:val="000000" w:themeColor="text1"/>
        </w:rPr>
        <w:t xml:space="preserve">As yearling sale price increases the performance on the racetrack does not increase proportionately, however a low-medium correlation (r=0.363, n=1,735, p&lt;0.001) was found for the whole population between LOG yearling sale price and end-of-year </w:t>
      </w: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rating at the age of three (Figure 1). This indicated some level of association. Fuller (2003) had similar findings (r=0.380, n=919, p&lt;0.001) but from only one auction house (Tattersalls). Standard linear regression analysis shows that end-of-year </w:t>
      </w: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rating at the age of three can to an extent be predicted from yearling sale price; yearling price accounts for 13.3% of the variation in end-of-year </w:t>
      </w: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rating. There are likely to be many environmental factors that affect racehorse performance. Cunningham (1991) stated that racecourse performance is approximately 65% due to environmental factors. Environmental factors include amongst other things, handicap weight, track condition, year, season, class of race, post-position, distance, trainer, </w:t>
      </w:r>
      <w:proofErr w:type="gramStart"/>
      <w:r w:rsidRPr="00934757">
        <w:rPr>
          <w:rFonts w:ascii="Sylfaen" w:hAnsi="Sylfaen"/>
          <w:color w:val="000000" w:themeColor="text1"/>
        </w:rPr>
        <w:t>jockey</w:t>
      </w:r>
      <w:proofErr w:type="gramEnd"/>
      <w:r w:rsidRPr="00934757">
        <w:rPr>
          <w:rFonts w:ascii="Sylfaen" w:hAnsi="Sylfaen"/>
          <w:color w:val="000000" w:themeColor="text1"/>
        </w:rPr>
        <w:t xml:space="preserve"> and race effect (</w:t>
      </w:r>
      <w:proofErr w:type="spellStart"/>
      <w:r w:rsidRPr="00934757">
        <w:rPr>
          <w:rFonts w:ascii="Sylfaen" w:hAnsi="Sylfaen"/>
          <w:color w:val="000000" w:themeColor="text1"/>
        </w:rPr>
        <w:t>Thiruvenkadan</w:t>
      </w:r>
      <w:proofErr w:type="spellEnd"/>
      <w:r w:rsidRPr="00934757">
        <w:rPr>
          <w:rFonts w:ascii="Sylfaen" w:hAnsi="Sylfaen"/>
          <w:color w:val="000000" w:themeColor="text1"/>
        </w:rPr>
        <w:t xml:space="preserve"> </w:t>
      </w:r>
      <w:r w:rsidRPr="00934757">
        <w:rPr>
          <w:rFonts w:ascii="Sylfaen" w:hAnsi="Sylfaen"/>
          <w:i/>
          <w:color w:val="000000" w:themeColor="text1"/>
        </w:rPr>
        <w:t>et al</w:t>
      </w:r>
      <w:r w:rsidRPr="00934757">
        <w:rPr>
          <w:rFonts w:ascii="Sylfaen" w:hAnsi="Sylfaen"/>
          <w:color w:val="000000" w:themeColor="text1"/>
        </w:rPr>
        <w:t>, 2008)</w:t>
      </w:r>
      <w:r w:rsidRPr="00934757">
        <w:rPr>
          <w:rFonts w:ascii="Sylfaen" w:hAnsi="Sylfaen"/>
          <w:i/>
          <w:color w:val="000000" w:themeColor="text1"/>
        </w:rPr>
        <w:t>.</w:t>
      </w:r>
      <w:r w:rsidRPr="00934757">
        <w:rPr>
          <w:rFonts w:ascii="Sylfaen" w:hAnsi="Sylfaen"/>
          <w:color w:val="000000" w:themeColor="text1"/>
        </w:rPr>
        <w:t xml:space="preserve"> The yearling’s environment after being sold at auction is likely to be a key factor in determining </w:t>
      </w:r>
      <w:proofErr w:type="gramStart"/>
      <w:r w:rsidRPr="00934757">
        <w:rPr>
          <w:rFonts w:ascii="Sylfaen" w:hAnsi="Sylfaen"/>
          <w:color w:val="000000" w:themeColor="text1"/>
        </w:rPr>
        <w:t>their</w:t>
      </w:r>
      <w:proofErr w:type="gramEnd"/>
      <w:r w:rsidRPr="00934757">
        <w:rPr>
          <w:rFonts w:ascii="Sylfaen" w:hAnsi="Sylfaen"/>
          <w:color w:val="000000" w:themeColor="text1"/>
        </w:rPr>
        <w:t xml:space="preserve"> </w:t>
      </w:r>
      <w:proofErr w:type="spellStart"/>
      <w:r w:rsidRPr="00934757">
        <w:rPr>
          <w:rFonts w:ascii="Sylfaen" w:hAnsi="Sylfaen"/>
          <w:color w:val="000000" w:themeColor="text1"/>
        </w:rPr>
        <w:t>its</w:t>
      </w:r>
      <w:proofErr w:type="spellEnd"/>
      <w:r w:rsidRPr="00934757">
        <w:rPr>
          <w:rFonts w:ascii="Sylfaen" w:hAnsi="Sylfaen"/>
          <w:color w:val="000000" w:themeColor="text1"/>
        </w:rPr>
        <w:t xml:space="preserve"> on the racetrack. </w:t>
      </w:r>
    </w:p>
    <w:p w14:paraId="65CED409" w14:textId="77777777" w:rsidR="003A6141" w:rsidRPr="00934757" w:rsidRDefault="003A6141" w:rsidP="00934757">
      <w:pPr>
        <w:spacing w:before="120" w:after="120" w:line="360" w:lineRule="auto"/>
        <w:ind w:right="-46"/>
        <w:jc w:val="both"/>
        <w:rPr>
          <w:rFonts w:ascii="Sylfaen" w:hAnsi="Sylfaen"/>
          <w:color w:val="000000" w:themeColor="text1"/>
        </w:rPr>
      </w:pPr>
    </w:p>
    <w:p w14:paraId="4AA95B99" w14:textId="77777777" w:rsidR="003A6141" w:rsidRPr="00934757" w:rsidRDefault="003A6141" w:rsidP="00934757">
      <w:pPr>
        <w:spacing w:before="120" w:after="120" w:line="360" w:lineRule="auto"/>
        <w:ind w:right="-46"/>
        <w:jc w:val="both"/>
        <w:rPr>
          <w:rFonts w:ascii="Sylfaen" w:hAnsi="Sylfaen"/>
          <w:color w:val="000000" w:themeColor="text1"/>
        </w:rPr>
      </w:pPr>
      <w:r w:rsidRPr="00934757">
        <w:rPr>
          <w:rFonts w:ascii="Sylfaen" w:hAnsi="Sylfaen"/>
          <w:color w:val="000000" w:themeColor="text1"/>
        </w:rPr>
        <w:lastRenderedPageBreak/>
        <w:t>In order to take account of environmental factors affecting racetrack performance further investigative study is needed. The correlations established in this study are relatively low, therefore predictions of racetrack performance should be considered with caution.</w:t>
      </w:r>
    </w:p>
    <w:p w14:paraId="5E2BDFDC" w14:textId="77777777" w:rsidR="003A6141" w:rsidRPr="00934757" w:rsidRDefault="003A6141" w:rsidP="00934757">
      <w:pPr>
        <w:spacing w:before="120" w:after="120" w:line="360" w:lineRule="auto"/>
        <w:ind w:right="-46"/>
        <w:jc w:val="both"/>
        <w:rPr>
          <w:rFonts w:ascii="Sylfaen" w:hAnsi="Sylfaen"/>
          <w:color w:val="000000" w:themeColor="text1"/>
        </w:rPr>
      </w:pPr>
    </w:p>
    <w:p w14:paraId="5437EE9C" w14:textId="2DD2A3E8" w:rsidR="003A6141" w:rsidRPr="00934757" w:rsidRDefault="003A6141" w:rsidP="00934757">
      <w:pPr>
        <w:pStyle w:val="Heading1"/>
        <w:spacing w:before="120" w:after="120" w:line="360" w:lineRule="auto"/>
        <w:rPr>
          <w:rFonts w:ascii="Sylfaen" w:hAnsi="Sylfaen"/>
          <w:b/>
          <w:bCs/>
          <w:color w:val="000000" w:themeColor="text1"/>
          <w:sz w:val="22"/>
          <w:szCs w:val="22"/>
        </w:rPr>
      </w:pPr>
      <w:r w:rsidRPr="00934757">
        <w:rPr>
          <w:rFonts w:ascii="Sylfaen" w:hAnsi="Sylfaen"/>
          <w:b/>
          <w:bCs/>
          <w:color w:val="000000" w:themeColor="text1"/>
          <w:sz w:val="22"/>
          <w:szCs w:val="22"/>
        </w:rPr>
        <w:t>Conclusions</w:t>
      </w:r>
    </w:p>
    <w:p w14:paraId="57204542" w14:textId="77777777" w:rsidR="003A6141" w:rsidRPr="00934757" w:rsidRDefault="003A6141" w:rsidP="00934757">
      <w:pPr>
        <w:spacing w:before="120" w:after="120" w:line="360" w:lineRule="auto"/>
        <w:ind w:right="-46"/>
        <w:jc w:val="both"/>
        <w:rPr>
          <w:rFonts w:ascii="Sylfaen" w:hAnsi="Sylfaen"/>
          <w:color w:val="000000" w:themeColor="text1"/>
        </w:rPr>
      </w:pPr>
      <w:r w:rsidRPr="00934757">
        <w:rPr>
          <w:rFonts w:ascii="Sylfaen" w:hAnsi="Sylfaen"/>
          <w:color w:val="000000" w:themeColor="text1"/>
        </w:rPr>
        <w:t xml:space="preserve">There is a significant relationship between Thoroughbred yearling sale price and racetrack performance at the age of three when end-of-year </w:t>
      </w: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ratings are used. However, the study has confirmed that the high prices paid for yearlings at auction are often not justified by their performance on the racetrack, with many performing worse when compared to less expensive yearlings. There are a number of factors affecting yearling sale price; principally conformation and pedigree are considered most important by buyers. There are a great number of yearlings sold at auction that do not succeed in achieving an end-of-year </w:t>
      </w: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rating at the age of three, either due to never racing or racing to an insufficient standard. The reasons for such failures are not clear; however, they are likely to depend on environmental factors such as the effect of the trainer and jockey, or the inability of buyers to value yearlings accurately.  </w:t>
      </w:r>
    </w:p>
    <w:p w14:paraId="0925C0AB" w14:textId="77777777" w:rsidR="003A6141" w:rsidRPr="00934757" w:rsidRDefault="003A6141" w:rsidP="00934757">
      <w:pPr>
        <w:spacing w:before="120" w:after="120" w:line="360" w:lineRule="auto"/>
        <w:ind w:right="-46"/>
        <w:jc w:val="both"/>
        <w:rPr>
          <w:rFonts w:ascii="Sylfaen" w:hAnsi="Sylfaen"/>
          <w:color w:val="000000" w:themeColor="text1"/>
        </w:rPr>
      </w:pPr>
      <w:r w:rsidRPr="00934757">
        <w:rPr>
          <w:rFonts w:ascii="Sylfaen" w:hAnsi="Sylfaen"/>
          <w:color w:val="000000" w:themeColor="text1"/>
        </w:rPr>
        <w:t xml:space="preserve">The hypothesis for this study was accepted; yearling sale price does have a significant effect on end-of-year </w:t>
      </w: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rating at the age of three. However, although the horses in this study showed a statistically significant correlation, the actual biological strength of this relationship is moderate to weak. Consequently, the use of any predictive modelling needs to be treated with considerable caution. Further work requires the inclusion of other factors that are likely to affect racetrack performance within the modelling process. This is likely to achieve a greater amount of accountable variation with the predictive model and therefore greater confidence in any prediction made.   </w:t>
      </w:r>
    </w:p>
    <w:p w14:paraId="1C6E1088" w14:textId="77777777" w:rsidR="003A6141" w:rsidRPr="00934757" w:rsidRDefault="003A6141" w:rsidP="00934757">
      <w:pPr>
        <w:spacing w:before="120" w:after="120" w:line="360" w:lineRule="auto"/>
        <w:ind w:right="-46"/>
        <w:rPr>
          <w:rFonts w:ascii="Sylfaen" w:hAnsi="Sylfaen"/>
          <w:color w:val="000000" w:themeColor="text1"/>
        </w:rPr>
      </w:pPr>
    </w:p>
    <w:p w14:paraId="467C9CDE" w14:textId="77777777" w:rsidR="000457CB" w:rsidRPr="00934757" w:rsidRDefault="000457CB" w:rsidP="00934757">
      <w:pPr>
        <w:pStyle w:val="Heading1"/>
        <w:spacing w:before="120" w:after="120" w:line="360" w:lineRule="auto"/>
        <w:ind w:right="-46"/>
        <w:rPr>
          <w:rFonts w:ascii="Sylfaen" w:hAnsi="Sylfaen"/>
          <w:b/>
          <w:bCs/>
          <w:color w:val="000000" w:themeColor="text1"/>
          <w:sz w:val="22"/>
          <w:szCs w:val="22"/>
        </w:rPr>
      </w:pPr>
      <w:r w:rsidRPr="00934757">
        <w:rPr>
          <w:rFonts w:ascii="Sylfaen" w:hAnsi="Sylfaen"/>
          <w:b/>
          <w:bCs/>
          <w:color w:val="000000" w:themeColor="text1"/>
          <w:sz w:val="22"/>
          <w:szCs w:val="22"/>
        </w:rPr>
        <w:t>References</w:t>
      </w:r>
    </w:p>
    <w:p w14:paraId="350F495B" w14:textId="77777777" w:rsidR="00BD6374" w:rsidRPr="00934757" w:rsidRDefault="00BD6374" w:rsidP="00934757">
      <w:pPr>
        <w:spacing w:before="120" w:after="120" w:line="360" w:lineRule="auto"/>
        <w:ind w:right="-46"/>
        <w:rPr>
          <w:rFonts w:ascii="Sylfaen" w:hAnsi="Sylfaen"/>
          <w:color w:val="000000" w:themeColor="text1"/>
        </w:rPr>
      </w:pPr>
      <w:r w:rsidRPr="00934757">
        <w:rPr>
          <w:rFonts w:ascii="Sylfaen" w:hAnsi="Sylfaen"/>
          <w:color w:val="000000" w:themeColor="text1"/>
        </w:rPr>
        <w:t xml:space="preserve">Bailey, C. J., Reid, S. W. J., Hodgson, D. R. and Rose, R. J. (1999) ‘Impact of injuries and disease on a cohort of two- and three-year-old thoroughbreds in training’, </w:t>
      </w:r>
      <w:r w:rsidRPr="00934757">
        <w:rPr>
          <w:rFonts w:ascii="Sylfaen" w:hAnsi="Sylfaen"/>
          <w:i/>
          <w:color w:val="000000" w:themeColor="text1"/>
        </w:rPr>
        <w:t>Veterinary Record</w:t>
      </w:r>
      <w:r w:rsidRPr="00934757">
        <w:rPr>
          <w:rFonts w:ascii="Sylfaen" w:hAnsi="Sylfaen"/>
          <w:color w:val="000000" w:themeColor="text1"/>
        </w:rPr>
        <w:t xml:space="preserve">, </w:t>
      </w:r>
      <w:r w:rsidRPr="00934757">
        <w:rPr>
          <w:rFonts w:ascii="Sylfaen" w:hAnsi="Sylfaen"/>
          <w:b/>
          <w:color w:val="000000" w:themeColor="text1"/>
        </w:rPr>
        <w:t>145</w:t>
      </w:r>
      <w:r w:rsidRPr="00934757">
        <w:rPr>
          <w:rFonts w:ascii="Sylfaen" w:hAnsi="Sylfaen"/>
          <w:color w:val="000000" w:themeColor="text1"/>
        </w:rPr>
        <w:t xml:space="preserve">, 487-493.  </w:t>
      </w:r>
    </w:p>
    <w:p w14:paraId="267E081E" w14:textId="77777777" w:rsidR="00BD6374" w:rsidRPr="00934757" w:rsidRDefault="00BD6374" w:rsidP="00934757">
      <w:pPr>
        <w:spacing w:before="120" w:after="120" w:line="360" w:lineRule="auto"/>
        <w:ind w:right="-46"/>
        <w:rPr>
          <w:rFonts w:ascii="Sylfaen" w:hAnsi="Sylfaen"/>
          <w:color w:val="000000" w:themeColor="text1"/>
        </w:rPr>
      </w:pPr>
      <w:r w:rsidRPr="00934757">
        <w:rPr>
          <w:rFonts w:ascii="Sylfaen" w:hAnsi="Sylfaen"/>
          <w:color w:val="000000" w:themeColor="text1"/>
        </w:rPr>
        <w:t xml:space="preserve">British Horseracing Board. (2006) </w:t>
      </w:r>
      <w:r w:rsidRPr="00934757">
        <w:rPr>
          <w:rFonts w:ascii="Sylfaen" w:hAnsi="Sylfaen"/>
          <w:i/>
          <w:color w:val="000000" w:themeColor="text1"/>
        </w:rPr>
        <w:t>British Racing Statistics</w:t>
      </w:r>
      <w:r w:rsidRPr="00934757">
        <w:rPr>
          <w:rFonts w:ascii="Sylfaen" w:hAnsi="Sylfaen"/>
          <w:color w:val="000000" w:themeColor="text1"/>
        </w:rPr>
        <w:t>. Wellingborough: BHB Publications.</w:t>
      </w:r>
    </w:p>
    <w:p w14:paraId="4C0A3B7E" w14:textId="77777777" w:rsidR="00BD6374" w:rsidRPr="00934757" w:rsidRDefault="00BD6374" w:rsidP="00934757">
      <w:pPr>
        <w:spacing w:before="120" w:after="120" w:line="360" w:lineRule="auto"/>
        <w:ind w:right="-46"/>
        <w:rPr>
          <w:rFonts w:ascii="Sylfaen" w:hAnsi="Sylfaen"/>
          <w:color w:val="000000" w:themeColor="text1"/>
        </w:rPr>
      </w:pPr>
      <w:r w:rsidRPr="00934757">
        <w:rPr>
          <w:rFonts w:ascii="Sylfaen" w:hAnsi="Sylfaen"/>
          <w:color w:val="000000" w:themeColor="text1"/>
        </w:rPr>
        <w:lastRenderedPageBreak/>
        <w:t xml:space="preserve">British Horseracing Board. (2007) </w:t>
      </w:r>
      <w:r w:rsidRPr="00934757">
        <w:rPr>
          <w:rFonts w:ascii="Sylfaen" w:hAnsi="Sylfaen"/>
          <w:i/>
          <w:color w:val="000000" w:themeColor="text1"/>
        </w:rPr>
        <w:t>Reports</w:t>
      </w:r>
      <w:r w:rsidRPr="00934757">
        <w:rPr>
          <w:rFonts w:ascii="Sylfaen" w:hAnsi="Sylfaen"/>
          <w:color w:val="000000" w:themeColor="text1"/>
        </w:rPr>
        <w:t xml:space="preserve"> [www document]. http://www.britishhorseracing.com/inside_horseracing/media/2.5.5.1.asp (Accessed 27 October 2008). </w:t>
      </w:r>
    </w:p>
    <w:p w14:paraId="3F992D63" w14:textId="77777777" w:rsidR="00BD6374" w:rsidRPr="00934757" w:rsidRDefault="00BD6374" w:rsidP="00934757">
      <w:pPr>
        <w:spacing w:before="120" w:after="120" w:line="360" w:lineRule="auto"/>
        <w:ind w:right="-46"/>
        <w:rPr>
          <w:rFonts w:ascii="Sylfaen" w:hAnsi="Sylfaen"/>
          <w:color w:val="000000" w:themeColor="text1"/>
        </w:rPr>
      </w:pPr>
      <w:r w:rsidRPr="00934757">
        <w:rPr>
          <w:rFonts w:ascii="Sylfaen" w:hAnsi="Sylfaen"/>
          <w:color w:val="000000" w:themeColor="text1"/>
        </w:rPr>
        <w:t xml:space="preserve">Cassidy, R. (2002) </w:t>
      </w:r>
      <w:r w:rsidRPr="00934757">
        <w:rPr>
          <w:rFonts w:ascii="Sylfaen" w:hAnsi="Sylfaen"/>
          <w:i/>
          <w:color w:val="000000" w:themeColor="text1"/>
        </w:rPr>
        <w:t>The Sport of Kings</w:t>
      </w:r>
      <w:r w:rsidRPr="00934757">
        <w:rPr>
          <w:rFonts w:ascii="Sylfaen" w:hAnsi="Sylfaen"/>
          <w:color w:val="000000" w:themeColor="text1"/>
        </w:rPr>
        <w:t>. Cambridge: Cambridge University Press.</w:t>
      </w:r>
    </w:p>
    <w:p w14:paraId="726EF5EB" w14:textId="77777777" w:rsidR="00BD6374" w:rsidRPr="00934757" w:rsidRDefault="00BD6374" w:rsidP="00934757">
      <w:pPr>
        <w:spacing w:before="120" w:after="120" w:line="360" w:lineRule="auto"/>
        <w:ind w:right="-46"/>
        <w:rPr>
          <w:rFonts w:ascii="Sylfaen" w:hAnsi="Sylfaen"/>
          <w:color w:val="000000" w:themeColor="text1"/>
        </w:rPr>
      </w:pPr>
      <w:r w:rsidRPr="00934757">
        <w:rPr>
          <w:rFonts w:ascii="Sylfaen" w:hAnsi="Sylfaen"/>
          <w:color w:val="000000" w:themeColor="text1"/>
        </w:rPr>
        <w:t xml:space="preserve">Cassidy, R. (2005) ‘Falling in Love with Horses: The International Thoroughbred Auction’, </w:t>
      </w:r>
      <w:r w:rsidRPr="00934757">
        <w:rPr>
          <w:rFonts w:ascii="Sylfaen" w:hAnsi="Sylfaen"/>
          <w:i/>
          <w:color w:val="000000" w:themeColor="text1"/>
        </w:rPr>
        <w:t>Society &amp; Animals: Social Scientific</w:t>
      </w:r>
      <w:r w:rsidRPr="00934757">
        <w:rPr>
          <w:rFonts w:ascii="Sylfaen" w:hAnsi="Sylfaen"/>
          <w:color w:val="000000" w:themeColor="text1"/>
        </w:rPr>
        <w:t xml:space="preserve">, </w:t>
      </w:r>
      <w:r w:rsidRPr="00934757">
        <w:rPr>
          <w:rFonts w:ascii="Sylfaen" w:hAnsi="Sylfaen"/>
          <w:b/>
          <w:color w:val="000000" w:themeColor="text1"/>
        </w:rPr>
        <w:t>13</w:t>
      </w:r>
      <w:r w:rsidRPr="00934757">
        <w:rPr>
          <w:rFonts w:ascii="Sylfaen" w:hAnsi="Sylfaen"/>
          <w:color w:val="000000" w:themeColor="text1"/>
        </w:rPr>
        <w:t xml:space="preserve">, 51-67. </w:t>
      </w:r>
    </w:p>
    <w:p w14:paraId="25DD391A" w14:textId="77777777" w:rsidR="00BD6374" w:rsidRPr="00934757" w:rsidRDefault="00BD6374" w:rsidP="00934757">
      <w:pPr>
        <w:spacing w:before="120" w:after="120" w:line="360" w:lineRule="auto"/>
        <w:ind w:right="-46"/>
        <w:rPr>
          <w:rFonts w:ascii="Sylfaen" w:hAnsi="Sylfaen"/>
          <w:color w:val="000000" w:themeColor="text1"/>
        </w:rPr>
      </w:pPr>
      <w:r w:rsidRPr="00934757">
        <w:rPr>
          <w:rFonts w:ascii="Sylfaen" w:hAnsi="Sylfaen"/>
          <w:color w:val="000000" w:themeColor="text1"/>
        </w:rPr>
        <w:t xml:space="preserve">Cunningham, E. P. (1991) ‘The genetics of thoroughbred horses’, </w:t>
      </w:r>
      <w:r w:rsidRPr="00934757">
        <w:rPr>
          <w:rFonts w:ascii="Sylfaen" w:hAnsi="Sylfaen"/>
          <w:i/>
          <w:color w:val="000000" w:themeColor="text1"/>
        </w:rPr>
        <w:t>Scientific American</w:t>
      </w:r>
      <w:r w:rsidRPr="00934757">
        <w:rPr>
          <w:rFonts w:ascii="Sylfaen" w:hAnsi="Sylfaen"/>
          <w:color w:val="000000" w:themeColor="text1"/>
        </w:rPr>
        <w:t xml:space="preserve">, </w:t>
      </w:r>
      <w:r w:rsidRPr="00934757">
        <w:rPr>
          <w:rFonts w:ascii="Sylfaen" w:hAnsi="Sylfaen"/>
          <w:b/>
          <w:color w:val="000000" w:themeColor="text1"/>
        </w:rPr>
        <w:t>264</w:t>
      </w:r>
      <w:r w:rsidRPr="00934757">
        <w:rPr>
          <w:rFonts w:ascii="Sylfaen" w:hAnsi="Sylfaen"/>
          <w:color w:val="000000" w:themeColor="text1"/>
        </w:rPr>
        <w:t>, (5), 91-98.</w:t>
      </w:r>
    </w:p>
    <w:p w14:paraId="32E45052" w14:textId="77777777" w:rsidR="00BD6374" w:rsidRPr="00934757" w:rsidRDefault="00BD6374" w:rsidP="00934757">
      <w:pPr>
        <w:spacing w:before="120" w:after="120" w:line="360" w:lineRule="auto"/>
        <w:ind w:right="-46"/>
        <w:rPr>
          <w:rFonts w:ascii="Sylfaen" w:hAnsi="Sylfaen"/>
          <w:color w:val="000000" w:themeColor="text1"/>
        </w:rPr>
      </w:pPr>
      <w:r w:rsidRPr="00934757">
        <w:rPr>
          <w:rFonts w:ascii="Sylfaen" w:hAnsi="Sylfaen"/>
          <w:color w:val="000000" w:themeColor="text1"/>
        </w:rPr>
        <w:t xml:space="preserve">Fuller, A. (2003) </w:t>
      </w:r>
      <w:r w:rsidRPr="00934757">
        <w:rPr>
          <w:rFonts w:ascii="Sylfaen" w:hAnsi="Sylfaen"/>
          <w:i/>
          <w:color w:val="000000" w:themeColor="text1"/>
        </w:rPr>
        <w:t>An Investigation into the Relationship between Sale Price and Racing Performance of Yearlings Purchased by the Leading Buyers</w:t>
      </w:r>
      <w:r w:rsidRPr="00934757">
        <w:rPr>
          <w:rFonts w:ascii="Sylfaen" w:hAnsi="Sylfaen"/>
          <w:color w:val="000000" w:themeColor="text1"/>
        </w:rPr>
        <w:t xml:space="preserve">. Unpublished BSc dissertation. Chelmsford: Writtle College. </w:t>
      </w:r>
    </w:p>
    <w:p w14:paraId="7BEA2444" w14:textId="77777777" w:rsidR="00BD6374" w:rsidRPr="00934757" w:rsidRDefault="00BD6374" w:rsidP="00934757">
      <w:pPr>
        <w:spacing w:before="120" w:after="120" w:line="360" w:lineRule="auto"/>
        <w:ind w:right="-46"/>
        <w:rPr>
          <w:rFonts w:ascii="Sylfaen" w:hAnsi="Sylfaen"/>
          <w:color w:val="000000" w:themeColor="text1"/>
        </w:rPr>
      </w:pPr>
      <w:proofErr w:type="spellStart"/>
      <w:r w:rsidRPr="00934757">
        <w:rPr>
          <w:rFonts w:ascii="Sylfaen" w:hAnsi="Sylfaen"/>
          <w:color w:val="000000" w:themeColor="text1"/>
        </w:rPr>
        <w:t>Goffs</w:t>
      </w:r>
      <w:proofErr w:type="spellEnd"/>
      <w:r w:rsidRPr="00934757">
        <w:rPr>
          <w:rFonts w:ascii="Sylfaen" w:hAnsi="Sylfaen"/>
          <w:color w:val="000000" w:themeColor="text1"/>
        </w:rPr>
        <w:t xml:space="preserve">. (2008a) </w:t>
      </w:r>
      <w:proofErr w:type="spellStart"/>
      <w:r w:rsidRPr="00934757">
        <w:rPr>
          <w:rFonts w:ascii="Sylfaen" w:hAnsi="Sylfaen"/>
          <w:i/>
          <w:color w:val="000000" w:themeColor="text1"/>
        </w:rPr>
        <w:t>Goffs</w:t>
      </w:r>
      <w:proofErr w:type="spellEnd"/>
      <w:r w:rsidRPr="00934757">
        <w:rPr>
          <w:rFonts w:ascii="Sylfaen" w:hAnsi="Sylfaen"/>
          <w:i/>
          <w:color w:val="000000" w:themeColor="text1"/>
        </w:rPr>
        <w:t xml:space="preserve"> History</w:t>
      </w:r>
      <w:r w:rsidRPr="00934757">
        <w:rPr>
          <w:rFonts w:ascii="Sylfaen" w:hAnsi="Sylfaen"/>
          <w:color w:val="000000" w:themeColor="text1"/>
        </w:rPr>
        <w:t xml:space="preserve"> [www document]. http://www.goffs.com/ (Accessed 16 January 2009). </w:t>
      </w:r>
    </w:p>
    <w:p w14:paraId="607E33AC" w14:textId="77777777" w:rsidR="00BD6374" w:rsidRPr="00934757" w:rsidRDefault="00BD6374" w:rsidP="00934757">
      <w:pPr>
        <w:spacing w:before="120" w:after="120" w:line="360" w:lineRule="auto"/>
        <w:ind w:right="-46"/>
        <w:rPr>
          <w:rFonts w:ascii="Sylfaen" w:hAnsi="Sylfaen"/>
          <w:color w:val="000000" w:themeColor="text1"/>
        </w:rPr>
      </w:pPr>
      <w:r w:rsidRPr="00934757">
        <w:rPr>
          <w:rFonts w:ascii="Sylfaen" w:hAnsi="Sylfaen"/>
          <w:color w:val="000000" w:themeColor="text1"/>
        </w:rPr>
        <w:t xml:space="preserve">Jeffcott, L. B., Rossdale, P. D., Freestone, J., Frank, C. J. and Towers-Clark, P. F. (1982) ‘An assessment of wastage in thoroughbred racing from conception to 4 years of age’, </w:t>
      </w:r>
      <w:r w:rsidRPr="00934757">
        <w:rPr>
          <w:rFonts w:ascii="Sylfaen" w:hAnsi="Sylfaen"/>
          <w:i/>
          <w:color w:val="000000" w:themeColor="text1"/>
        </w:rPr>
        <w:t>Equine Veterinary Journal</w:t>
      </w:r>
      <w:r w:rsidRPr="00934757">
        <w:rPr>
          <w:rFonts w:ascii="Sylfaen" w:hAnsi="Sylfaen"/>
          <w:color w:val="000000" w:themeColor="text1"/>
        </w:rPr>
        <w:t xml:space="preserve">, </w:t>
      </w:r>
      <w:r w:rsidRPr="00934757">
        <w:rPr>
          <w:rFonts w:ascii="Sylfaen" w:hAnsi="Sylfaen"/>
          <w:b/>
          <w:color w:val="000000" w:themeColor="text1"/>
        </w:rPr>
        <w:t>14</w:t>
      </w:r>
      <w:r w:rsidRPr="00934757">
        <w:rPr>
          <w:rFonts w:ascii="Sylfaen" w:hAnsi="Sylfaen"/>
          <w:color w:val="000000" w:themeColor="text1"/>
        </w:rPr>
        <w:t>, (3), 185-198.</w:t>
      </w:r>
    </w:p>
    <w:p w14:paraId="649127C5" w14:textId="77777777" w:rsidR="00BD6374" w:rsidRPr="00934757" w:rsidRDefault="00BD6374" w:rsidP="00934757">
      <w:pPr>
        <w:spacing w:before="120" w:after="120" w:line="360" w:lineRule="auto"/>
        <w:ind w:right="-46"/>
        <w:rPr>
          <w:rFonts w:ascii="Sylfaen" w:hAnsi="Sylfaen"/>
          <w:color w:val="000000" w:themeColor="text1"/>
        </w:rPr>
      </w:pPr>
      <w:r w:rsidRPr="00934757">
        <w:rPr>
          <w:rFonts w:ascii="Sylfaen" w:hAnsi="Sylfaen"/>
          <w:color w:val="000000" w:themeColor="text1"/>
        </w:rPr>
        <w:t xml:space="preserve">More, S. J. (1998) ‘A longitudinal study of racing Thoroughbreds: performance during the first years of racing’, </w:t>
      </w:r>
      <w:r w:rsidRPr="00934757">
        <w:rPr>
          <w:rFonts w:ascii="Sylfaen" w:hAnsi="Sylfaen"/>
          <w:i/>
          <w:color w:val="000000" w:themeColor="text1"/>
        </w:rPr>
        <w:t>Australian Veterinary Journal</w:t>
      </w:r>
      <w:r w:rsidRPr="00934757">
        <w:rPr>
          <w:rFonts w:ascii="Sylfaen" w:hAnsi="Sylfaen"/>
          <w:color w:val="000000" w:themeColor="text1"/>
        </w:rPr>
        <w:t xml:space="preserve">, </w:t>
      </w:r>
      <w:r w:rsidRPr="00934757">
        <w:rPr>
          <w:rFonts w:ascii="Sylfaen" w:hAnsi="Sylfaen"/>
          <w:b/>
          <w:color w:val="000000" w:themeColor="text1"/>
        </w:rPr>
        <w:t>77</w:t>
      </w:r>
      <w:r w:rsidRPr="00934757">
        <w:rPr>
          <w:rFonts w:ascii="Sylfaen" w:hAnsi="Sylfaen"/>
          <w:color w:val="000000" w:themeColor="text1"/>
        </w:rPr>
        <w:t xml:space="preserve">, (2), 105-112. </w:t>
      </w:r>
    </w:p>
    <w:p w14:paraId="2FAFAC0D" w14:textId="77777777" w:rsidR="00BD6374" w:rsidRPr="00934757" w:rsidRDefault="00BD6374" w:rsidP="00934757">
      <w:pPr>
        <w:spacing w:before="120" w:after="120" w:line="360" w:lineRule="auto"/>
        <w:ind w:right="-46"/>
        <w:rPr>
          <w:rFonts w:ascii="Sylfaen" w:hAnsi="Sylfaen"/>
          <w:color w:val="000000" w:themeColor="text1"/>
        </w:rPr>
      </w:pPr>
      <w:r w:rsidRPr="00934757">
        <w:rPr>
          <w:rFonts w:ascii="Sylfaen" w:hAnsi="Sylfaen"/>
          <w:color w:val="000000" w:themeColor="text1"/>
        </w:rPr>
        <w:t xml:space="preserve">Pacemaker. (2003) ‘Places to Buy and Sell. A round-up of some of the world’s leading sales companies (Part 1)’, </w:t>
      </w:r>
      <w:r w:rsidRPr="00934757">
        <w:rPr>
          <w:rFonts w:ascii="Sylfaen" w:hAnsi="Sylfaen"/>
          <w:i/>
          <w:color w:val="000000" w:themeColor="text1"/>
        </w:rPr>
        <w:t>Pacemaker</w:t>
      </w:r>
      <w:r w:rsidRPr="00934757">
        <w:rPr>
          <w:rFonts w:ascii="Sylfaen" w:hAnsi="Sylfaen"/>
          <w:color w:val="000000" w:themeColor="text1"/>
        </w:rPr>
        <w:t xml:space="preserve">, October: 57–63. </w:t>
      </w:r>
    </w:p>
    <w:p w14:paraId="01682F64" w14:textId="77777777" w:rsidR="00BD6374" w:rsidRPr="00934757" w:rsidRDefault="00BD6374" w:rsidP="00934757">
      <w:pPr>
        <w:spacing w:before="120" w:after="120" w:line="360" w:lineRule="auto"/>
        <w:ind w:right="-46"/>
        <w:rPr>
          <w:rFonts w:ascii="Sylfaen" w:hAnsi="Sylfaen"/>
          <w:color w:val="000000" w:themeColor="text1"/>
        </w:rPr>
      </w:pPr>
      <w:r w:rsidRPr="00934757">
        <w:rPr>
          <w:rFonts w:ascii="Sylfaen" w:hAnsi="Sylfaen"/>
          <w:color w:val="000000" w:themeColor="text1"/>
        </w:rPr>
        <w:t xml:space="preserve">Parsons, C. and Smith, I. (2008) ‘The Price of Thoroughbred Yearlings in Britain’, </w:t>
      </w:r>
      <w:r w:rsidRPr="00934757">
        <w:rPr>
          <w:rFonts w:ascii="Sylfaen" w:hAnsi="Sylfaen"/>
          <w:i/>
          <w:color w:val="000000" w:themeColor="text1"/>
        </w:rPr>
        <w:t>Journal of Sports Economics</w:t>
      </w:r>
      <w:r w:rsidRPr="00934757">
        <w:rPr>
          <w:rFonts w:ascii="Sylfaen" w:hAnsi="Sylfaen"/>
          <w:color w:val="000000" w:themeColor="text1"/>
        </w:rPr>
        <w:t xml:space="preserve">, </w:t>
      </w:r>
      <w:r w:rsidRPr="00934757">
        <w:rPr>
          <w:rFonts w:ascii="Sylfaen" w:hAnsi="Sylfaen"/>
          <w:b/>
          <w:color w:val="000000" w:themeColor="text1"/>
        </w:rPr>
        <w:t>9</w:t>
      </w:r>
      <w:r w:rsidRPr="00934757">
        <w:rPr>
          <w:rFonts w:ascii="Sylfaen" w:hAnsi="Sylfaen"/>
          <w:color w:val="000000" w:themeColor="text1"/>
        </w:rPr>
        <w:t xml:space="preserve">, (1), 43-66. </w:t>
      </w:r>
    </w:p>
    <w:p w14:paraId="254CDAAD" w14:textId="6CBA19A3" w:rsidR="00BD6374" w:rsidRPr="00934757" w:rsidRDefault="00BD6374" w:rsidP="00934757">
      <w:pPr>
        <w:tabs>
          <w:tab w:val="left" w:pos="7290"/>
        </w:tabs>
        <w:spacing w:before="120" w:after="120" w:line="360" w:lineRule="auto"/>
        <w:ind w:right="-46"/>
        <w:rPr>
          <w:rFonts w:ascii="Sylfaen" w:hAnsi="Sylfaen"/>
          <w:color w:val="000000" w:themeColor="text1"/>
        </w:rPr>
      </w:pPr>
      <w:r w:rsidRPr="00934757">
        <w:rPr>
          <w:rFonts w:ascii="Sylfaen" w:hAnsi="Sylfaen"/>
          <w:color w:val="000000" w:themeColor="text1"/>
        </w:rPr>
        <w:t xml:space="preserve">Racing Post. (2008) </w:t>
      </w:r>
      <w:r w:rsidRPr="00934757">
        <w:rPr>
          <w:rFonts w:ascii="Sylfaen" w:hAnsi="Sylfaen"/>
          <w:i/>
          <w:color w:val="000000" w:themeColor="text1"/>
        </w:rPr>
        <w:t>Bloodstock – Sales Search</w:t>
      </w:r>
      <w:r w:rsidRPr="00934757">
        <w:rPr>
          <w:rFonts w:ascii="Sylfaen" w:hAnsi="Sylfaen"/>
          <w:color w:val="000000" w:themeColor="text1"/>
        </w:rPr>
        <w:t xml:space="preserve"> [www document]. http://www.racingpost.co.uk/bloodstock/bs_sales_search.sd (Accessed 5 October 2008). </w:t>
      </w:r>
    </w:p>
    <w:p w14:paraId="106DEDCA" w14:textId="77777777" w:rsidR="00BD6374" w:rsidRPr="00934757" w:rsidRDefault="00BD6374" w:rsidP="00934757">
      <w:pPr>
        <w:spacing w:before="120" w:after="120" w:line="360" w:lineRule="auto"/>
        <w:ind w:right="-46"/>
        <w:rPr>
          <w:rFonts w:ascii="Sylfaen" w:hAnsi="Sylfaen"/>
          <w:color w:val="000000" w:themeColor="text1"/>
        </w:rPr>
      </w:pPr>
      <w:proofErr w:type="spellStart"/>
      <w:r w:rsidRPr="00934757">
        <w:rPr>
          <w:rFonts w:ascii="Sylfaen" w:hAnsi="Sylfaen"/>
          <w:color w:val="000000" w:themeColor="text1"/>
        </w:rPr>
        <w:t>Sobczyńska</w:t>
      </w:r>
      <w:proofErr w:type="spellEnd"/>
      <w:r w:rsidRPr="00934757">
        <w:rPr>
          <w:rFonts w:ascii="Sylfaen" w:hAnsi="Sylfaen"/>
          <w:color w:val="000000" w:themeColor="text1"/>
        </w:rPr>
        <w:t xml:space="preserve">, M. (2007) ‘The effect of selected factors on length of racing career in Thoroughbred racehorses in Poland’, </w:t>
      </w:r>
      <w:r w:rsidRPr="00934757">
        <w:rPr>
          <w:rFonts w:ascii="Sylfaen" w:hAnsi="Sylfaen"/>
          <w:i/>
          <w:color w:val="000000" w:themeColor="text1"/>
        </w:rPr>
        <w:t>Animal Science Papers and Reports</w:t>
      </w:r>
      <w:r w:rsidRPr="00934757">
        <w:rPr>
          <w:rFonts w:ascii="Sylfaen" w:hAnsi="Sylfaen"/>
          <w:color w:val="000000" w:themeColor="text1"/>
        </w:rPr>
        <w:t xml:space="preserve">, </w:t>
      </w:r>
      <w:r w:rsidRPr="00934757">
        <w:rPr>
          <w:rFonts w:ascii="Sylfaen" w:hAnsi="Sylfaen"/>
          <w:b/>
          <w:color w:val="000000" w:themeColor="text1"/>
        </w:rPr>
        <w:t>25</w:t>
      </w:r>
      <w:r w:rsidRPr="00934757">
        <w:rPr>
          <w:rFonts w:ascii="Sylfaen" w:hAnsi="Sylfaen"/>
          <w:color w:val="000000" w:themeColor="text1"/>
        </w:rPr>
        <w:t xml:space="preserve">, (3), 131-141. </w:t>
      </w:r>
    </w:p>
    <w:p w14:paraId="64480C6D" w14:textId="77777777" w:rsidR="00BD6374" w:rsidRPr="00934757" w:rsidRDefault="00BD6374" w:rsidP="00934757">
      <w:pPr>
        <w:spacing w:before="120" w:after="120" w:line="360" w:lineRule="auto"/>
        <w:ind w:right="-46"/>
        <w:rPr>
          <w:rFonts w:ascii="Sylfaen" w:hAnsi="Sylfaen"/>
          <w:color w:val="000000" w:themeColor="text1"/>
        </w:rPr>
      </w:pPr>
      <w:r w:rsidRPr="00934757">
        <w:rPr>
          <w:rFonts w:ascii="Sylfaen" w:hAnsi="Sylfaen"/>
          <w:color w:val="000000" w:themeColor="text1"/>
        </w:rPr>
        <w:t>SPSS Inc. (2001) SPSS Version 11. SPSS Inc, Chicago.</w:t>
      </w:r>
    </w:p>
    <w:p w14:paraId="3B118FF8" w14:textId="77777777" w:rsidR="00BD6374" w:rsidRPr="00934757" w:rsidRDefault="00BD6374" w:rsidP="00934757">
      <w:pPr>
        <w:tabs>
          <w:tab w:val="left" w:pos="2880"/>
        </w:tabs>
        <w:spacing w:before="120" w:after="120" w:line="360" w:lineRule="auto"/>
        <w:ind w:right="-46"/>
        <w:rPr>
          <w:rFonts w:ascii="Sylfaen" w:hAnsi="Sylfaen"/>
          <w:color w:val="000000" w:themeColor="text1"/>
        </w:rPr>
      </w:pPr>
      <w:proofErr w:type="spellStart"/>
      <w:r w:rsidRPr="00934757">
        <w:rPr>
          <w:rFonts w:ascii="Sylfaen" w:hAnsi="Sylfaen"/>
          <w:color w:val="000000" w:themeColor="text1"/>
        </w:rPr>
        <w:lastRenderedPageBreak/>
        <w:t>Thiruvenkadan</w:t>
      </w:r>
      <w:proofErr w:type="spellEnd"/>
      <w:r w:rsidRPr="00934757">
        <w:rPr>
          <w:rFonts w:ascii="Sylfaen" w:hAnsi="Sylfaen"/>
          <w:color w:val="000000" w:themeColor="text1"/>
        </w:rPr>
        <w:t xml:space="preserve">, A. K., Kandasamy, N. and </w:t>
      </w:r>
      <w:proofErr w:type="spellStart"/>
      <w:r w:rsidRPr="00934757">
        <w:rPr>
          <w:rFonts w:ascii="Sylfaen" w:hAnsi="Sylfaen"/>
          <w:color w:val="000000" w:themeColor="text1"/>
        </w:rPr>
        <w:t>Panneerselvam</w:t>
      </w:r>
      <w:proofErr w:type="spellEnd"/>
      <w:r w:rsidRPr="00934757">
        <w:rPr>
          <w:rFonts w:ascii="Sylfaen" w:hAnsi="Sylfaen"/>
          <w:color w:val="000000" w:themeColor="text1"/>
        </w:rPr>
        <w:t xml:space="preserve">, S. (2008, in press) ‘Inheritance of racing performance of Thoroughbred </w:t>
      </w:r>
      <w:proofErr w:type="gramStart"/>
      <w:r w:rsidRPr="00934757">
        <w:rPr>
          <w:rFonts w:ascii="Sylfaen" w:hAnsi="Sylfaen"/>
          <w:color w:val="000000" w:themeColor="text1"/>
        </w:rPr>
        <w:t>horses’</w:t>
      </w:r>
      <w:proofErr w:type="gramEnd"/>
      <w:r w:rsidRPr="00934757">
        <w:rPr>
          <w:rFonts w:ascii="Sylfaen" w:hAnsi="Sylfaen"/>
          <w:color w:val="000000" w:themeColor="text1"/>
        </w:rPr>
        <w:t xml:space="preserve">. </w:t>
      </w:r>
      <w:r w:rsidRPr="00934757">
        <w:rPr>
          <w:rFonts w:ascii="Sylfaen" w:hAnsi="Sylfaen"/>
          <w:i/>
          <w:color w:val="000000" w:themeColor="text1"/>
        </w:rPr>
        <w:t>Livestock Science</w:t>
      </w:r>
      <w:r w:rsidRPr="00934757">
        <w:rPr>
          <w:rFonts w:ascii="Sylfaen" w:hAnsi="Sylfaen"/>
          <w:color w:val="000000" w:themeColor="text1"/>
        </w:rPr>
        <w:t>.</w:t>
      </w:r>
    </w:p>
    <w:p w14:paraId="2BCD0180" w14:textId="77777777" w:rsidR="00BD6374" w:rsidRPr="00934757" w:rsidRDefault="00BD6374" w:rsidP="00934757">
      <w:pPr>
        <w:spacing w:before="120" w:after="120" w:line="360" w:lineRule="auto"/>
        <w:ind w:right="-46"/>
        <w:rPr>
          <w:rFonts w:ascii="Sylfaen" w:hAnsi="Sylfaen"/>
          <w:color w:val="000000" w:themeColor="text1"/>
        </w:rPr>
      </w:pP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(2008) </w:t>
      </w:r>
      <w:r w:rsidRPr="00934757">
        <w:rPr>
          <w:rFonts w:ascii="Sylfaen" w:hAnsi="Sylfaen"/>
          <w:i/>
          <w:color w:val="000000" w:themeColor="text1"/>
        </w:rPr>
        <w:t xml:space="preserve">About </w:t>
      </w:r>
      <w:proofErr w:type="spellStart"/>
      <w:r w:rsidRPr="00934757">
        <w:rPr>
          <w:rFonts w:ascii="Sylfaen" w:hAnsi="Sylfaen"/>
          <w:i/>
          <w:color w:val="000000" w:themeColor="text1"/>
        </w:rPr>
        <w:t>Timeform</w:t>
      </w:r>
      <w:proofErr w:type="spellEnd"/>
      <w:r w:rsidRPr="00934757">
        <w:rPr>
          <w:rFonts w:ascii="Sylfaen" w:hAnsi="Sylfaen"/>
          <w:color w:val="000000" w:themeColor="text1"/>
        </w:rPr>
        <w:t xml:space="preserve"> [www document]. http://www.timeform.com/display_articles.asp?page=About_Timeform.asp (Accessed 18 October 2008). </w:t>
      </w:r>
    </w:p>
    <w:p w14:paraId="72BF4E42" w14:textId="77777777" w:rsidR="00BD6374" w:rsidRPr="00934757" w:rsidRDefault="00BD6374" w:rsidP="00934757">
      <w:pPr>
        <w:spacing w:before="120" w:after="120" w:line="360" w:lineRule="auto"/>
        <w:ind w:right="-46"/>
        <w:rPr>
          <w:rFonts w:ascii="Sylfaen" w:hAnsi="Sylfaen"/>
          <w:color w:val="000000" w:themeColor="text1"/>
        </w:rPr>
      </w:pP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(2009) </w:t>
      </w:r>
      <w:proofErr w:type="spellStart"/>
      <w:r w:rsidRPr="00934757">
        <w:rPr>
          <w:rFonts w:ascii="Sylfaen" w:hAnsi="Sylfaen"/>
          <w:i/>
          <w:color w:val="000000" w:themeColor="text1"/>
        </w:rPr>
        <w:t>Timeform</w:t>
      </w:r>
      <w:proofErr w:type="spellEnd"/>
      <w:r w:rsidRPr="00934757">
        <w:rPr>
          <w:rFonts w:ascii="Sylfaen" w:hAnsi="Sylfaen"/>
          <w:i/>
          <w:color w:val="000000" w:themeColor="text1"/>
        </w:rPr>
        <w:t xml:space="preserve"> Global Rankings 2009: Issue 3</w:t>
      </w:r>
      <w:r w:rsidRPr="00934757">
        <w:rPr>
          <w:rFonts w:ascii="Sylfaen" w:hAnsi="Sylfaen"/>
          <w:color w:val="000000" w:themeColor="text1"/>
        </w:rPr>
        <w:t xml:space="preserve"> [www document]. http://www.timeform.com/display_articles.asp?page=Global_Rankings.asp (Accessed 26 April 2009). </w:t>
      </w:r>
    </w:p>
    <w:p w14:paraId="302A341C" w14:textId="77777777" w:rsidR="00BD6374" w:rsidRPr="00934757" w:rsidRDefault="00BD6374" w:rsidP="00934757">
      <w:pPr>
        <w:spacing w:before="120" w:after="120" w:line="360" w:lineRule="auto"/>
        <w:ind w:right="-46"/>
        <w:rPr>
          <w:rFonts w:ascii="Sylfaen" w:hAnsi="Sylfaen"/>
          <w:color w:val="000000" w:themeColor="text1"/>
        </w:rPr>
      </w:pP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Racing. (2007) </w:t>
      </w:r>
      <w:r w:rsidRPr="00934757">
        <w:rPr>
          <w:rFonts w:ascii="Sylfaen" w:hAnsi="Sylfaen"/>
          <w:i/>
          <w:color w:val="000000" w:themeColor="text1"/>
        </w:rPr>
        <w:t>Racehorses of 2006</w:t>
      </w:r>
      <w:r w:rsidRPr="00934757">
        <w:rPr>
          <w:rFonts w:ascii="Sylfaen" w:hAnsi="Sylfaen"/>
          <w:color w:val="000000" w:themeColor="text1"/>
        </w:rPr>
        <w:t>. Halifax: Portway Press Ltd.</w:t>
      </w:r>
    </w:p>
    <w:p w14:paraId="5E1DF302" w14:textId="77777777" w:rsidR="00BD6374" w:rsidRPr="00934757" w:rsidRDefault="00BD6374" w:rsidP="00934757">
      <w:pPr>
        <w:spacing w:before="120" w:after="120" w:line="360" w:lineRule="auto"/>
        <w:ind w:right="-46"/>
        <w:rPr>
          <w:rFonts w:ascii="Sylfaen" w:hAnsi="Sylfaen"/>
          <w:color w:val="000000" w:themeColor="text1"/>
        </w:rPr>
      </w:pPr>
      <w:proofErr w:type="spellStart"/>
      <w:r w:rsidRPr="00934757">
        <w:rPr>
          <w:rFonts w:ascii="Sylfaen" w:hAnsi="Sylfaen"/>
          <w:color w:val="000000" w:themeColor="text1"/>
        </w:rPr>
        <w:t>Timeform</w:t>
      </w:r>
      <w:proofErr w:type="spellEnd"/>
      <w:r w:rsidRPr="00934757">
        <w:rPr>
          <w:rFonts w:ascii="Sylfaen" w:hAnsi="Sylfaen"/>
          <w:color w:val="000000" w:themeColor="text1"/>
        </w:rPr>
        <w:t xml:space="preserve"> Racing. (2008) </w:t>
      </w:r>
      <w:r w:rsidRPr="00934757">
        <w:rPr>
          <w:rFonts w:ascii="Sylfaen" w:hAnsi="Sylfaen"/>
          <w:i/>
          <w:color w:val="000000" w:themeColor="text1"/>
        </w:rPr>
        <w:t>Racehorses of 2007</w:t>
      </w:r>
      <w:r w:rsidRPr="00934757">
        <w:rPr>
          <w:rFonts w:ascii="Sylfaen" w:hAnsi="Sylfaen"/>
          <w:color w:val="000000" w:themeColor="text1"/>
        </w:rPr>
        <w:t>. Halifax: Portway Press Ltd.</w:t>
      </w:r>
    </w:p>
    <w:p w14:paraId="3E006F97" w14:textId="77777777" w:rsidR="00BD6374" w:rsidRPr="00934757" w:rsidRDefault="00BD6374" w:rsidP="00934757">
      <w:pPr>
        <w:spacing w:before="120" w:after="120" w:line="360" w:lineRule="auto"/>
        <w:ind w:right="-46"/>
        <w:rPr>
          <w:rFonts w:ascii="Sylfaen" w:hAnsi="Sylfaen"/>
          <w:color w:val="000000" w:themeColor="text1"/>
        </w:rPr>
      </w:pPr>
      <w:proofErr w:type="spellStart"/>
      <w:r w:rsidRPr="00934757">
        <w:rPr>
          <w:rFonts w:ascii="Sylfaen" w:hAnsi="Sylfaen"/>
          <w:color w:val="000000" w:themeColor="text1"/>
        </w:rPr>
        <w:t>Weatherbys</w:t>
      </w:r>
      <w:proofErr w:type="spellEnd"/>
      <w:r w:rsidRPr="00934757">
        <w:rPr>
          <w:rFonts w:ascii="Sylfaen" w:hAnsi="Sylfaen"/>
          <w:color w:val="000000" w:themeColor="text1"/>
        </w:rPr>
        <w:t xml:space="preserve">. (2004) </w:t>
      </w:r>
      <w:r w:rsidRPr="00934757">
        <w:rPr>
          <w:rFonts w:ascii="Sylfaen" w:hAnsi="Sylfaen"/>
          <w:i/>
          <w:color w:val="000000" w:themeColor="text1"/>
        </w:rPr>
        <w:t>The Bloodstock Sales Review 2004</w:t>
      </w:r>
      <w:r w:rsidRPr="00934757">
        <w:rPr>
          <w:rFonts w:ascii="Sylfaen" w:hAnsi="Sylfaen"/>
          <w:color w:val="000000" w:themeColor="text1"/>
        </w:rPr>
        <w:t xml:space="preserve">. Wellingborough: </w:t>
      </w:r>
      <w:proofErr w:type="spellStart"/>
      <w:r w:rsidRPr="00934757">
        <w:rPr>
          <w:rFonts w:ascii="Sylfaen" w:hAnsi="Sylfaen"/>
          <w:color w:val="000000" w:themeColor="text1"/>
        </w:rPr>
        <w:t>Weatherbys</w:t>
      </w:r>
      <w:proofErr w:type="spellEnd"/>
      <w:r w:rsidRPr="00934757">
        <w:rPr>
          <w:rFonts w:ascii="Sylfaen" w:hAnsi="Sylfaen"/>
          <w:color w:val="000000" w:themeColor="text1"/>
        </w:rPr>
        <w:t>.</w:t>
      </w:r>
    </w:p>
    <w:p w14:paraId="31C5C1DB" w14:textId="77777777" w:rsidR="00BD6374" w:rsidRPr="00934757" w:rsidRDefault="00BD6374" w:rsidP="00934757">
      <w:pPr>
        <w:spacing w:before="120" w:after="120" w:line="360" w:lineRule="auto"/>
        <w:ind w:right="-46"/>
        <w:rPr>
          <w:rFonts w:ascii="Sylfaen" w:hAnsi="Sylfaen"/>
          <w:color w:val="000000" w:themeColor="text1"/>
        </w:rPr>
      </w:pPr>
      <w:proofErr w:type="spellStart"/>
      <w:r w:rsidRPr="00934757">
        <w:rPr>
          <w:rFonts w:ascii="Sylfaen" w:hAnsi="Sylfaen"/>
          <w:color w:val="000000" w:themeColor="text1"/>
        </w:rPr>
        <w:t>Weatherbys</w:t>
      </w:r>
      <w:proofErr w:type="spellEnd"/>
      <w:r w:rsidRPr="00934757">
        <w:rPr>
          <w:rFonts w:ascii="Sylfaen" w:hAnsi="Sylfaen"/>
          <w:color w:val="000000" w:themeColor="text1"/>
        </w:rPr>
        <w:t xml:space="preserve">. (2005) </w:t>
      </w:r>
      <w:r w:rsidRPr="00934757">
        <w:rPr>
          <w:rFonts w:ascii="Sylfaen" w:hAnsi="Sylfaen"/>
          <w:i/>
          <w:color w:val="000000" w:themeColor="text1"/>
        </w:rPr>
        <w:t>The Bloodstock Sales Review 2005</w:t>
      </w:r>
      <w:r w:rsidRPr="00934757">
        <w:rPr>
          <w:rFonts w:ascii="Sylfaen" w:hAnsi="Sylfaen"/>
          <w:color w:val="000000" w:themeColor="text1"/>
        </w:rPr>
        <w:t xml:space="preserve">. Wellingborough: </w:t>
      </w:r>
      <w:proofErr w:type="spellStart"/>
      <w:r w:rsidRPr="00934757">
        <w:rPr>
          <w:rFonts w:ascii="Sylfaen" w:hAnsi="Sylfaen"/>
          <w:color w:val="000000" w:themeColor="text1"/>
        </w:rPr>
        <w:t>Weatherbys</w:t>
      </w:r>
      <w:proofErr w:type="spellEnd"/>
      <w:r w:rsidRPr="00934757">
        <w:rPr>
          <w:rFonts w:ascii="Sylfaen" w:hAnsi="Sylfaen"/>
          <w:color w:val="000000" w:themeColor="text1"/>
        </w:rPr>
        <w:t>.</w:t>
      </w:r>
    </w:p>
    <w:p w14:paraId="0AAACBC6" w14:textId="77777777" w:rsidR="00BD6374" w:rsidRPr="00934757" w:rsidRDefault="00BD6374" w:rsidP="00934757">
      <w:pPr>
        <w:spacing w:before="120" w:after="120" w:line="360" w:lineRule="auto"/>
        <w:ind w:right="-46"/>
        <w:rPr>
          <w:rFonts w:ascii="Sylfaen" w:hAnsi="Sylfaen"/>
          <w:color w:val="000000" w:themeColor="text1"/>
        </w:rPr>
      </w:pPr>
      <w:proofErr w:type="spellStart"/>
      <w:r w:rsidRPr="00934757">
        <w:rPr>
          <w:rFonts w:ascii="Sylfaen" w:hAnsi="Sylfaen"/>
          <w:color w:val="000000" w:themeColor="text1"/>
        </w:rPr>
        <w:t>Wilsher</w:t>
      </w:r>
      <w:proofErr w:type="spellEnd"/>
      <w:r w:rsidRPr="00934757">
        <w:rPr>
          <w:rFonts w:ascii="Sylfaen" w:hAnsi="Sylfaen"/>
          <w:color w:val="000000" w:themeColor="text1"/>
        </w:rPr>
        <w:t xml:space="preserve">, S., Allen, W. R. and Wood, J. L. N. (2006) ‘Factors associated with failure of Thoroughbred horses to train and race’, </w:t>
      </w:r>
      <w:r w:rsidRPr="00934757">
        <w:rPr>
          <w:rFonts w:ascii="Sylfaen" w:hAnsi="Sylfaen"/>
          <w:i/>
          <w:color w:val="000000" w:themeColor="text1"/>
        </w:rPr>
        <w:t xml:space="preserve">Equine Veterinary Journal, </w:t>
      </w:r>
      <w:r w:rsidRPr="00934757">
        <w:rPr>
          <w:rFonts w:ascii="Sylfaen" w:hAnsi="Sylfaen"/>
          <w:b/>
          <w:color w:val="000000" w:themeColor="text1"/>
        </w:rPr>
        <w:t>38</w:t>
      </w:r>
      <w:r w:rsidRPr="00934757">
        <w:rPr>
          <w:rFonts w:ascii="Sylfaen" w:hAnsi="Sylfaen"/>
          <w:color w:val="000000" w:themeColor="text1"/>
        </w:rPr>
        <w:t xml:space="preserve">, (2), 113-118. </w:t>
      </w:r>
    </w:p>
    <w:p w14:paraId="55581CE8" w14:textId="77777777" w:rsidR="00BD6374" w:rsidRPr="00934757" w:rsidRDefault="00BD6374" w:rsidP="00934757">
      <w:pPr>
        <w:spacing w:before="120" w:after="120" w:line="360" w:lineRule="auto"/>
        <w:ind w:right="-46"/>
        <w:rPr>
          <w:rFonts w:ascii="Sylfaen" w:hAnsi="Sylfaen"/>
          <w:color w:val="000000" w:themeColor="text1"/>
        </w:rPr>
      </w:pPr>
      <w:proofErr w:type="spellStart"/>
      <w:r w:rsidRPr="00934757">
        <w:rPr>
          <w:rFonts w:ascii="Sylfaen" w:hAnsi="Sylfaen"/>
          <w:color w:val="000000" w:themeColor="text1"/>
        </w:rPr>
        <w:t>Yiannikouris</w:t>
      </w:r>
      <w:proofErr w:type="spellEnd"/>
      <w:r w:rsidRPr="00934757">
        <w:rPr>
          <w:rFonts w:ascii="Sylfaen" w:hAnsi="Sylfaen"/>
          <w:color w:val="000000" w:themeColor="text1"/>
        </w:rPr>
        <w:t xml:space="preserve">, I. (1998) </w:t>
      </w:r>
      <w:r w:rsidRPr="00934757">
        <w:rPr>
          <w:rFonts w:ascii="Sylfaen" w:hAnsi="Sylfaen"/>
          <w:i/>
          <w:color w:val="000000" w:themeColor="text1"/>
        </w:rPr>
        <w:t xml:space="preserve">Genetics of Racing Performance in Thoroughbred Horses. </w:t>
      </w:r>
      <w:r w:rsidRPr="00934757">
        <w:rPr>
          <w:rFonts w:ascii="Sylfaen" w:hAnsi="Sylfaen"/>
          <w:color w:val="000000" w:themeColor="text1"/>
        </w:rPr>
        <w:t xml:space="preserve">Unpublished BSc dissertation. Chelmsford: Writtle College. </w:t>
      </w:r>
    </w:p>
    <w:p w14:paraId="3059D00A" w14:textId="3A766B1D" w:rsidR="00BD6374" w:rsidRDefault="00BD6374" w:rsidP="00934757">
      <w:pPr>
        <w:spacing w:before="120" w:after="120" w:line="360" w:lineRule="auto"/>
        <w:ind w:right="-46"/>
        <w:rPr>
          <w:rFonts w:ascii="Sylfaen" w:hAnsi="Sylfaen"/>
          <w:i/>
          <w:color w:val="000000" w:themeColor="text1"/>
        </w:rPr>
      </w:pPr>
      <w:proofErr w:type="spellStart"/>
      <w:r w:rsidRPr="00934757">
        <w:rPr>
          <w:rFonts w:ascii="Sylfaen" w:hAnsi="Sylfaen"/>
          <w:color w:val="000000" w:themeColor="text1"/>
        </w:rPr>
        <w:t>Zar</w:t>
      </w:r>
      <w:proofErr w:type="spellEnd"/>
      <w:r w:rsidRPr="00934757">
        <w:rPr>
          <w:rFonts w:ascii="Sylfaen" w:hAnsi="Sylfaen"/>
          <w:color w:val="000000" w:themeColor="text1"/>
        </w:rPr>
        <w:t xml:space="preserve">, J. H. (1999) </w:t>
      </w:r>
      <w:r w:rsidRPr="00934757">
        <w:rPr>
          <w:rFonts w:ascii="Sylfaen" w:hAnsi="Sylfaen"/>
          <w:i/>
          <w:color w:val="000000" w:themeColor="text1"/>
        </w:rPr>
        <w:t>Biostatistical Analysis</w:t>
      </w:r>
      <w:r w:rsidRPr="00934757">
        <w:rPr>
          <w:rFonts w:ascii="Sylfaen" w:hAnsi="Sylfaen"/>
          <w:color w:val="000000" w:themeColor="text1"/>
        </w:rPr>
        <w:t xml:space="preserve">. New Jersey: Prentice Hall Inc. </w:t>
      </w:r>
      <w:r w:rsidRPr="00934757">
        <w:rPr>
          <w:rFonts w:ascii="Sylfaen" w:hAnsi="Sylfaen"/>
          <w:i/>
          <w:color w:val="000000" w:themeColor="text1"/>
        </w:rPr>
        <w:t xml:space="preserve"> </w:t>
      </w:r>
    </w:p>
    <w:p w14:paraId="6BF81CC3" w14:textId="77777777" w:rsidR="00934757" w:rsidRPr="00934757" w:rsidRDefault="00934757" w:rsidP="00934757">
      <w:pPr>
        <w:spacing w:before="120" w:after="120" w:line="360" w:lineRule="auto"/>
        <w:ind w:right="-46"/>
        <w:rPr>
          <w:rFonts w:ascii="Sylfaen" w:hAnsi="Sylfaen"/>
          <w:i/>
          <w:color w:val="000000" w:themeColor="text1"/>
        </w:rPr>
      </w:pPr>
    </w:p>
    <w:p w14:paraId="434FBBD2" w14:textId="357886C0" w:rsidR="00B617A4" w:rsidRPr="00934757" w:rsidRDefault="004B5389" w:rsidP="00934757">
      <w:pPr>
        <w:tabs>
          <w:tab w:val="right" w:pos="9026"/>
        </w:tabs>
        <w:spacing w:before="120" w:after="120" w:line="360" w:lineRule="auto"/>
        <w:ind w:right="-46"/>
        <w:jc w:val="both"/>
        <w:rPr>
          <w:rFonts w:ascii="Sylfaen" w:hAnsi="Sylfaen"/>
          <w:color w:val="000000" w:themeColor="text1"/>
        </w:rPr>
      </w:pPr>
      <w:r w:rsidRPr="00934757">
        <w:rPr>
          <w:rFonts w:ascii="Sylfaen" w:eastAsia="Times New Roman" w:hAnsi="Sylfaen" w:cs="Arial"/>
          <w:color w:val="000000" w:themeColor="text1"/>
          <w:shd w:val="clear" w:color="auto" w:fill="FFFFFF"/>
          <w:lang w:eastAsia="en-GB"/>
        </w:rPr>
        <w:t>©</w:t>
      </w:r>
      <w:r w:rsidR="004B6F48" w:rsidRPr="00934757">
        <w:rPr>
          <w:rFonts w:ascii="Sylfaen" w:hAnsi="Sylfaen"/>
          <w:color w:val="000000" w:themeColor="text1"/>
        </w:rPr>
        <w:t>Abbey Andersen.</w:t>
      </w:r>
      <w:r w:rsidRPr="00934757">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B617A4" w:rsidRPr="00934757" w:rsidSect="00C301C1">
      <w:headerReference w:type="default" r:id="rId9"/>
      <w:footerReference w:type="default" r:id="rId10"/>
      <w:footerReference w:type="first" r:id="rId11"/>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9D01" w14:textId="77777777" w:rsidR="0042566A" w:rsidRDefault="0042566A" w:rsidP="002B247D">
      <w:pPr>
        <w:spacing w:after="0" w:line="240" w:lineRule="auto"/>
      </w:pPr>
      <w:r>
        <w:separator/>
      </w:r>
    </w:p>
  </w:endnote>
  <w:endnote w:type="continuationSeparator" w:id="0">
    <w:p w14:paraId="20FE6003" w14:textId="77777777" w:rsidR="0042566A" w:rsidRDefault="0042566A"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61114863"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903D7E">
          <w:rPr>
            <w:rFonts w:ascii="Sylfaen" w:hAnsi="Sylfaen"/>
            <w:noProof/>
            <w:sz w:val="20"/>
            <w:szCs w:val="20"/>
          </w:rPr>
          <w:t xml:space="preserve"> </w:t>
        </w:r>
        <w:r w:rsidR="004B6F48">
          <w:rPr>
            <w:rFonts w:ascii="Sylfaen" w:hAnsi="Sylfaen"/>
            <w:noProof/>
            <w:sz w:val="20"/>
            <w:szCs w:val="20"/>
          </w:rPr>
          <w:t>Abbey Andersen</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5C7B93">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w:t>
        </w:r>
        <w:r w:rsidR="00445CC8">
          <w:rPr>
            <w:rFonts w:ascii="Sylfaen" w:hAnsi="Sylfaen"/>
            <w:noProof/>
            <w:sz w:val="20"/>
            <w:szCs w:val="20"/>
          </w:rPr>
          <w:t>09</w:t>
        </w:r>
        <w:r w:rsidR="00091FA9">
          <w:rPr>
            <w:rFonts w:ascii="Sylfaen" w:hAnsi="Sylfaen"/>
            <w:noProof/>
            <w:sz w:val="20"/>
            <w:szCs w:val="20"/>
          </w:rPr>
          <w:t xml:space="preserve">, </w:t>
        </w:r>
        <w:r w:rsidR="008B2EFC">
          <w:rPr>
            <w:rFonts w:ascii="Sylfaen" w:hAnsi="Sylfaen"/>
            <w:noProof/>
            <w:sz w:val="20"/>
            <w:szCs w:val="20"/>
          </w:rPr>
          <w:t>Vol.</w:t>
        </w:r>
        <w:r w:rsidR="007E17E6">
          <w:rPr>
            <w:rFonts w:ascii="Sylfaen" w:hAnsi="Sylfaen"/>
            <w:noProof/>
            <w:sz w:val="20"/>
            <w:szCs w:val="20"/>
          </w:rPr>
          <w:t>1</w:t>
        </w:r>
        <w:r w:rsidR="004B324C">
          <w:rPr>
            <w:rFonts w:ascii="Sylfaen" w:hAnsi="Sylfaen"/>
            <w:noProof/>
            <w:sz w:val="20"/>
            <w:szCs w:val="20"/>
          </w:rPr>
          <w:t>(</w:t>
        </w:r>
        <w:r w:rsidR="002C5C42">
          <w:rPr>
            <w:rFonts w:ascii="Sylfaen" w:hAnsi="Sylfaen"/>
            <w:noProof/>
            <w:sz w:val="20"/>
            <w:szCs w:val="20"/>
          </w:rPr>
          <w:t>1</w:t>
        </w:r>
        <w:r w:rsidR="008B2EFC">
          <w:rPr>
            <w:rFonts w:ascii="Sylfaen" w:hAnsi="Sylfaen"/>
            <w:noProof/>
            <w:sz w:val="20"/>
            <w:szCs w:val="20"/>
          </w:rPr>
          <w:t>)</w:t>
        </w:r>
      </w:p>
    </w:sdtContent>
  </w:sdt>
  <w:p w14:paraId="4CE71525" w14:textId="060A148D" w:rsidR="00466669" w:rsidRPr="008E24E9" w:rsidRDefault="00BE6334" w:rsidP="008E24E9">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7E17E6">
      <w:rPr>
        <w:rFonts w:ascii="Sylfaen" w:hAnsi="Sylfaen"/>
        <w:sz w:val="20"/>
        <w:szCs w:val="20"/>
      </w:rPr>
      <w:t>5</w:t>
    </w:r>
    <w:r w:rsidR="004B6F48">
      <w:rPr>
        <w:rFonts w:ascii="Sylfaen" w:hAnsi="Sylfaen"/>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27FEB2E1" w14:textId="08C5D88C" w:rsidR="00466669" w:rsidRPr="008A67D2" w:rsidRDefault="00A55EA2" w:rsidP="008A67D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EFB29" w14:textId="77777777" w:rsidR="0042566A" w:rsidRDefault="0042566A" w:rsidP="002B247D">
      <w:pPr>
        <w:spacing w:after="0" w:line="240" w:lineRule="auto"/>
      </w:pPr>
      <w:r>
        <w:separator/>
      </w:r>
    </w:p>
  </w:footnote>
  <w:footnote w:type="continuationSeparator" w:id="0">
    <w:p w14:paraId="178753BB" w14:textId="77777777" w:rsidR="0042566A" w:rsidRDefault="0042566A" w:rsidP="002B247D">
      <w:pPr>
        <w:spacing w:after="0" w:line="240" w:lineRule="auto"/>
      </w:pPr>
      <w:r>
        <w:continuationSeparator/>
      </w:r>
    </w:p>
  </w:footnote>
  <w:footnote w:id="1">
    <w:p w14:paraId="3A68C7E6" w14:textId="77777777" w:rsidR="003A6141" w:rsidRPr="00BD6374" w:rsidRDefault="003A6141" w:rsidP="003A6141">
      <w:pPr>
        <w:pStyle w:val="FootnoteText"/>
        <w:rPr>
          <w:rFonts w:ascii="Sylfaen" w:hAnsi="Sylfaen"/>
          <w:sz w:val="20"/>
          <w:szCs w:val="20"/>
        </w:rPr>
      </w:pPr>
      <w:r w:rsidRPr="00701F1A">
        <w:rPr>
          <w:rStyle w:val="FootnoteReference"/>
          <w:rFonts w:ascii="Adobe Garamond Pro" w:hAnsi="Adobe Garamond Pro"/>
        </w:rPr>
        <w:footnoteRef/>
      </w:r>
      <w:r w:rsidRPr="00701F1A">
        <w:rPr>
          <w:rFonts w:ascii="Adobe Garamond Pro" w:hAnsi="Adobe Garamond Pro"/>
        </w:rPr>
        <w:t xml:space="preserve"> </w:t>
      </w:r>
      <w:r w:rsidRPr="00BD6374">
        <w:rPr>
          <w:rFonts w:ascii="Sylfaen" w:hAnsi="Sylfaen"/>
          <w:bCs/>
          <w:sz w:val="20"/>
          <w:szCs w:val="20"/>
        </w:rPr>
        <w:t>All Thoroughbreds are given an official birthday of January 1</w:t>
      </w:r>
      <w:r w:rsidRPr="00BD6374">
        <w:rPr>
          <w:rFonts w:ascii="Sylfaen" w:hAnsi="Sylfaen"/>
          <w:bCs/>
          <w:sz w:val="20"/>
          <w:szCs w:val="20"/>
          <w:vertAlign w:val="superscript"/>
        </w:rPr>
        <w:t>st</w:t>
      </w:r>
      <w:r w:rsidRPr="00BD6374">
        <w:rPr>
          <w:rFonts w:ascii="Sylfaen" w:hAnsi="Sylfaen"/>
          <w:bCs/>
          <w:sz w:val="20"/>
          <w:szCs w:val="20"/>
        </w:rPr>
        <w:t xml:space="preserve"> to keep the age groups easily defined for race conditions. A Thoroughbred racehorse is defined as a yearling when they are in their second calendar year, beginning January 1</w:t>
      </w:r>
      <w:r w:rsidRPr="00BD6374">
        <w:rPr>
          <w:rFonts w:ascii="Sylfaen" w:hAnsi="Sylfaen"/>
          <w:bCs/>
          <w:sz w:val="20"/>
          <w:szCs w:val="20"/>
          <w:vertAlign w:val="superscript"/>
        </w:rPr>
        <w:t>st</w:t>
      </w:r>
      <w:r w:rsidRPr="00BD6374">
        <w:rPr>
          <w:rFonts w:ascii="Sylfaen" w:hAnsi="Sylfaen"/>
          <w:bCs/>
          <w:sz w:val="20"/>
          <w:szCs w:val="20"/>
        </w:rPr>
        <w:t xml:space="preserve"> of the year following their birth.</w:t>
      </w:r>
    </w:p>
  </w:footnote>
  <w:footnote w:id="2">
    <w:p w14:paraId="60C982EB" w14:textId="77777777" w:rsidR="003A6141" w:rsidRPr="00BD6374" w:rsidRDefault="003A6141" w:rsidP="003A6141">
      <w:pPr>
        <w:pStyle w:val="FootnoteText"/>
        <w:rPr>
          <w:rFonts w:ascii="Sylfaen" w:hAnsi="Sylfaen"/>
          <w:sz w:val="20"/>
          <w:szCs w:val="20"/>
        </w:rPr>
      </w:pPr>
      <w:r w:rsidRPr="00701F1A">
        <w:rPr>
          <w:rStyle w:val="FootnoteReference"/>
          <w:rFonts w:ascii="Adobe Garamond Pro" w:hAnsi="Adobe Garamond Pro"/>
        </w:rPr>
        <w:footnoteRef/>
      </w:r>
      <w:r w:rsidRPr="00701F1A">
        <w:rPr>
          <w:rFonts w:ascii="Adobe Garamond Pro" w:hAnsi="Adobe Garamond Pro"/>
        </w:rPr>
        <w:t xml:space="preserve"> </w:t>
      </w:r>
      <w:proofErr w:type="spellStart"/>
      <w:r w:rsidRPr="00BD6374">
        <w:rPr>
          <w:rFonts w:ascii="Sylfaen" w:hAnsi="Sylfaen"/>
          <w:sz w:val="20"/>
          <w:szCs w:val="20"/>
        </w:rPr>
        <w:t>Timeform</w:t>
      </w:r>
      <w:proofErr w:type="spellEnd"/>
      <w:r w:rsidRPr="00BD6374">
        <w:rPr>
          <w:rFonts w:ascii="Sylfaen" w:hAnsi="Sylfaen"/>
          <w:sz w:val="20"/>
          <w:szCs w:val="20"/>
        </w:rPr>
        <w:t xml:space="preserve"> ratings are assigned to racehorses to express their level of performance; they consider the horse’s weight, sex, age and the race’s distance, going and level of competition, therefore racehorses of all standards can be compared  (</w:t>
      </w:r>
      <w:proofErr w:type="spellStart"/>
      <w:r w:rsidRPr="00BD6374">
        <w:rPr>
          <w:rFonts w:ascii="Sylfaen" w:hAnsi="Sylfaen"/>
          <w:sz w:val="20"/>
          <w:szCs w:val="20"/>
        </w:rPr>
        <w:t>Yiannikouris</w:t>
      </w:r>
      <w:proofErr w:type="spellEnd"/>
      <w:r w:rsidRPr="00BD6374">
        <w:rPr>
          <w:rFonts w:ascii="Sylfaen" w:hAnsi="Sylfaen"/>
          <w:sz w:val="20"/>
          <w:szCs w:val="20"/>
        </w:rPr>
        <w:t xml:space="preserve">, 1998). </w:t>
      </w:r>
      <w:proofErr w:type="spellStart"/>
      <w:r w:rsidRPr="00BD6374">
        <w:rPr>
          <w:rFonts w:ascii="Sylfaen" w:hAnsi="Sylfaen"/>
          <w:sz w:val="20"/>
          <w:szCs w:val="20"/>
        </w:rPr>
        <w:t>Timeform</w:t>
      </w:r>
      <w:proofErr w:type="spellEnd"/>
      <w:r w:rsidRPr="00BD6374">
        <w:rPr>
          <w:rFonts w:ascii="Sylfaen" w:hAnsi="Sylfaen"/>
          <w:sz w:val="20"/>
          <w:szCs w:val="20"/>
        </w:rPr>
        <w:t xml:space="preserve"> ratings express in terms of pounds the level of form a horse has shown; on the flat the ratings range from below 30 for bad performers to over 130 for the top performers (</w:t>
      </w:r>
      <w:proofErr w:type="spellStart"/>
      <w:r w:rsidRPr="00BD6374">
        <w:rPr>
          <w:rFonts w:ascii="Sylfaen" w:hAnsi="Sylfaen"/>
          <w:sz w:val="20"/>
          <w:szCs w:val="20"/>
        </w:rPr>
        <w:t>Timeform</w:t>
      </w:r>
      <w:proofErr w:type="spellEnd"/>
      <w:r w:rsidRPr="00BD6374">
        <w:rPr>
          <w:rFonts w:ascii="Sylfaen" w:hAnsi="Sylfaen"/>
          <w:sz w:val="20"/>
          <w:szCs w:val="20"/>
        </w:rPr>
        <w:t>,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6CFC" w14:textId="77777777" w:rsidR="004B6F48" w:rsidRPr="004B6F48" w:rsidRDefault="004B6F48" w:rsidP="004B6F48">
    <w:pPr>
      <w:pStyle w:val="Heading1"/>
      <w:rPr>
        <w:rFonts w:ascii="Sylfaen" w:hAnsi="Sylfaen"/>
        <w:color w:val="000000" w:themeColor="text1"/>
        <w:sz w:val="22"/>
        <w:szCs w:val="22"/>
      </w:rPr>
    </w:pPr>
    <w:r w:rsidRPr="004B6F48">
      <w:rPr>
        <w:rFonts w:ascii="Sylfaen" w:hAnsi="Sylfaen"/>
        <w:color w:val="000000" w:themeColor="text1"/>
        <w:sz w:val="22"/>
        <w:szCs w:val="22"/>
      </w:rPr>
      <w:t>Is Racetrack Performance Related to Yearling Sale Price?</w:t>
    </w:r>
  </w:p>
  <w:p w14:paraId="65B8A53A" w14:textId="0BBD6768" w:rsidR="00466669" w:rsidRPr="006D2C60" w:rsidRDefault="00466669" w:rsidP="006D2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10D06F7"/>
    <w:multiLevelType w:val="hybridMultilevel"/>
    <w:tmpl w:val="ADF287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5"/>
  </w:num>
  <w:num w:numId="2" w16cid:durableId="1962221251">
    <w:abstractNumId w:val="6"/>
  </w:num>
  <w:num w:numId="3" w16cid:durableId="238830947">
    <w:abstractNumId w:val="10"/>
  </w:num>
  <w:num w:numId="4" w16cid:durableId="1244992341">
    <w:abstractNumId w:val="7"/>
  </w:num>
  <w:num w:numId="5" w16cid:durableId="18312050">
    <w:abstractNumId w:val="11"/>
  </w:num>
  <w:num w:numId="6" w16cid:durableId="2131312274">
    <w:abstractNumId w:val="9"/>
  </w:num>
  <w:num w:numId="7" w16cid:durableId="728964856">
    <w:abstractNumId w:val="4"/>
  </w:num>
  <w:num w:numId="8" w16cid:durableId="1235971457">
    <w:abstractNumId w:val="12"/>
  </w:num>
  <w:num w:numId="9" w16cid:durableId="1138573346">
    <w:abstractNumId w:val="0"/>
  </w:num>
  <w:num w:numId="10" w16cid:durableId="456219523">
    <w:abstractNumId w:val="1"/>
  </w:num>
  <w:num w:numId="11" w16cid:durableId="1732384606">
    <w:abstractNumId w:val="2"/>
  </w:num>
  <w:num w:numId="12" w16cid:durableId="710501241">
    <w:abstractNumId w:val="3"/>
  </w:num>
  <w:num w:numId="13" w16cid:durableId="2059283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1887"/>
    <w:rsid w:val="00012A2C"/>
    <w:rsid w:val="00015849"/>
    <w:rsid w:val="00026CF6"/>
    <w:rsid w:val="000457CB"/>
    <w:rsid w:val="00047AFC"/>
    <w:rsid w:val="00054431"/>
    <w:rsid w:val="00055BDC"/>
    <w:rsid w:val="00057F3F"/>
    <w:rsid w:val="00060CF4"/>
    <w:rsid w:val="0006323B"/>
    <w:rsid w:val="0007187A"/>
    <w:rsid w:val="000748C3"/>
    <w:rsid w:val="00082008"/>
    <w:rsid w:val="0008416C"/>
    <w:rsid w:val="0008481B"/>
    <w:rsid w:val="000859F8"/>
    <w:rsid w:val="000903CC"/>
    <w:rsid w:val="00091FA9"/>
    <w:rsid w:val="000964AE"/>
    <w:rsid w:val="000A232E"/>
    <w:rsid w:val="000A7150"/>
    <w:rsid w:val="000A75C2"/>
    <w:rsid w:val="000B0CA0"/>
    <w:rsid w:val="000B3166"/>
    <w:rsid w:val="000B5992"/>
    <w:rsid w:val="000C1884"/>
    <w:rsid w:val="000E666D"/>
    <w:rsid w:val="000F1FC0"/>
    <w:rsid w:val="000F2587"/>
    <w:rsid w:val="000F42DB"/>
    <w:rsid w:val="00110743"/>
    <w:rsid w:val="00111662"/>
    <w:rsid w:val="00117201"/>
    <w:rsid w:val="00120E22"/>
    <w:rsid w:val="001374B7"/>
    <w:rsid w:val="001442E8"/>
    <w:rsid w:val="001463DE"/>
    <w:rsid w:val="00156D76"/>
    <w:rsid w:val="00162A07"/>
    <w:rsid w:val="00162D59"/>
    <w:rsid w:val="001718F7"/>
    <w:rsid w:val="0018097C"/>
    <w:rsid w:val="001841BE"/>
    <w:rsid w:val="001969C1"/>
    <w:rsid w:val="001A154B"/>
    <w:rsid w:val="001A2A5F"/>
    <w:rsid w:val="001A73C9"/>
    <w:rsid w:val="001B53B8"/>
    <w:rsid w:val="001C2761"/>
    <w:rsid w:val="001C5265"/>
    <w:rsid w:val="001E254C"/>
    <w:rsid w:val="0020084E"/>
    <w:rsid w:val="00206196"/>
    <w:rsid w:val="0021292C"/>
    <w:rsid w:val="00212DCB"/>
    <w:rsid w:val="00221F4A"/>
    <w:rsid w:val="0023654C"/>
    <w:rsid w:val="002368DA"/>
    <w:rsid w:val="00236981"/>
    <w:rsid w:val="00240FC1"/>
    <w:rsid w:val="002548F7"/>
    <w:rsid w:val="00265164"/>
    <w:rsid w:val="00270A76"/>
    <w:rsid w:val="002722D8"/>
    <w:rsid w:val="00276474"/>
    <w:rsid w:val="00287674"/>
    <w:rsid w:val="002A1A1F"/>
    <w:rsid w:val="002B1967"/>
    <w:rsid w:val="002B247D"/>
    <w:rsid w:val="002C2942"/>
    <w:rsid w:val="002C4464"/>
    <w:rsid w:val="002C5147"/>
    <w:rsid w:val="002C5C42"/>
    <w:rsid w:val="002D11F2"/>
    <w:rsid w:val="002D622F"/>
    <w:rsid w:val="002E3823"/>
    <w:rsid w:val="002F1100"/>
    <w:rsid w:val="002F1F97"/>
    <w:rsid w:val="00302BB9"/>
    <w:rsid w:val="00306339"/>
    <w:rsid w:val="00313E93"/>
    <w:rsid w:val="00331418"/>
    <w:rsid w:val="00332A4A"/>
    <w:rsid w:val="003409FD"/>
    <w:rsid w:val="00353C3A"/>
    <w:rsid w:val="00361A42"/>
    <w:rsid w:val="0036642C"/>
    <w:rsid w:val="0036695E"/>
    <w:rsid w:val="003711B8"/>
    <w:rsid w:val="003714DA"/>
    <w:rsid w:val="0037159B"/>
    <w:rsid w:val="00372327"/>
    <w:rsid w:val="003738EB"/>
    <w:rsid w:val="00374289"/>
    <w:rsid w:val="00376BD3"/>
    <w:rsid w:val="00377D09"/>
    <w:rsid w:val="00377E4F"/>
    <w:rsid w:val="003802B1"/>
    <w:rsid w:val="003831DC"/>
    <w:rsid w:val="00391EF8"/>
    <w:rsid w:val="00392577"/>
    <w:rsid w:val="003936EB"/>
    <w:rsid w:val="003A3ACC"/>
    <w:rsid w:val="003A6141"/>
    <w:rsid w:val="003C129F"/>
    <w:rsid w:val="003C1F5F"/>
    <w:rsid w:val="003C7F3F"/>
    <w:rsid w:val="003D113B"/>
    <w:rsid w:val="003F3860"/>
    <w:rsid w:val="00400497"/>
    <w:rsid w:val="00406ECA"/>
    <w:rsid w:val="00412989"/>
    <w:rsid w:val="00412C56"/>
    <w:rsid w:val="004203C7"/>
    <w:rsid w:val="0042566A"/>
    <w:rsid w:val="00436D69"/>
    <w:rsid w:val="00445CC8"/>
    <w:rsid w:val="00453A41"/>
    <w:rsid w:val="00454967"/>
    <w:rsid w:val="00460E64"/>
    <w:rsid w:val="00466466"/>
    <w:rsid w:val="00466669"/>
    <w:rsid w:val="0047431F"/>
    <w:rsid w:val="00487AFF"/>
    <w:rsid w:val="00490321"/>
    <w:rsid w:val="004B0D7E"/>
    <w:rsid w:val="004B324C"/>
    <w:rsid w:val="004B5389"/>
    <w:rsid w:val="004B5C95"/>
    <w:rsid w:val="004B66E0"/>
    <w:rsid w:val="004B6F48"/>
    <w:rsid w:val="004C1170"/>
    <w:rsid w:val="004C54C4"/>
    <w:rsid w:val="004D7DC2"/>
    <w:rsid w:val="004E4A56"/>
    <w:rsid w:val="004E7BD7"/>
    <w:rsid w:val="00505A61"/>
    <w:rsid w:val="00506158"/>
    <w:rsid w:val="00517709"/>
    <w:rsid w:val="00530F48"/>
    <w:rsid w:val="005364B0"/>
    <w:rsid w:val="00542A90"/>
    <w:rsid w:val="00544C6B"/>
    <w:rsid w:val="00545A8F"/>
    <w:rsid w:val="00552518"/>
    <w:rsid w:val="00557FF9"/>
    <w:rsid w:val="0056347C"/>
    <w:rsid w:val="005671C6"/>
    <w:rsid w:val="00567BD9"/>
    <w:rsid w:val="005846D3"/>
    <w:rsid w:val="005A127B"/>
    <w:rsid w:val="005B5099"/>
    <w:rsid w:val="005B6433"/>
    <w:rsid w:val="005C0BC3"/>
    <w:rsid w:val="005C13FD"/>
    <w:rsid w:val="005C7B93"/>
    <w:rsid w:val="005D216B"/>
    <w:rsid w:val="005D79D8"/>
    <w:rsid w:val="005F565D"/>
    <w:rsid w:val="00606660"/>
    <w:rsid w:val="006219A3"/>
    <w:rsid w:val="00625310"/>
    <w:rsid w:val="00625C8B"/>
    <w:rsid w:val="00630184"/>
    <w:rsid w:val="00637440"/>
    <w:rsid w:val="00642356"/>
    <w:rsid w:val="00643FA7"/>
    <w:rsid w:val="00673A5A"/>
    <w:rsid w:val="006740DB"/>
    <w:rsid w:val="006A4B53"/>
    <w:rsid w:val="006A6255"/>
    <w:rsid w:val="006A63BE"/>
    <w:rsid w:val="006A76C7"/>
    <w:rsid w:val="006B4C4E"/>
    <w:rsid w:val="006B7FB4"/>
    <w:rsid w:val="006C4CDF"/>
    <w:rsid w:val="006D225D"/>
    <w:rsid w:val="006D2C60"/>
    <w:rsid w:val="006D57C0"/>
    <w:rsid w:val="006D79FF"/>
    <w:rsid w:val="00706CE5"/>
    <w:rsid w:val="00714080"/>
    <w:rsid w:val="0072460B"/>
    <w:rsid w:val="00724B61"/>
    <w:rsid w:val="00734861"/>
    <w:rsid w:val="007545D8"/>
    <w:rsid w:val="007622B5"/>
    <w:rsid w:val="0077089A"/>
    <w:rsid w:val="00773526"/>
    <w:rsid w:val="007814FF"/>
    <w:rsid w:val="007836F1"/>
    <w:rsid w:val="007905E4"/>
    <w:rsid w:val="007A0B1B"/>
    <w:rsid w:val="007A2D4C"/>
    <w:rsid w:val="007A5EF8"/>
    <w:rsid w:val="007B2C62"/>
    <w:rsid w:val="007B40CE"/>
    <w:rsid w:val="007B70C9"/>
    <w:rsid w:val="007C1E3C"/>
    <w:rsid w:val="007C25E7"/>
    <w:rsid w:val="007D7B78"/>
    <w:rsid w:val="007E17E6"/>
    <w:rsid w:val="007E748D"/>
    <w:rsid w:val="007E7593"/>
    <w:rsid w:val="007F7338"/>
    <w:rsid w:val="008129E5"/>
    <w:rsid w:val="00815815"/>
    <w:rsid w:val="00823E47"/>
    <w:rsid w:val="0082508B"/>
    <w:rsid w:val="00836683"/>
    <w:rsid w:val="008378F2"/>
    <w:rsid w:val="00856954"/>
    <w:rsid w:val="008630EA"/>
    <w:rsid w:val="00872350"/>
    <w:rsid w:val="008848DF"/>
    <w:rsid w:val="008A5987"/>
    <w:rsid w:val="008A67D2"/>
    <w:rsid w:val="008B2EFC"/>
    <w:rsid w:val="008C276D"/>
    <w:rsid w:val="008C46A8"/>
    <w:rsid w:val="008C4A5B"/>
    <w:rsid w:val="008D4727"/>
    <w:rsid w:val="008D7BEA"/>
    <w:rsid w:val="008E033B"/>
    <w:rsid w:val="008E168F"/>
    <w:rsid w:val="008E24E9"/>
    <w:rsid w:val="008E2931"/>
    <w:rsid w:val="008F1A78"/>
    <w:rsid w:val="008F3F5C"/>
    <w:rsid w:val="00903D7E"/>
    <w:rsid w:val="00913AF1"/>
    <w:rsid w:val="00916EA3"/>
    <w:rsid w:val="009176E9"/>
    <w:rsid w:val="00934757"/>
    <w:rsid w:val="009413A8"/>
    <w:rsid w:val="0095179D"/>
    <w:rsid w:val="00971BE8"/>
    <w:rsid w:val="00974F46"/>
    <w:rsid w:val="0098026C"/>
    <w:rsid w:val="00987ED9"/>
    <w:rsid w:val="00990D5E"/>
    <w:rsid w:val="009A0883"/>
    <w:rsid w:val="009A5CAB"/>
    <w:rsid w:val="009A678E"/>
    <w:rsid w:val="009B5DD4"/>
    <w:rsid w:val="009C10A8"/>
    <w:rsid w:val="009D3B29"/>
    <w:rsid w:val="009D4CDE"/>
    <w:rsid w:val="009E26F7"/>
    <w:rsid w:val="00A054FA"/>
    <w:rsid w:val="00A10993"/>
    <w:rsid w:val="00A136B5"/>
    <w:rsid w:val="00A14558"/>
    <w:rsid w:val="00A160AD"/>
    <w:rsid w:val="00A17A8A"/>
    <w:rsid w:val="00A24D87"/>
    <w:rsid w:val="00A26762"/>
    <w:rsid w:val="00A538B5"/>
    <w:rsid w:val="00A54297"/>
    <w:rsid w:val="00A55EA2"/>
    <w:rsid w:val="00A56F5E"/>
    <w:rsid w:val="00A61144"/>
    <w:rsid w:val="00A649EF"/>
    <w:rsid w:val="00A6655A"/>
    <w:rsid w:val="00A720EE"/>
    <w:rsid w:val="00A74ED5"/>
    <w:rsid w:val="00A804D9"/>
    <w:rsid w:val="00A83E8D"/>
    <w:rsid w:val="00A842B2"/>
    <w:rsid w:val="00AA189B"/>
    <w:rsid w:val="00AA6AF2"/>
    <w:rsid w:val="00AA6F9E"/>
    <w:rsid w:val="00AB1C8B"/>
    <w:rsid w:val="00AD209D"/>
    <w:rsid w:val="00AD7E8C"/>
    <w:rsid w:val="00AE1087"/>
    <w:rsid w:val="00AF0A55"/>
    <w:rsid w:val="00AF5FE7"/>
    <w:rsid w:val="00AF6ABC"/>
    <w:rsid w:val="00B20FB3"/>
    <w:rsid w:val="00B22D3A"/>
    <w:rsid w:val="00B22FA6"/>
    <w:rsid w:val="00B322FB"/>
    <w:rsid w:val="00B32B29"/>
    <w:rsid w:val="00B335D0"/>
    <w:rsid w:val="00B37CD8"/>
    <w:rsid w:val="00B37E5E"/>
    <w:rsid w:val="00B4334A"/>
    <w:rsid w:val="00B56C54"/>
    <w:rsid w:val="00B60FEA"/>
    <w:rsid w:val="00B617A4"/>
    <w:rsid w:val="00B76582"/>
    <w:rsid w:val="00B77266"/>
    <w:rsid w:val="00B77A7A"/>
    <w:rsid w:val="00B93DD7"/>
    <w:rsid w:val="00B955D7"/>
    <w:rsid w:val="00BA0198"/>
    <w:rsid w:val="00BA187C"/>
    <w:rsid w:val="00BC0C64"/>
    <w:rsid w:val="00BC4039"/>
    <w:rsid w:val="00BC7A54"/>
    <w:rsid w:val="00BD6374"/>
    <w:rsid w:val="00BD7D62"/>
    <w:rsid w:val="00BE615F"/>
    <w:rsid w:val="00BE6334"/>
    <w:rsid w:val="00BF2394"/>
    <w:rsid w:val="00BF3DEA"/>
    <w:rsid w:val="00BF57C0"/>
    <w:rsid w:val="00C009D0"/>
    <w:rsid w:val="00C01A03"/>
    <w:rsid w:val="00C046D8"/>
    <w:rsid w:val="00C10E0E"/>
    <w:rsid w:val="00C16C2B"/>
    <w:rsid w:val="00C22513"/>
    <w:rsid w:val="00C27311"/>
    <w:rsid w:val="00C301C1"/>
    <w:rsid w:val="00C3503C"/>
    <w:rsid w:val="00C4128C"/>
    <w:rsid w:val="00C522C3"/>
    <w:rsid w:val="00C645A4"/>
    <w:rsid w:val="00C65D4A"/>
    <w:rsid w:val="00C74D9A"/>
    <w:rsid w:val="00C75A94"/>
    <w:rsid w:val="00C77F0A"/>
    <w:rsid w:val="00C8202E"/>
    <w:rsid w:val="00C85413"/>
    <w:rsid w:val="00C86093"/>
    <w:rsid w:val="00C97519"/>
    <w:rsid w:val="00CA6A9D"/>
    <w:rsid w:val="00CB2BC3"/>
    <w:rsid w:val="00CB46D9"/>
    <w:rsid w:val="00CC2358"/>
    <w:rsid w:val="00CE4231"/>
    <w:rsid w:val="00CF234E"/>
    <w:rsid w:val="00CF259F"/>
    <w:rsid w:val="00D04604"/>
    <w:rsid w:val="00D13840"/>
    <w:rsid w:val="00D2444D"/>
    <w:rsid w:val="00D354F4"/>
    <w:rsid w:val="00D35A7A"/>
    <w:rsid w:val="00D57D76"/>
    <w:rsid w:val="00D614E1"/>
    <w:rsid w:val="00D65147"/>
    <w:rsid w:val="00D657C6"/>
    <w:rsid w:val="00D661AD"/>
    <w:rsid w:val="00D67168"/>
    <w:rsid w:val="00D73662"/>
    <w:rsid w:val="00D768AA"/>
    <w:rsid w:val="00D97FE1"/>
    <w:rsid w:val="00DA011F"/>
    <w:rsid w:val="00DA1689"/>
    <w:rsid w:val="00DA21CB"/>
    <w:rsid w:val="00DA7134"/>
    <w:rsid w:val="00DC2C3A"/>
    <w:rsid w:val="00DD1181"/>
    <w:rsid w:val="00DD7512"/>
    <w:rsid w:val="00DE33E6"/>
    <w:rsid w:val="00DE3C82"/>
    <w:rsid w:val="00DE7170"/>
    <w:rsid w:val="00DF4499"/>
    <w:rsid w:val="00DF7F5A"/>
    <w:rsid w:val="00E03714"/>
    <w:rsid w:val="00E2107C"/>
    <w:rsid w:val="00E30607"/>
    <w:rsid w:val="00E355F6"/>
    <w:rsid w:val="00E360CC"/>
    <w:rsid w:val="00E51292"/>
    <w:rsid w:val="00E570CA"/>
    <w:rsid w:val="00E7484F"/>
    <w:rsid w:val="00E76F91"/>
    <w:rsid w:val="00E77FF0"/>
    <w:rsid w:val="00E82E5B"/>
    <w:rsid w:val="00E86C3C"/>
    <w:rsid w:val="00E91DB0"/>
    <w:rsid w:val="00EA6952"/>
    <w:rsid w:val="00EA7C04"/>
    <w:rsid w:val="00EB7799"/>
    <w:rsid w:val="00ED039A"/>
    <w:rsid w:val="00ED533B"/>
    <w:rsid w:val="00ED729A"/>
    <w:rsid w:val="00ED7A40"/>
    <w:rsid w:val="00ED7D42"/>
    <w:rsid w:val="00EE4804"/>
    <w:rsid w:val="00EE7CA6"/>
    <w:rsid w:val="00EF3A2B"/>
    <w:rsid w:val="00EF4443"/>
    <w:rsid w:val="00F0720A"/>
    <w:rsid w:val="00F267EF"/>
    <w:rsid w:val="00F37DFA"/>
    <w:rsid w:val="00F45154"/>
    <w:rsid w:val="00F45B1E"/>
    <w:rsid w:val="00F542FD"/>
    <w:rsid w:val="00F54D81"/>
    <w:rsid w:val="00F57F04"/>
    <w:rsid w:val="00F70AFA"/>
    <w:rsid w:val="00F70BD2"/>
    <w:rsid w:val="00F803F6"/>
    <w:rsid w:val="00F95B28"/>
    <w:rsid w:val="00F95BD4"/>
    <w:rsid w:val="00FA023B"/>
    <w:rsid w:val="00FA3F1F"/>
    <w:rsid w:val="00FB1C2A"/>
    <w:rsid w:val="00FC033B"/>
    <w:rsid w:val="00FC4700"/>
    <w:rsid w:val="00FC77AB"/>
    <w:rsid w:val="00FD092B"/>
    <w:rsid w:val="00FD1F13"/>
    <w:rsid w:val="00FD4450"/>
    <w:rsid w:val="00FD45F4"/>
    <w:rsid w:val="00FD5358"/>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qFormat/>
    <w:rsid w:val="00F54D81"/>
    <w:rPr>
      <w:b/>
      <w:bCs/>
    </w:rPr>
  </w:style>
  <w:style w:type="table" w:styleId="TableGrid">
    <w:name w:val="Table Grid"/>
    <w:basedOn w:val="TableNormal"/>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916EA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msolistparagraph">
    <w:name w:val="x_msolistparagraph"/>
    <w:basedOn w:val="Normal"/>
    <w:rsid w:val="00BF57C0"/>
    <w:pPr>
      <w:suppressAutoHyphens/>
      <w:spacing w:before="280" w:after="28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B22FA6"/>
    <w:rPr>
      <w:color w:val="808080"/>
    </w:rPr>
  </w:style>
  <w:style w:type="character" w:customStyle="1" w:styleId="briefcittitle1">
    <w:name w:val="briefcittitle1"/>
    <w:basedOn w:val="DefaultParagraphFont"/>
    <w:rsid w:val="00872350"/>
    <w:rPr>
      <w:b/>
      <w:bCs/>
      <w:sz w:val="20"/>
      <w:szCs w:val="20"/>
    </w:rPr>
  </w:style>
  <w:style w:type="paragraph" w:styleId="BodyText3">
    <w:name w:val="Body Text 3"/>
    <w:basedOn w:val="Normal"/>
    <w:link w:val="BodyText3Char"/>
    <w:uiPriority w:val="99"/>
    <w:semiHidden/>
    <w:unhideWhenUsed/>
    <w:rsid w:val="00372327"/>
    <w:pPr>
      <w:spacing w:after="120"/>
    </w:pPr>
    <w:rPr>
      <w:sz w:val="16"/>
      <w:szCs w:val="16"/>
    </w:rPr>
  </w:style>
  <w:style w:type="character" w:customStyle="1" w:styleId="BodyText3Char">
    <w:name w:val="Body Text 3 Char"/>
    <w:basedOn w:val="DefaultParagraphFont"/>
    <w:link w:val="BodyText3"/>
    <w:uiPriority w:val="99"/>
    <w:semiHidden/>
    <w:rsid w:val="00372327"/>
    <w:rPr>
      <w:sz w:val="16"/>
      <w:szCs w:val="16"/>
    </w:rPr>
  </w:style>
  <w:style w:type="character" w:customStyle="1" w:styleId="ipa1">
    <w:name w:val="ipa1"/>
    <w:basedOn w:val="DefaultParagraphFont"/>
    <w:rsid w:val="00EE7CA6"/>
    <w:rPr>
      <w:rFonts w:ascii="Arial Unicode MS" w:eastAsia="Arial Unicode MS" w:hAnsi="Arial Unicode MS" w:cs="Arial Unicode M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3540</Words>
  <Characters>20181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2022-07-26T14:13:00Z</dcterms:created>
  <dcterms:modified xsi:type="dcterms:W3CDTF">2022-07-26T14:13:00Z</dcterms:modified>
</cp:coreProperties>
</file>