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E8204CB" w14:textId="64434CD8" w:rsidR="00A538B5" w:rsidRPr="00A538B5" w:rsidRDefault="00A42A1E" w:rsidP="00B322FB">
      <w:pPr>
        <w:pBdr>
          <w:bottom w:val="single" w:sz="4" w:space="1" w:color="auto"/>
        </w:pBdr>
        <w:tabs>
          <w:tab w:val="right" w:pos="9026"/>
        </w:tabs>
        <w:spacing w:after="160"/>
        <w:rPr>
          <w:rFonts w:ascii="Sylfaen" w:hAnsi="Sylfaen"/>
          <w:i/>
        </w:rPr>
      </w:pPr>
      <w:r>
        <w:rPr>
          <w:rFonts w:ascii="Sylfaen" w:hAnsi="Sylfaen"/>
          <w:i/>
        </w:rPr>
        <w:t>Research Article</w:t>
      </w:r>
      <w:r w:rsidR="00A538B5">
        <w:rPr>
          <w:rFonts w:ascii="Sylfaen" w:hAnsi="Sylfaen"/>
          <w:i/>
        </w:rPr>
        <w:tab/>
      </w:r>
    </w:p>
    <w:p w14:paraId="406C0E9A" w14:textId="6E864BBB" w:rsidR="0020222F" w:rsidRPr="00AB6015" w:rsidRDefault="00AB6015" w:rsidP="00B322FB">
      <w:pPr>
        <w:spacing w:after="160" w:line="360" w:lineRule="auto"/>
        <w:rPr>
          <w:rFonts w:ascii="Sylfaen" w:eastAsiaTheme="majorEastAsia" w:hAnsi="Sylfaen" w:cstheme="majorBidi"/>
          <w:spacing w:val="-10"/>
          <w:kern w:val="28"/>
          <w:sz w:val="52"/>
          <w:szCs w:val="52"/>
        </w:rPr>
      </w:pPr>
      <w:bookmarkStart w:id="0" w:name="_GoBack"/>
      <w:r w:rsidRPr="002F1485">
        <w:rPr>
          <w:rFonts w:ascii="Sylfaen" w:eastAsiaTheme="majorEastAsia" w:hAnsi="Sylfaen" w:cstheme="majorBidi"/>
          <w:spacing w:val="-10"/>
          <w:kern w:val="28"/>
          <w:sz w:val="48"/>
          <w:szCs w:val="52"/>
        </w:rPr>
        <w:t>Communication and Swallowing Issues in Patients with Motor Neurone Disease: The Role of Speech and Language Therapy</w:t>
      </w:r>
      <w:bookmarkEnd w:id="0"/>
    </w:p>
    <w:p w14:paraId="0736152B" w14:textId="32ACF2AF" w:rsidR="00240FC1" w:rsidRPr="00331418" w:rsidRDefault="00AB6015" w:rsidP="00B322FB">
      <w:pPr>
        <w:spacing w:after="160" w:line="360" w:lineRule="auto"/>
        <w:rPr>
          <w:rFonts w:ascii="Sylfaen" w:hAnsi="Sylfaen"/>
        </w:rPr>
      </w:pPr>
      <w:r>
        <w:rPr>
          <w:rFonts w:ascii="Sylfaen" w:hAnsi="Sylfaen"/>
        </w:rPr>
        <w:t>Michael Bebbington</w:t>
      </w:r>
    </w:p>
    <w:p w14:paraId="2A35EB5D" w14:textId="3B1B0097" w:rsidR="002B247D" w:rsidRPr="00331418" w:rsidRDefault="002B247D" w:rsidP="00B322FB">
      <w:pPr>
        <w:spacing w:after="160" w:line="360" w:lineRule="auto"/>
        <w:rPr>
          <w:rFonts w:ascii="Sylfaen" w:hAnsi="Sylfaen"/>
        </w:rPr>
      </w:pPr>
      <w:r w:rsidRPr="00331418">
        <w:rPr>
          <w:rFonts w:ascii="Sylfaen" w:hAnsi="Sylfaen"/>
        </w:rPr>
        <w:t>University of Essex</w:t>
      </w:r>
      <w:r w:rsidR="00B16807">
        <w:rPr>
          <w:rFonts w:ascii="Sylfaen" w:hAnsi="Sylfaen"/>
        </w:rPr>
        <w:pict w14:anchorId="03B1286F">
          <v:rect id="_x0000_i1025" style="width:0;height:1.5pt" o:hralign="center" o:hrstd="t" o:hr="t" fillcolor="#a0a0a0" stroked="f"/>
        </w:pict>
      </w:r>
    </w:p>
    <w:p w14:paraId="42AE1F70" w14:textId="44BF30BC" w:rsidR="00240FC1" w:rsidRPr="00ED039A" w:rsidRDefault="00331418" w:rsidP="00C34E81">
      <w:pPr>
        <w:pStyle w:val="Heading1"/>
      </w:pPr>
      <w:r w:rsidRPr="00ED039A">
        <w:t>Abstract</w:t>
      </w:r>
    </w:p>
    <w:p w14:paraId="426A6744" w14:textId="08231A8F" w:rsidR="00590BFF" w:rsidRPr="00AB6015" w:rsidRDefault="00AB6015" w:rsidP="00590BFF">
      <w:pPr>
        <w:pStyle w:val="Default"/>
        <w:spacing w:line="360" w:lineRule="auto"/>
        <w:ind w:left="567" w:right="663"/>
        <w:jc w:val="both"/>
        <w:rPr>
          <w:rFonts w:ascii="Sylfaen" w:hAnsi="Sylfaen" w:cs="Times New Roman"/>
          <w:sz w:val="22"/>
          <w:szCs w:val="22"/>
        </w:rPr>
      </w:pPr>
      <w:r w:rsidRPr="00AB6015">
        <w:rPr>
          <w:rFonts w:ascii="Sylfaen" w:hAnsi="Sylfaen" w:cs="Times New Roman"/>
          <w:sz w:val="22"/>
          <w:szCs w:val="22"/>
        </w:rPr>
        <w:t xml:space="preserve">Motor </w:t>
      </w:r>
      <w:proofErr w:type="spellStart"/>
      <w:r w:rsidRPr="00AB6015">
        <w:rPr>
          <w:rFonts w:ascii="Sylfaen" w:hAnsi="Sylfaen" w:cs="Times New Roman"/>
          <w:sz w:val="22"/>
          <w:szCs w:val="22"/>
        </w:rPr>
        <w:t>Neurone</w:t>
      </w:r>
      <w:proofErr w:type="spellEnd"/>
      <w:r w:rsidRPr="00AB6015">
        <w:rPr>
          <w:rFonts w:ascii="Sylfaen" w:hAnsi="Sylfaen" w:cs="Times New Roman"/>
          <w:sz w:val="22"/>
          <w:szCs w:val="22"/>
        </w:rPr>
        <w:t xml:space="preserve"> Disease (or MND) is a degenerative disease which directly targets the motor </w:t>
      </w:r>
      <w:proofErr w:type="spellStart"/>
      <w:r w:rsidRPr="00AB6015">
        <w:rPr>
          <w:rFonts w:ascii="Sylfaen" w:hAnsi="Sylfaen" w:cs="Times New Roman"/>
          <w:sz w:val="22"/>
          <w:szCs w:val="22"/>
        </w:rPr>
        <w:t>neurones</w:t>
      </w:r>
      <w:proofErr w:type="spellEnd"/>
      <w:r w:rsidRPr="00AB6015">
        <w:rPr>
          <w:rFonts w:ascii="Sylfaen" w:hAnsi="Sylfaen" w:cs="Times New Roman"/>
          <w:sz w:val="22"/>
          <w:szCs w:val="22"/>
        </w:rPr>
        <w:t xml:space="preserve"> in the spinal cord which in turn causes a global reduction in muscle movement. Patients diagnosed with the disease often die within 3-5 years with a gradual decline in overall health and mobility. During this period, a patient’s ability to swallow and speak will likely also deteriorate which has an impact on both physiological and mental/emotional quality of life. Speech &amp; Language therapists attend to both of these areas but their role </w:t>
      </w:r>
      <w:proofErr w:type="gramStart"/>
      <w:r w:rsidRPr="00AB6015">
        <w:rPr>
          <w:rFonts w:ascii="Sylfaen" w:hAnsi="Sylfaen" w:cs="Times New Roman"/>
          <w:sz w:val="22"/>
          <w:szCs w:val="22"/>
        </w:rPr>
        <w:t>has arguably not been well defined</w:t>
      </w:r>
      <w:proofErr w:type="gramEnd"/>
      <w:r w:rsidRPr="00AB6015">
        <w:rPr>
          <w:rFonts w:ascii="Sylfaen" w:hAnsi="Sylfaen" w:cs="Times New Roman"/>
          <w:sz w:val="22"/>
          <w:szCs w:val="22"/>
        </w:rPr>
        <w:t xml:space="preserve"> by professional bodies until recently. The following paper is an attempt to highlight methods of assessment and treatment that can be </w:t>
      </w:r>
      <w:proofErr w:type="spellStart"/>
      <w:r w:rsidRPr="00AB6015">
        <w:rPr>
          <w:rFonts w:ascii="Sylfaen" w:hAnsi="Sylfaen" w:cs="Times New Roman"/>
          <w:sz w:val="22"/>
          <w:szCs w:val="22"/>
        </w:rPr>
        <w:t>utilised</w:t>
      </w:r>
      <w:proofErr w:type="spellEnd"/>
      <w:r w:rsidRPr="00AB6015">
        <w:rPr>
          <w:rFonts w:ascii="Sylfaen" w:hAnsi="Sylfaen" w:cs="Times New Roman"/>
          <w:sz w:val="22"/>
          <w:szCs w:val="22"/>
        </w:rPr>
        <w:t xml:space="preserve"> by clinicians for patients with MND.</w:t>
      </w:r>
    </w:p>
    <w:p w14:paraId="45BE89D6" w14:textId="77777777" w:rsidR="00AB6015" w:rsidRPr="00590BFF" w:rsidRDefault="00AB6015" w:rsidP="00590BFF">
      <w:pPr>
        <w:pStyle w:val="Default"/>
        <w:spacing w:line="360" w:lineRule="auto"/>
        <w:ind w:left="567" w:right="663"/>
        <w:jc w:val="both"/>
        <w:rPr>
          <w:rFonts w:ascii="Sylfaen" w:hAnsi="Sylfaen" w:cs="Times New Roman"/>
          <w:color w:val="000000" w:themeColor="text1"/>
          <w:sz w:val="22"/>
          <w:szCs w:val="22"/>
        </w:rPr>
      </w:pPr>
    </w:p>
    <w:p w14:paraId="62CC3F7B" w14:textId="78D7483E" w:rsidR="00EA7662" w:rsidRDefault="00240FC1" w:rsidP="006B45AF">
      <w:pPr>
        <w:spacing w:after="160" w:line="360" w:lineRule="auto"/>
        <w:rPr>
          <w:rFonts w:ascii="Sylfaen" w:hAnsi="Sylfaen"/>
        </w:rPr>
      </w:pPr>
      <w:r w:rsidRPr="00ED039A">
        <w:rPr>
          <w:rStyle w:val="Heading1Char"/>
        </w:rPr>
        <w:t>Keywords:</w:t>
      </w:r>
      <w:r w:rsidRPr="00331418">
        <w:rPr>
          <w:rFonts w:ascii="Sylfaen" w:hAnsi="Sylfaen"/>
        </w:rPr>
        <w:t xml:space="preserve">  </w:t>
      </w:r>
      <w:r w:rsidR="00AB6015" w:rsidRPr="00AB6015">
        <w:rPr>
          <w:rFonts w:ascii="Sylfaen" w:hAnsi="Sylfaen"/>
        </w:rPr>
        <w:t>Motor Neurone Disease, Language, MND, Speech &amp; Language Therapy, Communication, Speech</w:t>
      </w:r>
    </w:p>
    <w:p w14:paraId="75FB6084" w14:textId="1015E36E" w:rsidR="002F1485" w:rsidRDefault="002F1485" w:rsidP="002F1485">
      <w:pPr>
        <w:pStyle w:val="Heading1"/>
        <w:spacing w:after="16"/>
        <w:contextualSpacing/>
      </w:pPr>
      <w:r>
        <w:t>Introduction</w:t>
      </w:r>
    </w:p>
    <w:p w14:paraId="0A786A58" w14:textId="4446393F" w:rsidR="00AB6015" w:rsidRDefault="00AB6015" w:rsidP="002F1485">
      <w:pPr>
        <w:spacing w:after="16" w:line="360" w:lineRule="auto"/>
        <w:contextualSpacing/>
        <w:jc w:val="both"/>
        <w:rPr>
          <w:rFonts w:ascii="Sylfaen" w:eastAsia="Calibri" w:hAnsi="Sylfaen" w:cs="Times New Roman"/>
        </w:rPr>
      </w:pPr>
      <w:r w:rsidRPr="00AB6015">
        <w:rPr>
          <w:rFonts w:ascii="Sylfaen" w:eastAsia="Calibri" w:hAnsi="Sylfaen" w:cs="Times New Roman"/>
        </w:rPr>
        <w:t xml:space="preserve">Motor Neurone Disease (hereinafter MND) is a degenerative disease that directly affects both upper and lower motor neurones in the brain and/or spinal cord, which in turn reduces muscle movement. Those afflicted with the condition on average die within 3-5 years, and in the majority of </w:t>
      </w:r>
      <w:proofErr w:type="gramStart"/>
      <w:r w:rsidRPr="00AB6015">
        <w:rPr>
          <w:rFonts w:ascii="Sylfaen" w:eastAsia="Calibri" w:hAnsi="Sylfaen" w:cs="Times New Roman"/>
        </w:rPr>
        <w:t>cases</w:t>
      </w:r>
      <w:proofErr w:type="gramEnd"/>
      <w:r w:rsidRPr="00AB6015">
        <w:rPr>
          <w:rFonts w:ascii="Sylfaen" w:eastAsia="Calibri" w:hAnsi="Sylfaen" w:cs="Times New Roman"/>
        </w:rPr>
        <w:t xml:space="preserve"> this </w:t>
      </w:r>
      <w:r w:rsidRPr="00AB6015">
        <w:rPr>
          <w:rFonts w:ascii="Sylfaen" w:eastAsia="Calibri" w:hAnsi="Sylfaen" w:cs="Times New Roman"/>
        </w:rPr>
        <w:lastRenderedPageBreak/>
        <w:t xml:space="preserve">is through respiratory failure (Schiffer et al. 1987). Since the muscle wastage caused by the disease occurs at a global level, it has wide implications for the patient; the care provided spreads across many medical disciplines. </w:t>
      </w:r>
    </w:p>
    <w:p w14:paraId="550EFD8D" w14:textId="77777777" w:rsidR="00AB6015" w:rsidRPr="00AB6015" w:rsidRDefault="00AB6015" w:rsidP="002F1485">
      <w:pPr>
        <w:spacing w:after="16" w:line="360" w:lineRule="auto"/>
        <w:contextualSpacing/>
        <w:jc w:val="both"/>
        <w:rPr>
          <w:rFonts w:ascii="Sylfaen" w:eastAsia="Calibri" w:hAnsi="Sylfaen" w:cs="Times New Roman"/>
        </w:rPr>
      </w:pPr>
    </w:p>
    <w:p w14:paraId="4894770D" w14:textId="3B21F7FE" w:rsidR="00AB6015" w:rsidRDefault="00AB6015" w:rsidP="002F1485">
      <w:pPr>
        <w:spacing w:after="16" w:line="360" w:lineRule="auto"/>
        <w:contextualSpacing/>
        <w:jc w:val="both"/>
        <w:rPr>
          <w:rFonts w:ascii="Sylfaen" w:eastAsia="Calibri" w:hAnsi="Sylfaen" w:cs="Times New Roman"/>
        </w:rPr>
      </w:pPr>
      <w:r w:rsidRPr="00AB6015">
        <w:rPr>
          <w:rFonts w:ascii="Sylfaen" w:eastAsia="Calibri" w:hAnsi="Sylfaen" w:cs="Times New Roman"/>
        </w:rPr>
        <w:t>One of these disciplines is Speech and Language therapy (hereinafter SLT). The two key areas of focus for SLT are communication and swallowing function; both are vital, but arguably for different reasons. Being unable to swallow has consequences for the medical health of the patient as there is greater risk of malnutrition and weight loss (</w:t>
      </w:r>
      <w:proofErr w:type="spellStart"/>
      <w:r w:rsidRPr="00AB6015">
        <w:rPr>
          <w:rFonts w:ascii="Sylfaen" w:eastAsia="Calibri" w:hAnsi="Sylfaen" w:cs="Times New Roman"/>
          <w:shd w:val="clear" w:color="auto" w:fill="FFFFFF"/>
        </w:rPr>
        <w:t>Körner</w:t>
      </w:r>
      <w:proofErr w:type="spellEnd"/>
      <w:r w:rsidRPr="00AB6015">
        <w:rPr>
          <w:rFonts w:ascii="Sylfaen" w:eastAsia="Calibri" w:hAnsi="Sylfaen" w:cs="Times New Roman"/>
        </w:rPr>
        <w:t xml:space="preserve"> et al. 2013), as well as the additional risk of pneumonia caused by aspiration</w:t>
      </w:r>
      <w:r w:rsidRPr="00AB6015">
        <w:rPr>
          <w:rFonts w:ascii="Sylfaen" w:eastAsia="Calibri" w:hAnsi="Sylfaen" w:cs="Times New Roman"/>
          <w:vertAlign w:val="superscript"/>
        </w:rPr>
        <w:footnoteReference w:id="1"/>
      </w:r>
      <w:r w:rsidRPr="00AB6015">
        <w:rPr>
          <w:rFonts w:ascii="Sylfaen" w:eastAsia="Calibri" w:hAnsi="Sylfaen" w:cs="Times New Roman"/>
        </w:rPr>
        <w:t xml:space="preserve"> (</w:t>
      </w:r>
      <w:proofErr w:type="spellStart"/>
      <w:r w:rsidRPr="00AB6015">
        <w:rPr>
          <w:rFonts w:ascii="Sylfaen" w:eastAsia="Calibri" w:hAnsi="Sylfaen" w:cs="Times New Roman"/>
        </w:rPr>
        <w:t>Langmore</w:t>
      </w:r>
      <w:proofErr w:type="spellEnd"/>
      <w:r w:rsidRPr="00AB6015">
        <w:rPr>
          <w:rFonts w:ascii="Sylfaen" w:eastAsia="Calibri" w:hAnsi="Sylfaen" w:cs="Times New Roman"/>
        </w:rPr>
        <w:t xml:space="preserve"> et al. 1998). Communication impairment interferes less with the physical health of the patient, but can have negative effects on their mental and emotional health. </w:t>
      </w:r>
      <w:proofErr w:type="gramStart"/>
      <w:r w:rsidRPr="00AB6015">
        <w:rPr>
          <w:rFonts w:ascii="Sylfaen" w:eastAsia="Calibri" w:hAnsi="Sylfaen" w:cs="Times New Roman"/>
        </w:rPr>
        <w:t>Therefore</w:t>
      </w:r>
      <w:proofErr w:type="gramEnd"/>
      <w:r w:rsidRPr="00AB6015">
        <w:rPr>
          <w:rFonts w:ascii="Sylfaen" w:eastAsia="Calibri" w:hAnsi="Sylfaen" w:cs="Times New Roman"/>
        </w:rPr>
        <w:t xml:space="preserve"> the role of SLT is unique in its responsibility in maintaining communication between the patient and their loved ones, as well as to the staff managing the health of the patient. The failure of a patient to be able to communicate their wishes has been reported to be linked with depression, a sense of powerlessness and emotional disengagement (Hecht et al, 2002). Additionally, many relevant sources such as the Royal College of Speech &amp; Language Therapists (hereinafter RCSLT) do not provide specific documents that focus on the role of SLT for this population. </w:t>
      </w:r>
    </w:p>
    <w:p w14:paraId="2133A916" w14:textId="77777777" w:rsidR="00AB6015" w:rsidRPr="00AB6015" w:rsidRDefault="00AB6015" w:rsidP="002F1485">
      <w:pPr>
        <w:spacing w:after="16" w:line="360" w:lineRule="auto"/>
        <w:contextualSpacing/>
        <w:jc w:val="both"/>
        <w:rPr>
          <w:rFonts w:ascii="Sylfaen" w:eastAsia="Calibri" w:hAnsi="Sylfaen" w:cs="Times New Roman"/>
        </w:rPr>
      </w:pPr>
    </w:p>
    <w:p w14:paraId="02A819B3" w14:textId="55EA745A" w:rsidR="00AB6015" w:rsidRDefault="00AB6015" w:rsidP="002F1485">
      <w:pPr>
        <w:spacing w:after="16" w:line="360" w:lineRule="auto"/>
        <w:contextualSpacing/>
        <w:jc w:val="both"/>
        <w:rPr>
          <w:rFonts w:ascii="Sylfaen" w:eastAsia="Calibri" w:hAnsi="Sylfaen" w:cs="Times New Roman"/>
        </w:rPr>
      </w:pPr>
      <w:r w:rsidRPr="00AB6015">
        <w:rPr>
          <w:rFonts w:ascii="Sylfaen" w:eastAsia="Calibri" w:hAnsi="Sylfaen" w:cs="Times New Roman"/>
        </w:rPr>
        <w:t xml:space="preserve">This piece aims to catalogue the relevant issues for this field in a holistic context, presenting the evidence and rationale for therapies at the disposal of SLTs to maximise the patient’s quality of life both physically and emotionally. </w:t>
      </w:r>
    </w:p>
    <w:p w14:paraId="1E7E85DA" w14:textId="77777777" w:rsidR="00AB6015" w:rsidRPr="00AB6015" w:rsidRDefault="00AB6015" w:rsidP="002F1485">
      <w:pPr>
        <w:spacing w:after="16" w:line="360" w:lineRule="auto"/>
        <w:contextualSpacing/>
        <w:jc w:val="both"/>
        <w:rPr>
          <w:rFonts w:ascii="Sylfaen" w:eastAsia="Calibri" w:hAnsi="Sylfaen" w:cs="Times New Roman"/>
        </w:rPr>
      </w:pPr>
    </w:p>
    <w:p w14:paraId="05EE91B1" w14:textId="77777777" w:rsidR="00AB6015" w:rsidRPr="00AB6015" w:rsidRDefault="00AB6015" w:rsidP="002F1485">
      <w:pPr>
        <w:spacing w:before="240" w:after="16" w:line="360" w:lineRule="auto"/>
        <w:contextualSpacing/>
        <w:jc w:val="both"/>
        <w:rPr>
          <w:rFonts w:ascii="Sylfaen" w:eastAsia="Calibri" w:hAnsi="Sylfaen" w:cs="Times New Roman"/>
        </w:rPr>
      </w:pPr>
      <w:r w:rsidRPr="00AB6015">
        <w:rPr>
          <w:rFonts w:ascii="Sylfaen" w:eastAsia="Calibri" w:hAnsi="Sylfaen" w:cs="Times New Roman"/>
        </w:rPr>
        <w:t xml:space="preserve">Following on from a diagnosis of MND the organisation of care should be established using interprofessional teams, with the patient and their family at the nucleus. This approach aligns with the fourth objective of the NHS Constitution (2015), which aims to have care tailored and coordinated around the patient and their family. These </w:t>
      </w:r>
      <w:proofErr w:type="spellStart"/>
      <w:r w:rsidRPr="00AB6015">
        <w:rPr>
          <w:rFonts w:ascii="Sylfaen" w:eastAsia="Calibri" w:hAnsi="Sylfaen" w:cs="Times New Roman"/>
        </w:rPr>
        <w:t>interprofessionals</w:t>
      </w:r>
      <w:proofErr w:type="spellEnd"/>
      <w:r w:rsidRPr="00AB6015">
        <w:rPr>
          <w:rFonts w:ascii="Sylfaen" w:eastAsia="Calibri" w:hAnsi="Sylfaen" w:cs="Times New Roman"/>
        </w:rPr>
        <w:t xml:space="preserve"> will usually be led by a neurologist and may also involve the general practitioner, a nurse specialist, occupational therapist (OT), physiotherapist (PT), SLT and/or dietician. In the later stages of the disease the involvement </w:t>
      </w:r>
      <w:r w:rsidRPr="00AB6015">
        <w:rPr>
          <w:rFonts w:ascii="Sylfaen" w:eastAsia="Calibri" w:hAnsi="Sylfaen" w:cs="Times New Roman"/>
        </w:rPr>
        <w:lastRenderedPageBreak/>
        <w:t>of gastroenterology and respiratory physicians may be required; also the involvement of other organisations such as the MNDA (Motor Neurone Disease Association), hospices, social workers or advocates should be linked to the patient (Wood-Allum &amp; Shaw, 2010). The interprofessional method is highly recommended by the National Institute for Clinical Excellence (hereinafter NICE) (NICE, 2016) guidelines and is further endorsed by qualitative studies that have explored the opinions of healthcare professionals (</w:t>
      </w:r>
      <w:proofErr w:type="spellStart"/>
      <w:r w:rsidRPr="00AB6015">
        <w:rPr>
          <w:rFonts w:ascii="Sylfaen" w:eastAsia="Calibri" w:hAnsi="Sylfaen" w:cs="Times New Roman"/>
        </w:rPr>
        <w:t>Hogden</w:t>
      </w:r>
      <w:proofErr w:type="spellEnd"/>
      <w:r w:rsidRPr="00AB6015">
        <w:rPr>
          <w:rFonts w:ascii="Sylfaen" w:eastAsia="Calibri" w:hAnsi="Sylfaen" w:cs="Times New Roman"/>
        </w:rPr>
        <w:t xml:space="preserve"> et al. 2012) and of patients themselves (Oishi &amp; Murtagh, 2014). Although there does seem to be a lack of systematic research exploring the effectiveness of interprofessional working in MND, the evidence currently available would imply that this method is effective. </w:t>
      </w:r>
    </w:p>
    <w:p w14:paraId="2C57E67B" w14:textId="77777777" w:rsidR="00AB6015" w:rsidRPr="00AB6015" w:rsidRDefault="00AB6015" w:rsidP="002F1485">
      <w:pPr>
        <w:spacing w:after="16" w:line="360" w:lineRule="auto"/>
        <w:contextualSpacing/>
        <w:jc w:val="both"/>
        <w:rPr>
          <w:rFonts w:ascii="Sylfaen" w:eastAsia="Calibri" w:hAnsi="Sylfaen" w:cs="Times New Roman"/>
        </w:rPr>
      </w:pPr>
    </w:p>
    <w:p w14:paraId="680B1EE1" w14:textId="76E1B7E9" w:rsidR="00AB6015" w:rsidRPr="00AB6015" w:rsidRDefault="00AB6015" w:rsidP="002F1485">
      <w:pPr>
        <w:pStyle w:val="Heading1"/>
        <w:spacing w:after="16"/>
        <w:contextualSpacing/>
        <w:rPr>
          <w:rFonts w:eastAsia="Calibri"/>
        </w:rPr>
      </w:pPr>
      <w:r w:rsidRPr="00AB6015">
        <w:rPr>
          <w:rFonts w:eastAsia="Calibri"/>
        </w:rPr>
        <w:t>Swallowing Assessment</w:t>
      </w:r>
    </w:p>
    <w:p w14:paraId="2DB34C15" w14:textId="1B4EF6E5" w:rsidR="00AB6015" w:rsidRPr="00AB6015" w:rsidRDefault="00AB6015" w:rsidP="002F1485">
      <w:pPr>
        <w:spacing w:after="16" w:line="360" w:lineRule="auto"/>
        <w:contextualSpacing/>
        <w:jc w:val="both"/>
        <w:rPr>
          <w:rFonts w:ascii="Sylfaen" w:eastAsia="Calibri" w:hAnsi="Sylfaen" w:cs="Times New Roman"/>
        </w:rPr>
      </w:pPr>
      <w:r w:rsidRPr="00AB6015">
        <w:rPr>
          <w:rFonts w:ascii="Sylfaen" w:eastAsia="Calibri" w:hAnsi="Sylfaen" w:cs="Times New Roman"/>
        </w:rPr>
        <w:t xml:space="preserve">The progression of muscular degeneration and reduced muscle control means that patients with MND are at risk of dysphagia. Dysphagia is the term that denotes an impairment of the swallow mechanism. SLTs are one of the primary professionals managing a patient’s swallow mechanism, but other professionals that can also advise include: dieticians, OTs and PTs (MNDA, 2017). The cooperation of these professions means that the patient’s weight, risk of aspiration and positioning are evaluated so that the patient’s comfort is ensured. The patient’s swallow mechanism is an important factor for many other treatments to be carried out, for example, the administration of drugs or the management of nutrition. These depend on the SLT to assess and manage any dysphagic symptoms that may occur. Whilst the NICE (2016) guidelines state the importance of the swallowing assessment, there is seemingly a lack of SLT specific guidance in relation to MND dysphagia assessment; this may be due to the rarity of the condition and therefore a lack of participants to carry out research upon. Thus, SLTs may use different assessment techniques depending on the setting in which the patient resides at the time of assessment. If the patient is receiving care in their own home then a bedside swallowing assessment, monitoring the sound of the swallow using a stethoscope and measuring the blood-oxygen levels, may be carried out to establish if the patient is experiencing difficulties in their swallow such as aspiration, which will have a detrimental effect on their respiration, which is the leading cause of death in patients with MND (Rowland &amp; </w:t>
      </w:r>
      <w:proofErr w:type="spellStart"/>
      <w:r w:rsidRPr="00AB6015">
        <w:rPr>
          <w:rFonts w:ascii="Sylfaen" w:eastAsia="Calibri" w:hAnsi="Sylfaen" w:cs="Times New Roman"/>
        </w:rPr>
        <w:t>Shneider</w:t>
      </w:r>
      <w:proofErr w:type="spellEnd"/>
      <w:r w:rsidRPr="00AB6015">
        <w:rPr>
          <w:rFonts w:ascii="Sylfaen" w:eastAsia="Calibri" w:hAnsi="Sylfaen" w:cs="Times New Roman"/>
        </w:rPr>
        <w:t xml:space="preserve">, 2001). Despite evidence suggesting that these methods of assessment are determined to be less accurate (Ramsey et al. 2003), they are easily accessible and timely. If the </w:t>
      </w:r>
      <w:r w:rsidRPr="00AB6015">
        <w:rPr>
          <w:rFonts w:ascii="Sylfaen" w:eastAsia="Calibri" w:hAnsi="Sylfaen" w:cs="Times New Roman"/>
        </w:rPr>
        <w:lastRenderedPageBreak/>
        <w:t xml:space="preserve">patient is in a specialist facility then the options of more in-depth and thorough assessments such as </w:t>
      </w:r>
      <w:proofErr w:type="spellStart"/>
      <w:r w:rsidRPr="00AB6015">
        <w:rPr>
          <w:rFonts w:ascii="Sylfaen" w:eastAsia="Calibri" w:hAnsi="Sylfaen" w:cs="Times New Roman"/>
        </w:rPr>
        <w:t>videofluroscopy</w:t>
      </w:r>
      <w:proofErr w:type="spellEnd"/>
      <w:r w:rsidRPr="00AB6015">
        <w:rPr>
          <w:rFonts w:ascii="Sylfaen" w:eastAsia="Calibri" w:hAnsi="Sylfaen" w:cs="Times New Roman"/>
          <w:vertAlign w:val="superscript"/>
        </w:rPr>
        <w:footnoteReference w:id="2"/>
      </w:r>
      <w:r w:rsidRPr="00AB6015">
        <w:rPr>
          <w:rFonts w:ascii="Sylfaen" w:eastAsia="Calibri" w:hAnsi="Sylfaen" w:cs="Times New Roman"/>
        </w:rPr>
        <w:t xml:space="preserve"> become available. Such assessments have found to be accurate but are also uncomfortable for the patient (ibid, 2003). It can be argued that the comfort of the patient in a degenerative condition is paramount unless the clinical risk of aspiration outweighs the patient’s comfort. In such </w:t>
      </w:r>
      <w:proofErr w:type="gramStart"/>
      <w:r w:rsidRPr="00AB6015">
        <w:rPr>
          <w:rFonts w:ascii="Sylfaen" w:eastAsia="Calibri" w:hAnsi="Sylfaen" w:cs="Times New Roman"/>
        </w:rPr>
        <w:t>instances</w:t>
      </w:r>
      <w:proofErr w:type="gramEnd"/>
      <w:r w:rsidRPr="00AB6015">
        <w:rPr>
          <w:rFonts w:ascii="Sylfaen" w:eastAsia="Calibri" w:hAnsi="Sylfaen" w:cs="Times New Roman"/>
        </w:rPr>
        <w:t xml:space="preserve"> discussions with the patient and their family would be ideal and would reflect the NHS constitution (2015) in providing dignity, respect and compassion. Overall it would appear that the assessment of swallowing for patients with MND solely relies on the judgement of the SLT and their own experience as there are no specific guidelines or research to suggest that certain methods are more suitable for patients with MND.</w:t>
      </w:r>
    </w:p>
    <w:p w14:paraId="527A9DF1" w14:textId="77777777" w:rsidR="00AB6015" w:rsidRPr="00AB6015" w:rsidRDefault="00AB6015" w:rsidP="002F1485">
      <w:pPr>
        <w:spacing w:after="16" w:line="360" w:lineRule="auto"/>
        <w:contextualSpacing/>
        <w:jc w:val="both"/>
        <w:rPr>
          <w:rFonts w:ascii="Sylfaen" w:eastAsia="Calibri" w:hAnsi="Sylfaen" w:cs="Times New Roman"/>
        </w:rPr>
      </w:pPr>
    </w:p>
    <w:p w14:paraId="2A7BDC7C" w14:textId="4C595CEE" w:rsidR="00AB6015" w:rsidRPr="00AB6015" w:rsidRDefault="00AB6015" w:rsidP="002F1485">
      <w:pPr>
        <w:pStyle w:val="Heading1"/>
        <w:spacing w:after="16"/>
        <w:contextualSpacing/>
        <w:rPr>
          <w:rFonts w:eastAsia="Calibri"/>
        </w:rPr>
      </w:pPr>
      <w:r w:rsidRPr="00AB6015">
        <w:rPr>
          <w:rFonts w:eastAsia="Calibri"/>
        </w:rPr>
        <w:t>Communication Assessment</w:t>
      </w:r>
    </w:p>
    <w:p w14:paraId="6CC65BA2" w14:textId="77777777" w:rsidR="00AB6015" w:rsidRPr="00AB6015" w:rsidRDefault="00AB6015" w:rsidP="002F1485">
      <w:pPr>
        <w:spacing w:after="16" w:line="360" w:lineRule="auto"/>
        <w:contextualSpacing/>
        <w:jc w:val="both"/>
        <w:rPr>
          <w:rFonts w:ascii="Sylfaen" w:eastAsia="Calibri" w:hAnsi="Sylfaen" w:cs="Times New Roman"/>
        </w:rPr>
      </w:pPr>
      <w:r w:rsidRPr="00AB6015">
        <w:rPr>
          <w:rFonts w:ascii="Sylfaen" w:eastAsia="Calibri" w:hAnsi="Sylfaen" w:cs="Times New Roman"/>
        </w:rPr>
        <w:t>Dysarthria, a disorder of motor speech that causes a slurring of speech to occur, can become a symptom of the disease in the first instance; Duffy (2013) claims that 25% of patients with MND develop dysarthric symptoms. Whether or not the patient has dysarthria post diagnosis is arguably irrelevant as dysarthria develops in over 80% of patients with MND at some point in the disease (</w:t>
      </w:r>
      <w:proofErr w:type="spellStart"/>
      <w:r w:rsidRPr="00AB6015">
        <w:rPr>
          <w:rFonts w:ascii="Sylfaen" w:eastAsia="Calibri" w:hAnsi="Sylfaen" w:cs="Times New Roman"/>
        </w:rPr>
        <w:t>Tomik</w:t>
      </w:r>
      <w:proofErr w:type="spellEnd"/>
      <w:r w:rsidRPr="00AB6015">
        <w:rPr>
          <w:rFonts w:ascii="Sylfaen" w:eastAsia="Calibri" w:hAnsi="Sylfaen" w:cs="Times New Roman"/>
        </w:rPr>
        <w:t xml:space="preserve"> &amp; </w:t>
      </w:r>
      <w:proofErr w:type="spellStart"/>
      <w:r w:rsidRPr="00AB6015">
        <w:rPr>
          <w:rFonts w:ascii="Sylfaen" w:eastAsia="Calibri" w:hAnsi="Sylfaen" w:cs="Times New Roman"/>
        </w:rPr>
        <w:t>Guiloff</w:t>
      </w:r>
      <w:proofErr w:type="spellEnd"/>
      <w:r w:rsidRPr="00AB6015">
        <w:rPr>
          <w:rFonts w:ascii="Sylfaen" w:eastAsia="Calibri" w:hAnsi="Sylfaen" w:cs="Times New Roman"/>
        </w:rPr>
        <w:t xml:space="preserve">, 2000). </w:t>
      </w:r>
      <w:proofErr w:type="gramStart"/>
      <w:r w:rsidRPr="00AB6015">
        <w:rPr>
          <w:rFonts w:ascii="Sylfaen" w:eastAsia="Calibri" w:hAnsi="Sylfaen" w:cs="Times New Roman"/>
        </w:rPr>
        <w:t>Therefore</w:t>
      </w:r>
      <w:proofErr w:type="gramEnd"/>
      <w:r w:rsidRPr="00AB6015">
        <w:rPr>
          <w:rFonts w:ascii="Sylfaen" w:eastAsia="Calibri" w:hAnsi="Sylfaen" w:cs="Times New Roman"/>
        </w:rPr>
        <w:t xml:space="preserve"> early assessment and subsequent management should be put in place to help the patient and their family ease through the transition of the disease. To this end, the SLT plays a vital role in maintaining the patient’s ability to communicate, which in turn has wide implications that range from the patient giving consent, to ultimately, their quality of life (Hecht et al. 2002), which the NHS constitution states as vital (NHS, 2015). </w:t>
      </w:r>
      <w:proofErr w:type="gramStart"/>
      <w:r w:rsidRPr="00AB6015">
        <w:rPr>
          <w:rFonts w:ascii="Sylfaen" w:eastAsia="Calibri" w:hAnsi="Sylfaen" w:cs="Times New Roman"/>
        </w:rPr>
        <w:t>Therefore</w:t>
      </w:r>
      <w:proofErr w:type="gramEnd"/>
      <w:r w:rsidRPr="00AB6015">
        <w:rPr>
          <w:rFonts w:ascii="Sylfaen" w:eastAsia="Calibri" w:hAnsi="Sylfaen" w:cs="Times New Roman"/>
        </w:rPr>
        <w:t xml:space="preserve"> all parties involved need the SLT to allow the patient to have a meaningful method of communication to express their thoughts and desires. </w:t>
      </w:r>
    </w:p>
    <w:p w14:paraId="10B646D9" w14:textId="77777777" w:rsidR="00AB6015" w:rsidRPr="00AB6015" w:rsidRDefault="00AB6015" w:rsidP="002F1485">
      <w:pPr>
        <w:spacing w:after="16" w:line="360" w:lineRule="auto"/>
        <w:contextualSpacing/>
        <w:jc w:val="both"/>
        <w:rPr>
          <w:rFonts w:ascii="Sylfaen" w:eastAsia="Calibri" w:hAnsi="Sylfaen" w:cs="Times New Roman"/>
        </w:rPr>
      </w:pPr>
    </w:p>
    <w:p w14:paraId="3BC8A303" w14:textId="77777777" w:rsidR="00AB6015" w:rsidRPr="00AB6015" w:rsidRDefault="00AB6015" w:rsidP="002F1485">
      <w:pPr>
        <w:spacing w:after="16" w:line="360" w:lineRule="auto"/>
        <w:contextualSpacing/>
        <w:jc w:val="both"/>
        <w:rPr>
          <w:rFonts w:ascii="Sylfaen" w:eastAsia="Calibri" w:hAnsi="Sylfaen" w:cs="Times New Roman"/>
        </w:rPr>
      </w:pPr>
      <w:r w:rsidRPr="00AB6015">
        <w:rPr>
          <w:rFonts w:ascii="Sylfaen" w:eastAsia="Calibri" w:hAnsi="Sylfaen" w:cs="Times New Roman"/>
        </w:rPr>
        <w:t xml:space="preserve">The SLT should initially carry out assessments to establish whether the patient at the early stage of the disease has dysarthria and if so, its severity. In order to establish a baseline the SLT could use a standardised dysarthria assessment such as the </w:t>
      </w:r>
      <w:proofErr w:type="spellStart"/>
      <w:r w:rsidRPr="00AB6015">
        <w:rPr>
          <w:rFonts w:ascii="Sylfaen" w:eastAsia="Calibri" w:hAnsi="Sylfaen" w:cs="Times New Roman"/>
        </w:rPr>
        <w:t>Frenchay</w:t>
      </w:r>
      <w:proofErr w:type="spellEnd"/>
      <w:r w:rsidRPr="00AB6015">
        <w:rPr>
          <w:rFonts w:ascii="Sylfaen" w:eastAsia="Calibri" w:hAnsi="Sylfaen" w:cs="Times New Roman"/>
        </w:rPr>
        <w:t xml:space="preserve"> Dysarthria Assessment (</w:t>
      </w:r>
      <w:proofErr w:type="spellStart"/>
      <w:r w:rsidRPr="00AB6015">
        <w:rPr>
          <w:rFonts w:ascii="Sylfaen" w:eastAsia="Calibri" w:hAnsi="Sylfaen" w:cs="Times New Roman"/>
        </w:rPr>
        <w:t>Enderby</w:t>
      </w:r>
      <w:proofErr w:type="spellEnd"/>
      <w:r w:rsidRPr="00AB6015">
        <w:rPr>
          <w:rFonts w:ascii="Sylfaen" w:eastAsia="Calibri" w:hAnsi="Sylfaen" w:cs="Times New Roman"/>
        </w:rPr>
        <w:t xml:space="preserve">, 1983), which would allow a comprehensive assessment of the patient’s potential dysfluency; furthermore it would allow the SLT to track the deterioration of the patient and therefore begin to develop </w:t>
      </w:r>
      <w:r w:rsidRPr="00AB6015">
        <w:rPr>
          <w:rFonts w:ascii="Sylfaen" w:eastAsia="Calibri" w:hAnsi="Sylfaen" w:cs="Times New Roman"/>
        </w:rPr>
        <w:lastRenderedPageBreak/>
        <w:t xml:space="preserve">contingencies for their communicative deterioration. Duffy (2013) has reported that in a sample of dysarthric MND patients in the Mayo clinic, nearly 99% had mixed dysarthria. Mixed dysarthria impairs the larynx, resulting in a quiet, breathy voice as well as weakening the oral musculature leading to imprecise consonants (ibid, 2013). If the SLT decides that speech is still a functional option for the patient then adjustments would need to </w:t>
      </w:r>
      <w:proofErr w:type="gramStart"/>
      <w:r w:rsidRPr="00AB6015">
        <w:rPr>
          <w:rFonts w:ascii="Sylfaen" w:eastAsia="Calibri" w:hAnsi="Sylfaen" w:cs="Times New Roman"/>
        </w:rPr>
        <w:t>be made</w:t>
      </w:r>
      <w:proofErr w:type="gramEnd"/>
      <w:r w:rsidRPr="00AB6015">
        <w:rPr>
          <w:rFonts w:ascii="Sylfaen" w:eastAsia="Calibri" w:hAnsi="Sylfaen" w:cs="Times New Roman"/>
        </w:rPr>
        <w:t xml:space="preserve"> to accommodate the patient’s dysarthria. The SLT may employ strategies </w:t>
      </w:r>
      <w:proofErr w:type="gramStart"/>
      <w:r w:rsidRPr="00AB6015">
        <w:rPr>
          <w:rFonts w:ascii="Sylfaen" w:eastAsia="Calibri" w:hAnsi="Sylfaen" w:cs="Times New Roman"/>
        </w:rPr>
        <w:t>including:</w:t>
      </w:r>
      <w:proofErr w:type="gramEnd"/>
      <w:r w:rsidRPr="00AB6015">
        <w:rPr>
          <w:rFonts w:ascii="Sylfaen" w:eastAsia="Calibri" w:hAnsi="Sylfaen" w:cs="Times New Roman"/>
        </w:rPr>
        <w:t xml:space="preserve"> reduced speech rate, over-articulation and the use of breath control (</w:t>
      </w:r>
      <w:proofErr w:type="spellStart"/>
      <w:r w:rsidRPr="00AB6015">
        <w:rPr>
          <w:rFonts w:ascii="Sylfaen" w:eastAsia="Calibri" w:hAnsi="Sylfaen" w:cs="Times New Roman"/>
        </w:rPr>
        <w:t>Tomik</w:t>
      </w:r>
      <w:proofErr w:type="spellEnd"/>
      <w:r w:rsidRPr="00AB6015">
        <w:rPr>
          <w:rFonts w:ascii="Sylfaen" w:eastAsia="Calibri" w:hAnsi="Sylfaen" w:cs="Times New Roman"/>
        </w:rPr>
        <w:t xml:space="preserve"> &amp; </w:t>
      </w:r>
      <w:proofErr w:type="spellStart"/>
      <w:r w:rsidRPr="00AB6015">
        <w:rPr>
          <w:rFonts w:ascii="Sylfaen" w:eastAsia="Calibri" w:hAnsi="Sylfaen" w:cs="Times New Roman"/>
        </w:rPr>
        <w:t>Guiloff</w:t>
      </w:r>
      <w:proofErr w:type="spellEnd"/>
      <w:r w:rsidRPr="00AB6015">
        <w:rPr>
          <w:rFonts w:ascii="Sylfaen" w:eastAsia="Calibri" w:hAnsi="Sylfaen" w:cs="Times New Roman"/>
        </w:rPr>
        <w:t xml:space="preserve">, 2010). In order to help facilitate the patient’s speech the patient’s family may need to be trained to develop helpful conversational practices that will enable the patient to be heard, for example, a reduction in background noise via home adaptations. Such decisions can be challenging for the patient’s family to undertake and therefore discussions alongside occupational therapy should be held to make suitable adaptations for carrying out activities for daily living (Scott &amp; McPhee, 2014). </w:t>
      </w:r>
    </w:p>
    <w:p w14:paraId="1B227C10" w14:textId="77777777" w:rsidR="00AB6015" w:rsidRPr="00AB6015" w:rsidRDefault="00AB6015" w:rsidP="002F1485">
      <w:pPr>
        <w:spacing w:after="16" w:line="360" w:lineRule="auto"/>
        <w:contextualSpacing/>
        <w:jc w:val="both"/>
        <w:rPr>
          <w:rFonts w:ascii="Sylfaen" w:eastAsia="Calibri" w:hAnsi="Sylfaen" w:cs="Times New Roman"/>
        </w:rPr>
      </w:pPr>
    </w:p>
    <w:p w14:paraId="375E7055" w14:textId="40DF78B6" w:rsidR="00AB6015" w:rsidRPr="00AB6015" w:rsidRDefault="00AB6015" w:rsidP="002F1485">
      <w:pPr>
        <w:spacing w:after="16" w:line="360" w:lineRule="auto"/>
        <w:contextualSpacing/>
        <w:jc w:val="both"/>
        <w:rPr>
          <w:rFonts w:ascii="Sylfaen" w:eastAsia="Calibri" w:hAnsi="Sylfaen" w:cs="Times New Roman"/>
        </w:rPr>
      </w:pPr>
      <w:r w:rsidRPr="00AB6015">
        <w:rPr>
          <w:rFonts w:ascii="Sylfaen" w:eastAsia="Calibri" w:hAnsi="Sylfaen" w:cs="Times New Roman"/>
        </w:rPr>
        <w:t xml:space="preserve">There is little evidence in the literature regarding therapy in MND patients with dysarthria, and the evidence itself consists of limited case series designs (Murphy, 2004; </w:t>
      </w:r>
      <w:proofErr w:type="spellStart"/>
      <w:r w:rsidRPr="00AB6015">
        <w:rPr>
          <w:rFonts w:ascii="Sylfaen" w:eastAsia="Calibri" w:hAnsi="Sylfaen" w:cs="Times New Roman"/>
        </w:rPr>
        <w:t>Yorkston</w:t>
      </w:r>
      <w:proofErr w:type="spellEnd"/>
      <w:r w:rsidRPr="00AB6015">
        <w:rPr>
          <w:rFonts w:ascii="Sylfaen" w:eastAsia="Calibri" w:hAnsi="Sylfaen" w:cs="Times New Roman"/>
        </w:rPr>
        <w:t xml:space="preserve"> et al. 1996). Scott &amp; McPhee (2014) state that dysarthria management should be used with caution as the inevitable deterioration of a patient’s speech may lead to the patient feeling powerless, despite efforts to manage the dysarthria symptom. Studies have also claimed that overexertion of oral mechanisms through therapies can be detrimental in the long term (</w:t>
      </w:r>
      <w:proofErr w:type="spellStart"/>
      <w:r w:rsidRPr="00AB6015">
        <w:rPr>
          <w:rFonts w:ascii="Sylfaen" w:eastAsia="Calibri" w:hAnsi="Sylfaen" w:cs="Times New Roman"/>
        </w:rPr>
        <w:t>Beukelman</w:t>
      </w:r>
      <w:proofErr w:type="spellEnd"/>
      <w:r w:rsidRPr="00AB6015">
        <w:rPr>
          <w:rFonts w:ascii="Sylfaen" w:eastAsia="Calibri" w:hAnsi="Sylfaen" w:cs="Times New Roman"/>
        </w:rPr>
        <w:t xml:space="preserve"> et al. 2011). Neither the RCSLT nor the NICE guidelines provide any information for SLTs regarding managing dysarthria in the context of patients with MND. In comparison with other degenerative diseases such as Parkinson’s disease, the evidence for dysarthria in MND is lacking. This is particularly worrying as the patient literature also suggests that patients with MND wish to retain their own speech for as long as possible (Murphy, 2004). Therefore, more research needs to find dysarthria management strategies in MND otherwise patients’ own perception of their quality of life may be harmed. </w:t>
      </w:r>
    </w:p>
    <w:p w14:paraId="3D084F09" w14:textId="77777777" w:rsidR="00AB6015" w:rsidRPr="00AB6015" w:rsidRDefault="00AB6015" w:rsidP="002F1485">
      <w:pPr>
        <w:spacing w:after="16" w:line="360" w:lineRule="auto"/>
        <w:contextualSpacing/>
        <w:jc w:val="both"/>
        <w:rPr>
          <w:rFonts w:ascii="Sylfaen" w:eastAsia="Calibri" w:hAnsi="Sylfaen" w:cs="Times New Roman"/>
          <w:b/>
        </w:rPr>
      </w:pPr>
    </w:p>
    <w:p w14:paraId="0959D536" w14:textId="3F628044" w:rsidR="00AB6015" w:rsidRPr="00AB6015" w:rsidRDefault="00AB6015" w:rsidP="002F1485">
      <w:pPr>
        <w:pStyle w:val="Heading1"/>
        <w:spacing w:after="16"/>
        <w:contextualSpacing/>
        <w:rPr>
          <w:rFonts w:eastAsia="Calibri"/>
        </w:rPr>
      </w:pPr>
      <w:r w:rsidRPr="00AB6015">
        <w:rPr>
          <w:rFonts w:eastAsia="Calibri"/>
        </w:rPr>
        <w:t>Swallowing Intervention</w:t>
      </w:r>
    </w:p>
    <w:p w14:paraId="565523B4" w14:textId="77777777" w:rsidR="00AB6015" w:rsidRPr="00AB6015" w:rsidRDefault="00AB6015" w:rsidP="002F1485">
      <w:pPr>
        <w:spacing w:after="16" w:line="360" w:lineRule="auto"/>
        <w:contextualSpacing/>
        <w:jc w:val="both"/>
        <w:rPr>
          <w:rFonts w:ascii="Sylfaen" w:eastAsia="Calibri" w:hAnsi="Sylfaen" w:cs="Times New Roman"/>
        </w:rPr>
      </w:pPr>
      <w:r w:rsidRPr="00AB6015">
        <w:rPr>
          <w:rFonts w:ascii="Sylfaen" w:eastAsia="Calibri" w:hAnsi="Sylfaen" w:cs="Times New Roman"/>
        </w:rPr>
        <w:t xml:space="preserve">As the disease progresses the risk of aspiration in a patient increases, therefore the SLT, as well as other health professionals, have a duty of care to ensure that the risk of swallowing difficulties </w:t>
      </w:r>
      <w:proofErr w:type="gramStart"/>
      <w:r w:rsidRPr="00AB6015">
        <w:rPr>
          <w:rFonts w:ascii="Sylfaen" w:eastAsia="Calibri" w:hAnsi="Sylfaen" w:cs="Times New Roman"/>
        </w:rPr>
        <w:t>is managed</w:t>
      </w:r>
      <w:proofErr w:type="gramEnd"/>
      <w:r w:rsidRPr="00AB6015">
        <w:rPr>
          <w:rFonts w:ascii="Sylfaen" w:eastAsia="Calibri" w:hAnsi="Sylfaen" w:cs="Times New Roman"/>
        </w:rPr>
        <w:t xml:space="preserve">. One method of managing swallowing is texture modifications of food. Texture </w:t>
      </w:r>
      <w:r w:rsidRPr="00AB6015">
        <w:rPr>
          <w:rFonts w:ascii="Sylfaen" w:eastAsia="Calibri" w:hAnsi="Sylfaen" w:cs="Times New Roman"/>
        </w:rPr>
        <w:lastRenderedPageBreak/>
        <w:t xml:space="preserve">modifications involve blending food so that it becomes a thicker consistency to allow for a patient to swallow it more easily; this has been shown to slightly improve swallowing safety in patients with risk of dysphagia (Steele et al. 2015). Texture modifications allow the patient to continue orally feeding and arguably retain some normality in their quality of life (Leigh et al, 2003). However texture modification intervention will need the input of the dietician as weight loss and malnutrition may become a risk for those with MND (ibid, 2003). </w:t>
      </w:r>
    </w:p>
    <w:p w14:paraId="1B478BDF" w14:textId="77777777" w:rsidR="00AB6015" w:rsidRPr="00AB6015" w:rsidRDefault="00AB6015" w:rsidP="002F1485">
      <w:pPr>
        <w:spacing w:after="16" w:line="360" w:lineRule="auto"/>
        <w:contextualSpacing/>
        <w:jc w:val="both"/>
        <w:rPr>
          <w:rFonts w:ascii="Sylfaen" w:eastAsia="Calibri" w:hAnsi="Sylfaen" w:cs="Times New Roman"/>
        </w:rPr>
      </w:pPr>
    </w:p>
    <w:p w14:paraId="22CDAC40" w14:textId="77777777" w:rsidR="00AB6015" w:rsidRPr="00AB6015" w:rsidRDefault="00AB6015" w:rsidP="002F1485">
      <w:pPr>
        <w:spacing w:after="16" w:line="360" w:lineRule="auto"/>
        <w:contextualSpacing/>
        <w:jc w:val="both"/>
        <w:rPr>
          <w:rFonts w:ascii="Sylfaen" w:eastAsia="Calibri" w:hAnsi="Sylfaen" w:cs="Times New Roman"/>
        </w:rPr>
      </w:pPr>
      <w:r w:rsidRPr="00AB6015">
        <w:rPr>
          <w:rFonts w:ascii="Sylfaen" w:eastAsia="Calibri" w:hAnsi="Sylfaen" w:cs="Times New Roman"/>
        </w:rPr>
        <w:t xml:space="preserve">Initially the SLT may opt to teach the patient safer swallowing techniques such as the chin tuck or the </w:t>
      </w:r>
      <w:proofErr w:type="spellStart"/>
      <w:r w:rsidRPr="00AB6015">
        <w:rPr>
          <w:rFonts w:ascii="Sylfaen" w:eastAsia="Calibri" w:hAnsi="Sylfaen" w:cs="Times New Roman"/>
        </w:rPr>
        <w:t>supraglottic</w:t>
      </w:r>
      <w:proofErr w:type="spellEnd"/>
      <w:r w:rsidRPr="00AB6015">
        <w:rPr>
          <w:rFonts w:ascii="Sylfaen" w:eastAsia="Calibri" w:hAnsi="Sylfaen" w:cs="Times New Roman"/>
        </w:rPr>
        <w:t xml:space="preserve"> swallow (</w:t>
      </w:r>
      <w:proofErr w:type="spellStart"/>
      <w:r w:rsidRPr="00AB6015">
        <w:rPr>
          <w:rFonts w:ascii="Sylfaen" w:eastAsia="Calibri" w:hAnsi="Sylfaen" w:cs="Times New Roman"/>
        </w:rPr>
        <w:t>Desport</w:t>
      </w:r>
      <w:proofErr w:type="spellEnd"/>
      <w:r w:rsidRPr="00AB6015">
        <w:rPr>
          <w:rFonts w:ascii="Sylfaen" w:eastAsia="Calibri" w:hAnsi="Sylfaen" w:cs="Times New Roman"/>
        </w:rPr>
        <w:t xml:space="preserve"> et al. 1999; Heffernan et al. 2004) to reduce the risk of aspiration during the swallow. This method allows the patient to feel that they are managing their own condition (NHS England, 2015). The difficulty may be that further in the disease process the ability for the patient to voluntarily carry out these techniques will be limited. Therefore, the SLT may adopt this technique in the early stages of the disease but they may not be appropriate in the later stages so the SLT should carefully monitor the swallowing of the patient.</w:t>
      </w:r>
    </w:p>
    <w:p w14:paraId="4755DC9B" w14:textId="77777777" w:rsidR="00AB6015" w:rsidRPr="00AB6015" w:rsidRDefault="00AB6015" w:rsidP="002F1485">
      <w:pPr>
        <w:spacing w:after="16" w:line="360" w:lineRule="auto"/>
        <w:contextualSpacing/>
        <w:jc w:val="both"/>
        <w:rPr>
          <w:rFonts w:ascii="Sylfaen" w:eastAsia="Calibri" w:hAnsi="Sylfaen" w:cs="Times New Roman"/>
        </w:rPr>
      </w:pPr>
    </w:p>
    <w:p w14:paraId="5AFBAEFC" w14:textId="3DD1E758" w:rsidR="00AB6015" w:rsidRPr="00DC2529" w:rsidRDefault="00AB6015" w:rsidP="002F1485">
      <w:pPr>
        <w:spacing w:after="16" w:line="360" w:lineRule="auto"/>
        <w:contextualSpacing/>
        <w:jc w:val="both"/>
        <w:rPr>
          <w:rFonts w:ascii="Sylfaen" w:eastAsia="Calibri" w:hAnsi="Sylfaen" w:cs="Times New Roman"/>
        </w:rPr>
      </w:pPr>
      <w:r w:rsidRPr="00AB6015">
        <w:rPr>
          <w:rFonts w:ascii="Sylfaen" w:eastAsia="Calibri" w:hAnsi="Sylfaen" w:cs="Times New Roman"/>
        </w:rPr>
        <w:t>Other professionals are also able to contribute to the management of a patient’s swallow mechanism in MND. OTs and PTs are able to suggest optimal positioning and modified cutlery to enable a more comfortable and safer entry for food/fluid into the mouth (Wood-</w:t>
      </w:r>
      <w:proofErr w:type="spellStart"/>
      <w:r w:rsidRPr="00AB6015">
        <w:rPr>
          <w:rFonts w:ascii="Sylfaen" w:eastAsia="Calibri" w:hAnsi="Sylfaen" w:cs="Times New Roman"/>
        </w:rPr>
        <w:t>Allun</w:t>
      </w:r>
      <w:proofErr w:type="spellEnd"/>
      <w:r w:rsidRPr="00AB6015">
        <w:rPr>
          <w:rFonts w:ascii="Sylfaen" w:eastAsia="Calibri" w:hAnsi="Sylfaen" w:cs="Times New Roman"/>
        </w:rPr>
        <w:t xml:space="preserve"> &amp; Shaw, 2010) and therefore collaboration would allow the symptoms of the muscular degeneration to be less impactful on eating and drinking. In the later stages of the disease, patients with MND can begin to have difficulties with saliva control, which in turn can lead to aspiration. In such cases the SLT may need to begin to consult with nurses to carry out suctioning or specialist nurses to administer drugs to manage the saliva production and its thickness. Finally, when the disease process reaches a severity whereby the patient becomes unable to physically swallow, then the SLT will need to raise the possibility of inserting a PEG</w:t>
      </w:r>
      <w:r w:rsidRPr="00AB6015">
        <w:rPr>
          <w:rFonts w:ascii="Sylfaen" w:eastAsia="Calibri" w:hAnsi="Sylfaen" w:cs="Times New Roman"/>
          <w:vertAlign w:val="superscript"/>
        </w:rPr>
        <w:footnoteReference w:id="3"/>
      </w:r>
      <w:r w:rsidRPr="00AB6015">
        <w:rPr>
          <w:rFonts w:ascii="Sylfaen" w:eastAsia="Calibri" w:hAnsi="Sylfaen" w:cs="Times New Roman"/>
        </w:rPr>
        <w:t xml:space="preserve"> tube in the patient. Such a decision would first and foremost require the consent of the patient and their families. Moreover, a meeting would need to be held to discuss the implication of the PEG for other healthcare professionals; for example the SLT would need to balance the risk of aspiration via oral feeding as opposed to enteral as there is still debate as </w:t>
      </w:r>
      <w:r w:rsidRPr="00AB6015">
        <w:rPr>
          <w:rFonts w:ascii="Sylfaen" w:eastAsia="Calibri" w:hAnsi="Sylfaen" w:cs="Times New Roman"/>
        </w:rPr>
        <w:lastRenderedPageBreak/>
        <w:t>to whether PEG feeding prevents aspiration (Heffernan et al. 2004; Blumenstein et al. 2014). Nevertheless, a referral to a gastroenterologist to assess the viability of a PEG insertion would be required. Considerations at this stage of the disease must balance the desires and quality of life of the patient and family, alongside the clinical risk of aspiration.</w:t>
      </w:r>
    </w:p>
    <w:p w14:paraId="0474E872" w14:textId="77777777" w:rsidR="00AB6015" w:rsidRPr="00AB6015" w:rsidRDefault="00AB6015" w:rsidP="002F1485">
      <w:pPr>
        <w:spacing w:after="16" w:line="360" w:lineRule="auto"/>
        <w:contextualSpacing/>
        <w:jc w:val="both"/>
        <w:rPr>
          <w:rFonts w:ascii="Sylfaen" w:eastAsia="Calibri" w:hAnsi="Sylfaen" w:cs="Times New Roman"/>
          <w:u w:val="single"/>
        </w:rPr>
      </w:pPr>
    </w:p>
    <w:p w14:paraId="46C5D7E1" w14:textId="5826A6F2" w:rsidR="00AB6015" w:rsidRPr="00AB6015" w:rsidRDefault="00AB6015" w:rsidP="002F1485">
      <w:pPr>
        <w:pStyle w:val="Heading1"/>
        <w:spacing w:after="16"/>
        <w:contextualSpacing/>
        <w:rPr>
          <w:rFonts w:eastAsia="Calibri"/>
        </w:rPr>
      </w:pPr>
      <w:r w:rsidRPr="00AB6015">
        <w:rPr>
          <w:rFonts w:eastAsia="Calibri"/>
        </w:rPr>
        <w:t>Communication Intervention</w:t>
      </w:r>
    </w:p>
    <w:p w14:paraId="2EF7BD83" w14:textId="77777777" w:rsidR="00AB6015" w:rsidRPr="00AB6015" w:rsidRDefault="00AB6015" w:rsidP="002F1485">
      <w:pPr>
        <w:spacing w:after="16" w:line="360" w:lineRule="auto"/>
        <w:contextualSpacing/>
        <w:jc w:val="both"/>
        <w:rPr>
          <w:rFonts w:ascii="Sylfaen" w:eastAsia="Calibri" w:hAnsi="Sylfaen" w:cs="Times New Roman"/>
        </w:rPr>
      </w:pPr>
      <w:r w:rsidRPr="00AB6015">
        <w:rPr>
          <w:rFonts w:ascii="Sylfaen" w:eastAsia="Calibri" w:hAnsi="Sylfaen" w:cs="Times New Roman"/>
        </w:rPr>
        <w:t xml:space="preserve">When the patient reaches a stage in which the SLT decides it is no longer viable for them to use their own speech to communicate, then the SLT must consider alternative methods in which the patient is able to communicate. The SLT may incorporate Alternative Augmentative Communication devices (hereinafter AAC), but prior to their implementation the SLT should consult both the patient and their family to establish the desires and motivations behind the use of an AAC device and implement it based on the will of these parties (MNDA, 2016; Scott &amp; McPhee, 2014). A series of assessments will be carried out to examine the eligibility of the patient and whether the stage of their disease allows them to physically access either low-tech or hi-tech devices. Low-tech AAC devices </w:t>
      </w:r>
      <w:proofErr w:type="gramStart"/>
      <w:r w:rsidRPr="00AB6015">
        <w:rPr>
          <w:rFonts w:ascii="Sylfaen" w:eastAsia="Calibri" w:hAnsi="Sylfaen" w:cs="Times New Roman"/>
        </w:rPr>
        <w:t>include:</w:t>
      </w:r>
      <w:proofErr w:type="gramEnd"/>
      <w:r w:rsidRPr="00AB6015">
        <w:rPr>
          <w:rFonts w:ascii="Sylfaen" w:eastAsia="Calibri" w:hAnsi="Sylfaen" w:cs="Times New Roman"/>
        </w:rPr>
        <w:t xml:space="preserve"> voice amplifiers, pen and paper, alphabet boards which need little training and can be easily adapted for the specific needs of the individual. In MND the control of the eyes is usually spared from the disease (Duffy, 2013) therefore a patient can use hi-tech AAC eye-gaze systems to communicate with others if they are unable to use their limbs for low-tech devices. However, the downfall of using such a device is that the effective use of them requires prolonged training as well as the installation and continued management of the electronic device.</w:t>
      </w:r>
    </w:p>
    <w:p w14:paraId="712E1E35" w14:textId="77777777" w:rsidR="00AB6015" w:rsidRPr="00AB6015" w:rsidRDefault="00AB6015" w:rsidP="002F1485">
      <w:pPr>
        <w:spacing w:after="16" w:line="360" w:lineRule="auto"/>
        <w:contextualSpacing/>
        <w:jc w:val="both"/>
        <w:rPr>
          <w:rFonts w:ascii="Sylfaen" w:eastAsia="Calibri" w:hAnsi="Sylfaen" w:cs="Times New Roman"/>
        </w:rPr>
      </w:pPr>
      <w:r w:rsidRPr="00AB6015">
        <w:rPr>
          <w:rFonts w:ascii="Sylfaen" w:eastAsia="Calibri" w:hAnsi="Sylfaen" w:cs="Times New Roman"/>
        </w:rPr>
        <w:t xml:space="preserve"> </w:t>
      </w:r>
    </w:p>
    <w:p w14:paraId="1149CC5F" w14:textId="77777777" w:rsidR="00AB6015" w:rsidRPr="00AB6015" w:rsidRDefault="00AB6015" w:rsidP="002F1485">
      <w:pPr>
        <w:spacing w:after="16" w:line="360" w:lineRule="auto"/>
        <w:contextualSpacing/>
        <w:jc w:val="both"/>
        <w:rPr>
          <w:rFonts w:ascii="Sylfaen" w:eastAsia="Calibri" w:hAnsi="Sylfaen" w:cs="Times New Roman"/>
        </w:rPr>
      </w:pPr>
      <w:r w:rsidRPr="00AB6015">
        <w:rPr>
          <w:rFonts w:ascii="Sylfaen" w:eastAsia="Calibri" w:hAnsi="Sylfaen" w:cs="Times New Roman"/>
        </w:rPr>
        <w:t xml:space="preserve">If the patient is deemed to have sufficient need to use hi-tech AAC, then the equipment is loaned from a specialist AAC hub complying with the NICE (2016) guidelines that state that patients should be given a suitable device </w:t>
      </w:r>
      <w:proofErr w:type="gramStart"/>
      <w:r w:rsidRPr="00AB6015">
        <w:rPr>
          <w:rFonts w:ascii="Sylfaen" w:eastAsia="Calibri" w:hAnsi="Sylfaen" w:cs="Times New Roman"/>
        </w:rPr>
        <w:t>without delay</w:t>
      </w:r>
      <w:proofErr w:type="gramEnd"/>
      <w:r w:rsidRPr="00AB6015">
        <w:rPr>
          <w:rFonts w:ascii="Sylfaen" w:eastAsia="Calibri" w:hAnsi="Sylfaen" w:cs="Times New Roman"/>
        </w:rPr>
        <w:t xml:space="preserve">. Once the AAC device </w:t>
      </w:r>
      <w:proofErr w:type="gramStart"/>
      <w:r w:rsidRPr="00AB6015">
        <w:rPr>
          <w:rFonts w:ascii="Sylfaen" w:eastAsia="Calibri" w:hAnsi="Sylfaen" w:cs="Times New Roman"/>
        </w:rPr>
        <w:t>is able to</w:t>
      </w:r>
      <w:proofErr w:type="gramEnd"/>
      <w:r w:rsidRPr="00AB6015">
        <w:rPr>
          <w:rFonts w:ascii="Sylfaen" w:eastAsia="Calibri" w:hAnsi="Sylfaen" w:cs="Times New Roman"/>
        </w:rPr>
        <w:t xml:space="preserve"> be used at a functional level by the patient, the SLT should specifically train family members, since they will be the prime facilitators of the patient and their communication (Ball et al. 2005). The SLT’s role in training the family members is vital as studies have found that successful implementation and use of AAC comes down to the training that the SLT provides to the patient, their family and other professionals (Ball et al. 2010; Murphy, 2004). </w:t>
      </w:r>
    </w:p>
    <w:p w14:paraId="57320864" w14:textId="77777777" w:rsidR="00AB6015" w:rsidRPr="00AB6015" w:rsidRDefault="00AB6015" w:rsidP="002F1485">
      <w:pPr>
        <w:spacing w:after="16" w:line="360" w:lineRule="auto"/>
        <w:contextualSpacing/>
        <w:jc w:val="both"/>
        <w:rPr>
          <w:rFonts w:ascii="Sylfaen" w:eastAsia="Calibri" w:hAnsi="Sylfaen" w:cs="Times New Roman"/>
        </w:rPr>
      </w:pPr>
    </w:p>
    <w:p w14:paraId="3578C0CA" w14:textId="77777777" w:rsidR="00AB6015" w:rsidRPr="00AB6015" w:rsidRDefault="00AB6015" w:rsidP="002F1485">
      <w:pPr>
        <w:spacing w:after="16" w:line="360" w:lineRule="auto"/>
        <w:contextualSpacing/>
        <w:jc w:val="both"/>
        <w:rPr>
          <w:rFonts w:ascii="Sylfaen" w:eastAsia="Calibri" w:hAnsi="Sylfaen" w:cs="Times New Roman"/>
        </w:rPr>
      </w:pPr>
      <w:r w:rsidRPr="00AB6015">
        <w:rPr>
          <w:rFonts w:ascii="Sylfaen" w:eastAsia="Calibri" w:hAnsi="Sylfaen" w:cs="Times New Roman"/>
        </w:rPr>
        <w:t>The SLT must ensure that the interprofessional team is aware of the AAC system and how it is used so that they can effectively communicate and carry out their interventions with the consent of the patient. Furthermore, the SLT may consult with PTs and OTs to ensure that the AAC equipment is in a position that is accessible and comfortable for the user (Scott &amp; McPhee, 2014). The patient literature overwhelmingly suggests that the successful implementation of AAC has positive impacts to patients with MND; studies report feelings of purpose, happiness and mental and emotional wellbeing (</w:t>
      </w:r>
      <w:proofErr w:type="spellStart"/>
      <w:r w:rsidRPr="00AB6015">
        <w:rPr>
          <w:rFonts w:ascii="Sylfaen" w:eastAsia="Calibri" w:hAnsi="Sylfaen" w:cs="Times New Roman"/>
        </w:rPr>
        <w:t>Beukelman</w:t>
      </w:r>
      <w:proofErr w:type="spellEnd"/>
      <w:r w:rsidRPr="00AB6015">
        <w:rPr>
          <w:rFonts w:ascii="Sylfaen" w:eastAsia="Calibri" w:hAnsi="Sylfaen" w:cs="Times New Roman"/>
        </w:rPr>
        <w:t xml:space="preserve"> et al. 2011; Murphy, 2004; MNDA, 2016). Although, Murphy (2004) also found that some patients felt that AAC correlated to admitting defeat and wished to use their own voice for as long as possible. Clearly, the wishes of the patient are crucial as their own perceived quality of life could be changed if an AAC device is applied without the patient’s full acknowledgement and consent; these actions are supported by the NHS constitution (2015). Ultimately it is the right of the patient to decide the care pathway they use from the options they have available to them, and as healthcare professionals we must respect the patient’s dignities and choices. </w:t>
      </w:r>
    </w:p>
    <w:p w14:paraId="42BD15CF" w14:textId="77777777" w:rsidR="00AB6015" w:rsidRPr="00AB6015" w:rsidRDefault="00AB6015" w:rsidP="002F1485">
      <w:pPr>
        <w:spacing w:after="16" w:line="360" w:lineRule="auto"/>
        <w:contextualSpacing/>
        <w:jc w:val="both"/>
        <w:rPr>
          <w:rFonts w:ascii="Sylfaen" w:eastAsia="Calibri" w:hAnsi="Sylfaen" w:cs="Times New Roman"/>
          <w:b/>
        </w:rPr>
      </w:pPr>
    </w:p>
    <w:p w14:paraId="27484EB8" w14:textId="6265F80E" w:rsidR="00AB6015" w:rsidRPr="00AB6015" w:rsidRDefault="00AB6015" w:rsidP="002F1485">
      <w:pPr>
        <w:pStyle w:val="Heading1"/>
        <w:spacing w:after="16"/>
        <w:contextualSpacing/>
        <w:rPr>
          <w:rFonts w:eastAsia="Calibri"/>
        </w:rPr>
      </w:pPr>
      <w:r w:rsidRPr="00AB6015">
        <w:rPr>
          <w:rFonts w:eastAsia="Calibri"/>
        </w:rPr>
        <w:t>End of Life</w:t>
      </w:r>
    </w:p>
    <w:p w14:paraId="1C00BCB1" w14:textId="77777777" w:rsidR="00AB6015" w:rsidRPr="00AB6015" w:rsidRDefault="00AB6015" w:rsidP="002F1485">
      <w:pPr>
        <w:spacing w:after="16" w:line="360" w:lineRule="auto"/>
        <w:contextualSpacing/>
        <w:jc w:val="both"/>
        <w:rPr>
          <w:rFonts w:ascii="Sylfaen" w:eastAsia="Calibri" w:hAnsi="Sylfaen" w:cs="Times New Roman"/>
        </w:rPr>
      </w:pPr>
      <w:r w:rsidRPr="00AB6015">
        <w:rPr>
          <w:rFonts w:ascii="Sylfaen" w:eastAsia="Calibri" w:hAnsi="Sylfaen" w:cs="Times New Roman"/>
        </w:rPr>
        <w:t>As MND is terminal, the outcome of the disease will be death; ergo the care aim of these professionals is palliative (</w:t>
      </w:r>
      <w:proofErr w:type="spellStart"/>
      <w:r w:rsidRPr="00AB6015">
        <w:rPr>
          <w:rFonts w:ascii="Sylfaen" w:eastAsia="Calibri" w:hAnsi="Sylfaen" w:cs="Times New Roman"/>
        </w:rPr>
        <w:t>Maclomness</w:t>
      </w:r>
      <w:proofErr w:type="spellEnd"/>
      <w:r w:rsidRPr="00AB6015">
        <w:rPr>
          <w:rFonts w:ascii="Sylfaen" w:eastAsia="Calibri" w:hAnsi="Sylfaen" w:cs="Times New Roman"/>
        </w:rPr>
        <w:t xml:space="preserve">, 2005). At this stage the SLT should regularly review the communication of the patient (NICE, 2016) to ensure that it is functional. Functionality of communication is vital at this stage as discussions with health professionals regarding end of life preparations (advanced care planning or lasting power of attorney) will likely take place (ibid, 2016). The SLT may be required to help facilitate the communication of the patient to enable the messages of the patient to be unambiguous. These should be documented in a health plan for all professionals to be aware of so that they can act in accordance with the patient’s requests. If the patient wishes to die in a new location then accommodations </w:t>
      </w:r>
      <w:proofErr w:type="gramStart"/>
      <w:r w:rsidRPr="00AB6015">
        <w:rPr>
          <w:rFonts w:ascii="Sylfaen" w:eastAsia="Calibri" w:hAnsi="Sylfaen" w:cs="Times New Roman"/>
        </w:rPr>
        <w:t>must be made</w:t>
      </w:r>
      <w:proofErr w:type="gramEnd"/>
      <w:r w:rsidRPr="00AB6015">
        <w:rPr>
          <w:rFonts w:ascii="Sylfaen" w:eastAsia="Calibri" w:hAnsi="Sylfaen" w:cs="Times New Roman"/>
        </w:rPr>
        <w:t xml:space="preserve"> to ensure this is carried out; the SLT may have to retrain those around the patient in their preferred method of communication. The interprofessional team may refer the patient to specialist palliative services, if there are additional concerns regarding family members surrounding the patient, then referrals may be made to mental health teams and social services to aid in the affairs of the patient once they </w:t>
      </w:r>
      <w:r w:rsidRPr="00AB6015">
        <w:rPr>
          <w:rFonts w:ascii="Sylfaen" w:eastAsia="Calibri" w:hAnsi="Sylfaen" w:cs="Times New Roman"/>
        </w:rPr>
        <w:lastRenderedPageBreak/>
        <w:t xml:space="preserve">have died (NHS England, 2015; MNDA, 2013). Clearly, at the final stages of the patient’s life, the ability to communicate with loved ones is of the upmost importance and all staff involved with the patient must be receptive to the wishes of the individual. </w:t>
      </w:r>
    </w:p>
    <w:p w14:paraId="1CADB0CD" w14:textId="77777777" w:rsidR="00AB6015" w:rsidRPr="00AB6015" w:rsidRDefault="00AB6015" w:rsidP="002F1485">
      <w:pPr>
        <w:spacing w:after="16" w:line="360" w:lineRule="auto"/>
        <w:contextualSpacing/>
        <w:jc w:val="both"/>
        <w:rPr>
          <w:rFonts w:ascii="Sylfaen" w:eastAsia="Calibri" w:hAnsi="Sylfaen" w:cs="Times New Roman"/>
          <w:b/>
        </w:rPr>
      </w:pPr>
    </w:p>
    <w:p w14:paraId="7B05CC7F" w14:textId="4F8941BD" w:rsidR="00AB6015" w:rsidRPr="00AB6015" w:rsidRDefault="00AB6015" w:rsidP="002F1485">
      <w:pPr>
        <w:pStyle w:val="Heading1"/>
        <w:spacing w:after="16"/>
        <w:contextualSpacing/>
        <w:rPr>
          <w:rFonts w:eastAsia="Calibri"/>
          <w:szCs w:val="22"/>
        </w:rPr>
      </w:pPr>
      <w:r w:rsidRPr="00AB6015">
        <w:rPr>
          <w:rFonts w:eastAsia="Calibri"/>
          <w:szCs w:val="22"/>
        </w:rPr>
        <w:t>Conclusion</w:t>
      </w:r>
    </w:p>
    <w:p w14:paraId="28832EFB" w14:textId="77777777" w:rsidR="00AB6015" w:rsidRPr="00AB6015" w:rsidRDefault="00AB6015" w:rsidP="002F1485">
      <w:pPr>
        <w:spacing w:after="16" w:line="360" w:lineRule="auto"/>
        <w:contextualSpacing/>
        <w:jc w:val="both"/>
        <w:rPr>
          <w:rFonts w:ascii="Sylfaen" w:eastAsia="Calibri" w:hAnsi="Sylfaen" w:cs="Times New Roman"/>
        </w:rPr>
      </w:pPr>
      <w:r w:rsidRPr="00AB6015">
        <w:rPr>
          <w:rFonts w:ascii="Sylfaen" w:eastAsia="Calibri" w:hAnsi="Sylfaen" w:cs="Times New Roman"/>
        </w:rPr>
        <w:t xml:space="preserve">The role of the SLT in MND is twofold, firstly the assessment and management of the swallow has implications on the medical health of the patient, the second is to assess and provide a suitable method of communication in which the patient can express themselves. This piece aimed to document the unique responsibilities of SLT within this population and has subsequently highlighted multiple areas in which further research is needed to improve our practices in terms of both swallowing and the recognition and facilitation of communication. </w:t>
      </w:r>
    </w:p>
    <w:p w14:paraId="719AEC86" w14:textId="77777777" w:rsidR="00AB6015" w:rsidRPr="00AB6015" w:rsidRDefault="00AB6015" w:rsidP="00AB6015">
      <w:pPr>
        <w:spacing w:after="0"/>
        <w:rPr>
          <w:rFonts w:ascii="Sylfaen" w:eastAsia="Calibri" w:hAnsi="Sylfaen" w:cs="Times New Roman"/>
          <w:sz w:val="24"/>
          <w:szCs w:val="24"/>
        </w:rPr>
      </w:pPr>
    </w:p>
    <w:p w14:paraId="05E7C167" w14:textId="3516ED2E" w:rsidR="00AB6015" w:rsidRPr="00AB6015" w:rsidRDefault="00AB6015" w:rsidP="00AB6015">
      <w:pPr>
        <w:pStyle w:val="Heading1"/>
        <w:rPr>
          <w:rFonts w:eastAsia="Calibri"/>
        </w:rPr>
      </w:pPr>
      <w:r>
        <w:rPr>
          <w:rFonts w:eastAsia="Calibri"/>
        </w:rPr>
        <w:t>References</w:t>
      </w:r>
    </w:p>
    <w:p w14:paraId="26F35181" w14:textId="5F14B04C" w:rsidR="00AB6015" w:rsidRPr="00AB6015" w:rsidRDefault="00AB6015" w:rsidP="002F1485">
      <w:pPr>
        <w:spacing w:after="160" w:line="360" w:lineRule="auto"/>
        <w:rPr>
          <w:rFonts w:ascii="Sylfaen" w:eastAsia="Calibri" w:hAnsi="Sylfaen" w:cs="Times New Roman"/>
          <w:shd w:val="clear" w:color="auto" w:fill="FFFFFF"/>
        </w:rPr>
      </w:pPr>
      <w:r w:rsidRPr="00AB6015">
        <w:rPr>
          <w:rFonts w:ascii="Sylfaen" w:eastAsia="Calibri" w:hAnsi="Sylfaen" w:cs="Times New Roman"/>
          <w:shd w:val="clear" w:color="auto" w:fill="FFFFFF"/>
        </w:rPr>
        <w:t xml:space="preserve">Ball, L. J., </w:t>
      </w:r>
      <w:proofErr w:type="spellStart"/>
      <w:r w:rsidRPr="00AB6015">
        <w:rPr>
          <w:rFonts w:ascii="Sylfaen" w:eastAsia="Calibri" w:hAnsi="Sylfaen" w:cs="Times New Roman"/>
          <w:shd w:val="clear" w:color="auto" w:fill="FFFFFF"/>
        </w:rPr>
        <w:t>Beukelman</w:t>
      </w:r>
      <w:proofErr w:type="spellEnd"/>
      <w:r w:rsidRPr="00AB6015">
        <w:rPr>
          <w:rFonts w:ascii="Sylfaen" w:eastAsia="Calibri" w:hAnsi="Sylfaen" w:cs="Times New Roman"/>
          <w:shd w:val="clear" w:color="auto" w:fill="FFFFFF"/>
        </w:rPr>
        <w:t xml:space="preserve">, D. R., Ullman, C., </w:t>
      </w:r>
      <w:proofErr w:type="spellStart"/>
      <w:r w:rsidRPr="00AB6015">
        <w:rPr>
          <w:rFonts w:ascii="Sylfaen" w:eastAsia="Calibri" w:hAnsi="Sylfaen" w:cs="Times New Roman"/>
          <w:shd w:val="clear" w:color="auto" w:fill="FFFFFF"/>
        </w:rPr>
        <w:t>Maas</w:t>
      </w:r>
      <w:r w:rsidR="002F1485">
        <w:rPr>
          <w:rFonts w:ascii="Sylfaen" w:eastAsia="Calibri" w:hAnsi="Sylfaen" w:cs="Times New Roman"/>
          <w:shd w:val="clear" w:color="auto" w:fill="FFFFFF"/>
        </w:rPr>
        <w:t>sen</w:t>
      </w:r>
      <w:proofErr w:type="spellEnd"/>
      <w:r w:rsidR="002F1485">
        <w:rPr>
          <w:rFonts w:ascii="Sylfaen" w:eastAsia="Calibri" w:hAnsi="Sylfaen" w:cs="Times New Roman"/>
          <w:shd w:val="clear" w:color="auto" w:fill="FFFFFF"/>
        </w:rPr>
        <w:t xml:space="preserve">, K., &amp; </w:t>
      </w:r>
      <w:proofErr w:type="spellStart"/>
      <w:r w:rsidR="002F1485">
        <w:rPr>
          <w:rFonts w:ascii="Sylfaen" w:eastAsia="Calibri" w:hAnsi="Sylfaen" w:cs="Times New Roman"/>
          <w:shd w:val="clear" w:color="auto" w:fill="FFFFFF"/>
        </w:rPr>
        <w:t>Pattee</w:t>
      </w:r>
      <w:proofErr w:type="spellEnd"/>
      <w:r w:rsidR="002F1485">
        <w:rPr>
          <w:rFonts w:ascii="Sylfaen" w:eastAsia="Calibri" w:hAnsi="Sylfaen" w:cs="Times New Roman"/>
          <w:shd w:val="clear" w:color="auto" w:fill="FFFFFF"/>
        </w:rPr>
        <w:t>, G. L. (2005)</w:t>
      </w:r>
      <w:r w:rsidRPr="00AB6015">
        <w:rPr>
          <w:rFonts w:ascii="Sylfaen" w:eastAsia="Calibri" w:hAnsi="Sylfaen" w:cs="Times New Roman"/>
          <w:shd w:val="clear" w:color="auto" w:fill="FFFFFF"/>
        </w:rPr>
        <w:t xml:space="preserve"> </w:t>
      </w:r>
      <w:r w:rsidR="002F1485">
        <w:rPr>
          <w:rFonts w:ascii="Sylfaen" w:eastAsia="Calibri" w:hAnsi="Sylfaen" w:cs="Times New Roman"/>
          <w:shd w:val="clear" w:color="auto" w:fill="FFFFFF"/>
        </w:rPr>
        <w:t>‘</w:t>
      </w:r>
      <w:r w:rsidRPr="00AB6015">
        <w:rPr>
          <w:rFonts w:ascii="Sylfaen" w:eastAsia="Calibri" w:hAnsi="Sylfaen" w:cs="Times New Roman"/>
          <w:shd w:val="clear" w:color="auto" w:fill="FFFFFF"/>
        </w:rPr>
        <w:t>Monitoring speaking rate by telephone for persons wit</w:t>
      </w:r>
      <w:r w:rsidR="002F1485">
        <w:rPr>
          <w:rFonts w:ascii="Sylfaen" w:eastAsia="Calibri" w:hAnsi="Sylfaen" w:cs="Times New Roman"/>
          <w:shd w:val="clear" w:color="auto" w:fill="FFFFFF"/>
        </w:rPr>
        <w:t>h amyotrophic lateral sclerosis’,</w:t>
      </w:r>
      <w:r w:rsidRPr="00AB6015">
        <w:rPr>
          <w:rFonts w:ascii="Sylfaen" w:eastAsia="Calibri" w:hAnsi="Sylfaen" w:cs="Times New Roman"/>
          <w:shd w:val="clear" w:color="auto" w:fill="FFFFFF"/>
        </w:rPr>
        <w:t> </w:t>
      </w:r>
      <w:r w:rsidRPr="00AB6015">
        <w:rPr>
          <w:rFonts w:ascii="Sylfaen" w:eastAsia="Calibri" w:hAnsi="Sylfaen" w:cs="Times New Roman"/>
          <w:i/>
          <w:iCs/>
          <w:shd w:val="clear" w:color="auto" w:fill="FFFFFF"/>
        </w:rPr>
        <w:t>Journal of Medical Speech-Language Pathology</w:t>
      </w:r>
      <w:r w:rsidRPr="00AB6015">
        <w:rPr>
          <w:rFonts w:ascii="Sylfaen" w:eastAsia="Calibri" w:hAnsi="Sylfaen" w:cs="Times New Roman"/>
          <w:shd w:val="clear" w:color="auto" w:fill="FFFFFF"/>
        </w:rPr>
        <w:t>, </w:t>
      </w:r>
      <w:r w:rsidRPr="002F1485">
        <w:rPr>
          <w:rFonts w:ascii="Sylfaen" w:eastAsia="Calibri" w:hAnsi="Sylfaen" w:cs="Times New Roman"/>
          <w:iCs/>
          <w:shd w:val="clear" w:color="auto" w:fill="FFFFFF"/>
        </w:rPr>
        <w:t>13</w:t>
      </w:r>
      <w:r w:rsidRPr="00AB6015">
        <w:rPr>
          <w:rFonts w:ascii="Sylfaen" w:eastAsia="Calibri" w:hAnsi="Sylfaen" w:cs="Times New Roman"/>
          <w:shd w:val="clear" w:color="auto" w:fill="FFFFFF"/>
        </w:rPr>
        <w:t>(4), pp. 233-241.</w:t>
      </w:r>
    </w:p>
    <w:p w14:paraId="5F8A8778" w14:textId="180B960A" w:rsidR="00AB6015" w:rsidRPr="00AB6015" w:rsidRDefault="00AB6015" w:rsidP="002F1485">
      <w:pPr>
        <w:spacing w:after="160" w:line="360" w:lineRule="auto"/>
        <w:rPr>
          <w:rFonts w:ascii="Sylfaen" w:eastAsia="Calibri" w:hAnsi="Sylfaen" w:cs="Times New Roman"/>
          <w:shd w:val="clear" w:color="auto" w:fill="FFFFFF"/>
        </w:rPr>
      </w:pPr>
      <w:r w:rsidRPr="00AB6015">
        <w:rPr>
          <w:rFonts w:ascii="Sylfaen" w:eastAsia="Calibri" w:hAnsi="Sylfaen" w:cs="Times New Roman"/>
          <w:shd w:val="clear" w:color="auto" w:fill="FFFFFF"/>
        </w:rPr>
        <w:t xml:space="preserve">Ball, L. J., </w:t>
      </w:r>
      <w:proofErr w:type="spellStart"/>
      <w:r w:rsidRPr="00AB6015">
        <w:rPr>
          <w:rFonts w:ascii="Sylfaen" w:eastAsia="Calibri" w:hAnsi="Sylfaen" w:cs="Times New Roman"/>
          <w:shd w:val="clear" w:color="auto" w:fill="FFFFFF"/>
        </w:rPr>
        <w:t>Nordness</w:t>
      </w:r>
      <w:proofErr w:type="spellEnd"/>
      <w:r w:rsidRPr="00AB6015">
        <w:rPr>
          <w:rFonts w:ascii="Sylfaen" w:eastAsia="Calibri" w:hAnsi="Sylfaen" w:cs="Times New Roman"/>
          <w:shd w:val="clear" w:color="auto" w:fill="FFFFFF"/>
        </w:rPr>
        <w:t xml:space="preserve">, A. S., </w:t>
      </w:r>
      <w:proofErr w:type="spellStart"/>
      <w:r w:rsidRPr="00AB6015">
        <w:rPr>
          <w:rFonts w:ascii="Sylfaen" w:eastAsia="Calibri" w:hAnsi="Sylfaen" w:cs="Times New Roman"/>
          <w:shd w:val="clear" w:color="auto" w:fill="FFFFFF"/>
        </w:rPr>
        <w:t>Fager</w:t>
      </w:r>
      <w:proofErr w:type="spellEnd"/>
      <w:r w:rsidRPr="00AB6015">
        <w:rPr>
          <w:rFonts w:ascii="Sylfaen" w:eastAsia="Calibri" w:hAnsi="Sylfaen" w:cs="Times New Roman"/>
          <w:shd w:val="clear" w:color="auto" w:fill="FFFFFF"/>
        </w:rPr>
        <w:t xml:space="preserve">, S. K., </w:t>
      </w:r>
      <w:proofErr w:type="spellStart"/>
      <w:r w:rsidRPr="00AB6015">
        <w:rPr>
          <w:rFonts w:ascii="Sylfaen" w:eastAsia="Calibri" w:hAnsi="Sylfaen" w:cs="Times New Roman"/>
          <w:shd w:val="clear" w:color="auto" w:fill="FFFFFF"/>
        </w:rPr>
        <w:t>Kersch</w:t>
      </w:r>
      <w:proofErr w:type="spellEnd"/>
      <w:r w:rsidRPr="00AB6015">
        <w:rPr>
          <w:rFonts w:ascii="Sylfaen" w:eastAsia="Calibri" w:hAnsi="Sylfaen" w:cs="Times New Roman"/>
          <w:shd w:val="clear" w:color="auto" w:fill="FFFFFF"/>
        </w:rPr>
        <w:t xml:space="preserve">, K., Mohr, B., </w:t>
      </w:r>
      <w:proofErr w:type="spellStart"/>
      <w:r w:rsidRPr="00AB6015">
        <w:rPr>
          <w:rFonts w:ascii="Sylfaen" w:eastAsia="Calibri" w:hAnsi="Sylfaen" w:cs="Times New Roman"/>
          <w:shd w:val="clear" w:color="auto" w:fill="FFFFFF"/>
        </w:rPr>
        <w:t>Pattee</w:t>
      </w:r>
      <w:proofErr w:type="spellEnd"/>
      <w:r w:rsidRPr="00AB6015">
        <w:rPr>
          <w:rFonts w:ascii="Sylfaen" w:eastAsia="Calibri" w:hAnsi="Sylfaen" w:cs="Times New Roman"/>
          <w:shd w:val="clear" w:color="auto" w:fill="FFFFFF"/>
        </w:rPr>
        <w:t>, G</w:t>
      </w:r>
      <w:r w:rsidR="002F1485">
        <w:rPr>
          <w:rFonts w:ascii="Sylfaen" w:eastAsia="Calibri" w:hAnsi="Sylfaen" w:cs="Times New Roman"/>
          <w:shd w:val="clear" w:color="auto" w:fill="FFFFFF"/>
        </w:rPr>
        <w:t xml:space="preserve">. L., &amp; </w:t>
      </w:r>
      <w:proofErr w:type="spellStart"/>
      <w:r w:rsidR="002F1485">
        <w:rPr>
          <w:rFonts w:ascii="Sylfaen" w:eastAsia="Calibri" w:hAnsi="Sylfaen" w:cs="Times New Roman"/>
          <w:shd w:val="clear" w:color="auto" w:fill="FFFFFF"/>
        </w:rPr>
        <w:t>Beukelman</w:t>
      </w:r>
      <w:proofErr w:type="spellEnd"/>
      <w:r w:rsidR="002F1485">
        <w:rPr>
          <w:rFonts w:ascii="Sylfaen" w:eastAsia="Calibri" w:hAnsi="Sylfaen" w:cs="Times New Roman"/>
          <w:shd w:val="clear" w:color="auto" w:fill="FFFFFF"/>
        </w:rPr>
        <w:t>, D. R. (2010)</w:t>
      </w:r>
      <w:r w:rsidRPr="00AB6015">
        <w:rPr>
          <w:rFonts w:ascii="Sylfaen" w:eastAsia="Calibri" w:hAnsi="Sylfaen" w:cs="Times New Roman"/>
          <w:shd w:val="clear" w:color="auto" w:fill="FFFFFF"/>
        </w:rPr>
        <w:t xml:space="preserve"> </w:t>
      </w:r>
      <w:r w:rsidR="002F1485">
        <w:rPr>
          <w:rFonts w:ascii="Sylfaen" w:eastAsia="Calibri" w:hAnsi="Sylfaen" w:cs="Times New Roman"/>
          <w:shd w:val="clear" w:color="auto" w:fill="FFFFFF"/>
        </w:rPr>
        <w:t>‘</w:t>
      </w:r>
      <w:r w:rsidRPr="00AB6015">
        <w:rPr>
          <w:rFonts w:ascii="Sylfaen" w:eastAsia="Calibri" w:hAnsi="Sylfaen" w:cs="Times New Roman"/>
          <w:shd w:val="clear" w:color="auto" w:fill="FFFFFF"/>
        </w:rPr>
        <w:t>Eye Gaze Access of AAC Technology for People wit</w:t>
      </w:r>
      <w:r w:rsidR="002F1485">
        <w:rPr>
          <w:rFonts w:ascii="Sylfaen" w:eastAsia="Calibri" w:hAnsi="Sylfaen" w:cs="Times New Roman"/>
          <w:shd w:val="clear" w:color="auto" w:fill="FFFFFF"/>
        </w:rPr>
        <w:t>h Amyotrophic Lateral Sclerosis’,</w:t>
      </w:r>
      <w:r w:rsidRPr="00AB6015">
        <w:rPr>
          <w:rFonts w:ascii="Sylfaen" w:eastAsia="Calibri" w:hAnsi="Sylfaen" w:cs="Times New Roman"/>
          <w:shd w:val="clear" w:color="auto" w:fill="FFFFFF"/>
        </w:rPr>
        <w:t> </w:t>
      </w:r>
      <w:r w:rsidRPr="00AB6015">
        <w:rPr>
          <w:rFonts w:ascii="Sylfaen" w:eastAsia="Calibri" w:hAnsi="Sylfaen" w:cs="Times New Roman"/>
          <w:i/>
          <w:iCs/>
          <w:shd w:val="clear" w:color="auto" w:fill="FFFFFF"/>
        </w:rPr>
        <w:t>Journal of medical speech-language pathology</w:t>
      </w:r>
      <w:r w:rsidRPr="00AB6015">
        <w:rPr>
          <w:rFonts w:ascii="Sylfaen" w:eastAsia="Calibri" w:hAnsi="Sylfaen" w:cs="Times New Roman"/>
          <w:shd w:val="clear" w:color="auto" w:fill="FFFFFF"/>
        </w:rPr>
        <w:t>, </w:t>
      </w:r>
      <w:r w:rsidRPr="002F1485">
        <w:rPr>
          <w:rFonts w:ascii="Sylfaen" w:eastAsia="Calibri" w:hAnsi="Sylfaen" w:cs="Times New Roman"/>
          <w:iCs/>
          <w:shd w:val="clear" w:color="auto" w:fill="FFFFFF"/>
        </w:rPr>
        <w:t>18</w:t>
      </w:r>
      <w:r w:rsidR="002F1485">
        <w:rPr>
          <w:rFonts w:ascii="Sylfaen" w:eastAsia="Calibri" w:hAnsi="Sylfaen" w:cs="Times New Roman"/>
          <w:shd w:val="clear" w:color="auto" w:fill="FFFFFF"/>
        </w:rPr>
        <w:t xml:space="preserve">(3), </w:t>
      </w:r>
      <w:r w:rsidRPr="00AB6015">
        <w:rPr>
          <w:rFonts w:ascii="Sylfaen" w:eastAsia="Calibri" w:hAnsi="Sylfaen" w:cs="Times New Roman"/>
          <w:shd w:val="clear" w:color="auto" w:fill="FFFFFF"/>
        </w:rPr>
        <w:t>p. 11.</w:t>
      </w:r>
    </w:p>
    <w:p w14:paraId="607BFCFB" w14:textId="104A727E" w:rsidR="00AB6015" w:rsidRPr="002F1485" w:rsidRDefault="00AB6015" w:rsidP="002F1485">
      <w:pPr>
        <w:spacing w:after="160" w:line="360" w:lineRule="auto"/>
        <w:rPr>
          <w:rFonts w:ascii="Sylfaen" w:eastAsia="Calibri" w:hAnsi="Sylfaen" w:cs="Times New Roman"/>
          <w:shd w:val="clear" w:color="auto" w:fill="FFFFFF"/>
        </w:rPr>
      </w:pPr>
      <w:proofErr w:type="spellStart"/>
      <w:r w:rsidRPr="00AB6015">
        <w:rPr>
          <w:rFonts w:ascii="Sylfaen" w:eastAsia="Calibri" w:hAnsi="Sylfaen" w:cs="Times New Roman"/>
          <w:shd w:val="clear" w:color="auto" w:fill="FFFFFF"/>
        </w:rPr>
        <w:t>Beukelman</w:t>
      </w:r>
      <w:proofErr w:type="spellEnd"/>
      <w:r w:rsidRPr="00AB6015">
        <w:rPr>
          <w:rFonts w:ascii="Sylfaen" w:eastAsia="Calibri" w:hAnsi="Sylfaen" w:cs="Times New Roman"/>
          <w:shd w:val="clear" w:color="auto" w:fill="FFFFFF"/>
        </w:rPr>
        <w:t xml:space="preserve">, D., </w:t>
      </w:r>
      <w:proofErr w:type="spellStart"/>
      <w:r w:rsidRPr="00AB6015">
        <w:rPr>
          <w:rFonts w:ascii="Sylfaen" w:eastAsia="Calibri" w:hAnsi="Sylfaen" w:cs="Times New Roman"/>
          <w:shd w:val="clear" w:color="auto" w:fill="FFFFFF"/>
        </w:rPr>
        <w:t>F</w:t>
      </w:r>
      <w:r w:rsidR="002F1485">
        <w:rPr>
          <w:rFonts w:ascii="Sylfaen" w:eastAsia="Calibri" w:hAnsi="Sylfaen" w:cs="Times New Roman"/>
          <w:shd w:val="clear" w:color="auto" w:fill="FFFFFF"/>
        </w:rPr>
        <w:t>ager</w:t>
      </w:r>
      <w:proofErr w:type="spellEnd"/>
      <w:r w:rsidR="002F1485">
        <w:rPr>
          <w:rFonts w:ascii="Sylfaen" w:eastAsia="Calibri" w:hAnsi="Sylfaen" w:cs="Times New Roman"/>
          <w:shd w:val="clear" w:color="auto" w:fill="FFFFFF"/>
        </w:rPr>
        <w:t xml:space="preserve">, S., &amp; </w:t>
      </w:r>
      <w:proofErr w:type="spellStart"/>
      <w:r w:rsidR="002F1485">
        <w:rPr>
          <w:rFonts w:ascii="Sylfaen" w:eastAsia="Calibri" w:hAnsi="Sylfaen" w:cs="Times New Roman"/>
          <w:shd w:val="clear" w:color="auto" w:fill="FFFFFF"/>
        </w:rPr>
        <w:t>Nordness</w:t>
      </w:r>
      <w:proofErr w:type="spellEnd"/>
      <w:r w:rsidR="002F1485">
        <w:rPr>
          <w:rFonts w:ascii="Sylfaen" w:eastAsia="Calibri" w:hAnsi="Sylfaen" w:cs="Times New Roman"/>
          <w:shd w:val="clear" w:color="auto" w:fill="FFFFFF"/>
        </w:rPr>
        <w:t>, A. (2011)</w:t>
      </w:r>
      <w:r w:rsidRPr="00AB6015">
        <w:rPr>
          <w:rFonts w:ascii="Sylfaen" w:eastAsia="Calibri" w:hAnsi="Sylfaen" w:cs="Times New Roman"/>
          <w:shd w:val="clear" w:color="auto" w:fill="FFFFFF"/>
        </w:rPr>
        <w:t xml:space="preserve"> </w:t>
      </w:r>
      <w:r w:rsidR="002F1485">
        <w:rPr>
          <w:rFonts w:ascii="Sylfaen" w:eastAsia="Calibri" w:hAnsi="Sylfaen" w:cs="Times New Roman"/>
          <w:shd w:val="clear" w:color="auto" w:fill="FFFFFF"/>
        </w:rPr>
        <w:t>‘</w:t>
      </w:r>
      <w:r w:rsidRPr="00AB6015">
        <w:rPr>
          <w:rFonts w:ascii="Sylfaen" w:eastAsia="Calibri" w:hAnsi="Sylfaen" w:cs="Times New Roman"/>
          <w:shd w:val="clear" w:color="auto" w:fill="FFFFFF"/>
        </w:rPr>
        <w:t>Communicat</w:t>
      </w:r>
      <w:r w:rsidR="002F1485">
        <w:rPr>
          <w:rFonts w:ascii="Sylfaen" w:eastAsia="Calibri" w:hAnsi="Sylfaen" w:cs="Times New Roman"/>
          <w:shd w:val="clear" w:color="auto" w:fill="FFFFFF"/>
        </w:rPr>
        <w:t>ion support for people with ALS’,</w:t>
      </w:r>
      <w:r w:rsidRPr="00AB6015">
        <w:rPr>
          <w:rFonts w:ascii="Sylfaen" w:eastAsia="Calibri" w:hAnsi="Sylfaen" w:cs="Times New Roman"/>
          <w:shd w:val="clear" w:color="auto" w:fill="FFFFFF"/>
        </w:rPr>
        <w:t> </w:t>
      </w:r>
      <w:r w:rsidRPr="00AB6015">
        <w:rPr>
          <w:rFonts w:ascii="Sylfaen" w:eastAsia="Calibri" w:hAnsi="Sylfaen" w:cs="Times New Roman"/>
          <w:i/>
          <w:iCs/>
          <w:shd w:val="clear" w:color="auto" w:fill="FFFFFF"/>
        </w:rPr>
        <w:t>Neurology Research International</w:t>
      </w:r>
      <w:r w:rsidR="002F1485">
        <w:rPr>
          <w:rFonts w:ascii="Sylfaen" w:eastAsia="Calibri" w:hAnsi="Sylfaen" w:cs="Times New Roman"/>
          <w:shd w:val="clear" w:color="auto" w:fill="FFFFFF"/>
        </w:rPr>
        <w:t>, pp. 1-6. doi:</w:t>
      </w:r>
      <w:r w:rsidR="002F1485" w:rsidRPr="002F1485">
        <w:rPr>
          <w:rFonts w:ascii="Sylfaen" w:eastAsia="Calibri" w:hAnsi="Sylfaen" w:cs="Times New Roman"/>
          <w:shd w:val="clear" w:color="auto" w:fill="FFFFFF"/>
        </w:rPr>
        <w:t>10.1155/2011/714693</w:t>
      </w:r>
      <w:r w:rsidR="002F1485">
        <w:rPr>
          <w:rFonts w:ascii="Sylfaen" w:eastAsia="Calibri" w:hAnsi="Sylfaen" w:cs="Times New Roman"/>
          <w:shd w:val="clear" w:color="auto" w:fill="FFFFFF"/>
        </w:rPr>
        <w:t>.</w:t>
      </w:r>
    </w:p>
    <w:p w14:paraId="0FA502BA" w14:textId="03483930" w:rsidR="00AB6015" w:rsidRPr="00AB6015" w:rsidRDefault="00AB6015" w:rsidP="002F1485">
      <w:pPr>
        <w:spacing w:after="160" w:line="360" w:lineRule="auto"/>
        <w:rPr>
          <w:rFonts w:ascii="Sylfaen" w:eastAsia="Calibri" w:hAnsi="Sylfaen" w:cs="Times New Roman"/>
          <w:shd w:val="clear" w:color="auto" w:fill="FFFFFF"/>
        </w:rPr>
      </w:pPr>
      <w:r w:rsidRPr="00AB6015">
        <w:rPr>
          <w:rFonts w:ascii="Sylfaen" w:eastAsia="Calibri" w:hAnsi="Sylfaen" w:cs="Times New Roman"/>
          <w:shd w:val="clear" w:color="auto" w:fill="FFFFFF"/>
        </w:rPr>
        <w:t>Blumenstein, I., Shas</w:t>
      </w:r>
      <w:r w:rsidR="002F1485">
        <w:rPr>
          <w:rFonts w:ascii="Sylfaen" w:eastAsia="Calibri" w:hAnsi="Sylfaen" w:cs="Times New Roman"/>
          <w:shd w:val="clear" w:color="auto" w:fill="FFFFFF"/>
        </w:rPr>
        <w:t>tri, Y. M., &amp; Stein, J. (2014) ‘</w:t>
      </w:r>
      <w:proofErr w:type="spellStart"/>
      <w:r w:rsidRPr="00AB6015">
        <w:rPr>
          <w:rFonts w:ascii="Sylfaen" w:eastAsia="Calibri" w:hAnsi="Sylfaen" w:cs="Times New Roman"/>
          <w:shd w:val="clear" w:color="auto" w:fill="FFFFFF"/>
        </w:rPr>
        <w:t>Gastroenteric</w:t>
      </w:r>
      <w:proofErr w:type="spellEnd"/>
      <w:r w:rsidRPr="00AB6015">
        <w:rPr>
          <w:rFonts w:ascii="Sylfaen" w:eastAsia="Calibri" w:hAnsi="Sylfaen" w:cs="Times New Roman"/>
          <w:shd w:val="clear" w:color="auto" w:fill="FFFFFF"/>
        </w:rPr>
        <w:t xml:space="preserve"> tube feeding: techniques, problems and solution</w:t>
      </w:r>
      <w:r w:rsidR="002F1485">
        <w:rPr>
          <w:rFonts w:ascii="Sylfaen" w:eastAsia="Calibri" w:hAnsi="Sylfaen" w:cs="Times New Roman"/>
          <w:shd w:val="clear" w:color="auto" w:fill="FFFFFF"/>
        </w:rPr>
        <w:t>s’,</w:t>
      </w:r>
      <w:r w:rsidRPr="00AB6015">
        <w:rPr>
          <w:rFonts w:ascii="Sylfaen" w:eastAsia="Calibri" w:hAnsi="Sylfaen" w:cs="Times New Roman"/>
          <w:shd w:val="clear" w:color="auto" w:fill="FFFFFF"/>
        </w:rPr>
        <w:t> </w:t>
      </w:r>
      <w:r w:rsidRPr="00AB6015">
        <w:rPr>
          <w:rFonts w:ascii="Sylfaen" w:eastAsia="Calibri" w:hAnsi="Sylfaen" w:cs="Times New Roman"/>
          <w:i/>
          <w:iCs/>
          <w:shd w:val="clear" w:color="auto" w:fill="FFFFFF"/>
        </w:rPr>
        <w:t>World J</w:t>
      </w:r>
      <w:r w:rsidR="002F1485">
        <w:rPr>
          <w:rFonts w:ascii="Sylfaen" w:eastAsia="Calibri" w:hAnsi="Sylfaen" w:cs="Times New Roman"/>
          <w:i/>
          <w:iCs/>
          <w:shd w:val="clear" w:color="auto" w:fill="FFFFFF"/>
        </w:rPr>
        <w:t>ournal</w:t>
      </w:r>
      <w:r w:rsidRPr="00AB6015">
        <w:rPr>
          <w:rFonts w:ascii="Sylfaen" w:eastAsia="Calibri" w:hAnsi="Sylfaen" w:cs="Times New Roman"/>
          <w:i/>
          <w:iCs/>
          <w:shd w:val="clear" w:color="auto" w:fill="FFFFFF"/>
        </w:rPr>
        <w:t xml:space="preserve"> Gastroenterol</w:t>
      </w:r>
      <w:r w:rsidRPr="00AB6015">
        <w:rPr>
          <w:rFonts w:ascii="Sylfaen" w:eastAsia="Calibri" w:hAnsi="Sylfaen" w:cs="Times New Roman"/>
          <w:shd w:val="clear" w:color="auto" w:fill="FFFFFF"/>
        </w:rPr>
        <w:t>, </w:t>
      </w:r>
      <w:r w:rsidRPr="002F1485">
        <w:rPr>
          <w:rFonts w:ascii="Sylfaen" w:eastAsia="Calibri" w:hAnsi="Sylfaen" w:cs="Times New Roman"/>
          <w:iCs/>
          <w:shd w:val="clear" w:color="auto" w:fill="FFFFFF"/>
        </w:rPr>
        <w:t>20</w:t>
      </w:r>
      <w:r w:rsidRPr="00AB6015">
        <w:rPr>
          <w:rFonts w:ascii="Sylfaen" w:eastAsia="Calibri" w:hAnsi="Sylfaen" w:cs="Times New Roman"/>
          <w:shd w:val="clear" w:color="auto" w:fill="FFFFFF"/>
        </w:rPr>
        <w:t>(26), pp. 8505-8524.</w:t>
      </w:r>
    </w:p>
    <w:p w14:paraId="48664F5E" w14:textId="75836E75" w:rsidR="00AB6015" w:rsidRPr="00AB6015" w:rsidRDefault="00AB6015" w:rsidP="002F1485">
      <w:pPr>
        <w:spacing w:after="160" w:line="360" w:lineRule="auto"/>
        <w:rPr>
          <w:rFonts w:ascii="Sylfaen" w:eastAsia="Calibri" w:hAnsi="Sylfaen" w:cs="Times New Roman"/>
          <w:shd w:val="clear" w:color="auto" w:fill="FFFFFF"/>
        </w:rPr>
      </w:pPr>
      <w:proofErr w:type="spellStart"/>
      <w:r w:rsidRPr="00AB6015">
        <w:rPr>
          <w:rFonts w:ascii="Sylfaen" w:eastAsia="Calibri" w:hAnsi="Sylfaen" w:cs="Times New Roman"/>
          <w:shd w:val="clear" w:color="auto" w:fill="FFFFFF"/>
        </w:rPr>
        <w:t>Chio</w:t>
      </w:r>
      <w:proofErr w:type="spellEnd"/>
      <w:r w:rsidRPr="00AB6015">
        <w:rPr>
          <w:rFonts w:ascii="Sylfaen" w:eastAsia="Calibri" w:hAnsi="Sylfaen" w:cs="Times New Roman"/>
          <w:shd w:val="clear" w:color="auto" w:fill="FFFFFF"/>
        </w:rPr>
        <w:t xml:space="preserve">, A., </w:t>
      </w:r>
      <w:proofErr w:type="spellStart"/>
      <w:r w:rsidRPr="00AB6015">
        <w:rPr>
          <w:rFonts w:ascii="Sylfaen" w:eastAsia="Calibri" w:hAnsi="Sylfaen" w:cs="Times New Roman"/>
          <w:shd w:val="clear" w:color="auto" w:fill="FFFFFF"/>
        </w:rPr>
        <w:t>Logroscino</w:t>
      </w:r>
      <w:proofErr w:type="spellEnd"/>
      <w:r w:rsidRPr="00AB6015">
        <w:rPr>
          <w:rFonts w:ascii="Sylfaen" w:eastAsia="Calibri" w:hAnsi="Sylfaen" w:cs="Times New Roman"/>
          <w:shd w:val="clear" w:color="auto" w:fill="FFFFFF"/>
        </w:rPr>
        <w:t xml:space="preserve">, G., Traynor, B. J., Collins, J., Simeone, J. C., Goldstein, L. A., &amp; White, L. A. (2013) </w:t>
      </w:r>
      <w:r w:rsidR="002F1485">
        <w:rPr>
          <w:rFonts w:ascii="Sylfaen" w:eastAsia="Calibri" w:hAnsi="Sylfaen" w:cs="Times New Roman"/>
          <w:shd w:val="clear" w:color="auto" w:fill="FFFFFF"/>
        </w:rPr>
        <w:t>‘</w:t>
      </w:r>
      <w:r w:rsidRPr="00AB6015">
        <w:rPr>
          <w:rFonts w:ascii="Sylfaen" w:eastAsia="Calibri" w:hAnsi="Sylfaen" w:cs="Times New Roman"/>
          <w:shd w:val="clear" w:color="auto" w:fill="FFFFFF"/>
        </w:rPr>
        <w:t>Global epidemiology of amyotrophic lateral sclerosis: a systematic review of the published lite</w:t>
      </w:r>
      <w:r w:rsidR="002F1485">
        <w:rPr>
          <w:rFonts w:ascii="Sylfaen" w:eastAsia="Calibri" w:hAnsi="Sylfaen" w:cs="Times New Roman"/>
          <w:shd w:val="clear" w:color="auto" w:fill="FFFFFF"/>
        </w:rPr>
        <w:t>rature’,</w:t>
      </w:r>
      <w:r w:rsidRPr="00AB6015">
        <w:rPr>
          <w:rFonts w:ascii="Sylfaen" w:eastAsia="Calibri" w:hAnsi="Sylfaen" w:cs="Times New Roman"/>
          <w:shd w:val="clear" w:color="auto" w:fill="FFFFFF"/>
        </w:rPr>
        <w:t> </w:t>
      </w:r>
      <w:proofErr w:type="spellStart"/>
      <w:r w:rsidRPr="00AB6015">
        <w:rPr>
          <w:rFonts w:ascii="Sylfaen" w:eastAsia="Calibri" w:hAnsi="Sylfaen" w:cs="Times New Roman"/>
          <w:i/>
          <w:iCs/>
          <w:shd w:val="clear" w:color="auto" w:fill="FFFFFF"/>
        </w:rPr>
        <w:t>Neuroepidemiology</w:t>
      </w:r>
      <w:proofErr w:type="spellEnd"/>
      <w:r w:rsidRPr="00AB6015">
        <w:rPr>
          <w:rFonts w:ascii="Sylfaen" w:eastAsia="Calibri" w:hAnsi="Sylfaen" w:cs="Times New Roman"/>
          <w:shd w:val="clear" w:color="auto" w:fill="FFFFFF"/>
        </w:rPr>
        <w:t>, </w:t>
      </w:r>
      <w:r w:rsidRPr="002F1485">
        <w:rPr>
          <w:rFonts w:ascii="Sylfaen" w:eastAsia="Calibri" w:hAnsi="Sylfaen" w:cs="Times New Roman"/>
          <w:iCs/>
          <w:shd w:val="clear" w:color="auto" w:fill="FFFFFF"/>
        </w:rPr>
        <w:t>41</w:t>
      </w:r>
      <w:r w:rsidRPr="002F1485">
        <w:rPr>
          <w:rFonts w:ascii="Sylfaen" w:eastAsia="Calibri" w:hAnsi="Sylfaen" w:cs="Times New Roman"/>
          <w:shd w:val="clear" w:color="auto" w:fill="FFFFFF"/>
        </w:rPr>
        <w:t>(</w:t>
      </w:r>
      <w:r w:rsidRPr="00AB6015">
        <w:rPr>
          <w:rFonts w:ascii="Sylfaen" w:eastAsia="Calibri" w:hAnsi="Sylfaen" w:cs="Times New Roman"/>
          <w:shd w:val="clear" w:color="auto" w:fill="FFFFFF"/>
        </w:rPr>
        <w:t>2), pp. 118-130.</w:t>
      </w:r>
    </w:p>
    <w:p w14:paraId="17FFB306" w14:textId="751C74AD" w:rsidR="00AB6015" w:rsidRPr="00AB6015" w:rsidRDefault="00AB6015" w:rsidP="002F1485">
      <w:pPr>
        <w:spacing w:after="160" w:line="360" w:lineRule="auto"/>
        <w:rPr>
          <w:rFonts w:ascii="Sylfaen" w:eastAsia="Calibri" w:hAnsi="Sylfaen" w:cs="Times New Roman"/>
          <w:shd w:val="clear" w:color="auto" w:fill="FFFFFF"/>
          <w:lang w:val="fr-FR"/>
        </w:rPr>
      </w:pPr>
      <w:proofErr w:type="spellStart"/>
      <w:r w:rsidRPr="00AB6015">
        <w:rPr>
          <w:rFonts w:ascii="Sylfaen" w:eastAsia="Calibri" w:hAnsi="Sylfaen" w:cs="Times New Roman"/>
          <w:shd w:val="clear" w:color="auto" w:fill="FFFFFF"/>
        </w:rPr>
        <w:t>Dafinca</w:t>
      </w:r>
      <w:proofErr w:type="spellEnd"/>
      <w:r w:rsidRPr="00AB6015">
        <w:rPr>
          <w:rFonts w:ascii="Sylfaen" w:eastAsia="Calibri" w:hAnsi="Sylfaen" w:cs="Times New Roman"/>
          <w:shd w:val="clear" w:color="auto" w:fill="FFFFFF"/>
        </w:rPr>
        <w:t xml:space="preserve">, R., </w:t>
      </w:r>
      <w:proofErr w:type="spellStart"/>
      <w:r w:rsidRPr="00AB6015">
        <w:rPr>
          <w:rFonts w:ascii="Sylfaen" w:eastAsia="Calibri" w:hAnsi="Sylfaen" w:cs="Times New Roman"/>
          <w:shd w:val="clear" w:color="auto" w:fill="FFFFFF"/>
        </w:rPr>
        <w:t>Scaber</w:t>
      </w:r>
      <w:proofErr w:type="spellEnd"/>
      <w:r w:rsidRPr="00AB6015">
        <w:rPr>
          <w:rFonts w:ascii="Sylfaen" w:eastAsia="Calibri" w:hAnsi="Sylfaen" w:cs="Times New Roman"/>
          <w:shd w:val="clear" w:color="auto" w:fill="FFFFFF"/>
        </w:rPr>
        <w:t xml:space="preserve">, J., </w:t>
      </w:r>
      <w:proofErr w:type="spellStart"/>
      <w:r w:rsidRPr="00AB6015">
        <w:rPr>
          <w:rFonts w:ascii="Sylfaen" w:eastAsia="Calibri" w:hAnsi="Sylfaen" w:cs="Times New Roman"/>
          <w:shd w:val="clear" w:color="auto" w:fill="FFFFFF"/>
        </w:rPr>
        <w:t>Ababneh</w:t>
      </w:r>
      <w:proofErr w:type="spellEnd"/>
      <w:r w:rsidRPr="00AB6015">
        <w:rPr>
          <w:rFonts w:ascii="Sylfaen" w:eastAsia="Calibri" w:hAnsi="Sylfaen" w:cs="Times New Roman"/>
          <w:shd w:val="clear" w:color="auto" w:fill="FFFFFF"/>
        </w:rPr>
        <w:t xml:space="preserve">, N., </w:t>
      </w:r>
      <w:proofErr w:type="spellStart"/>
      <w:r w:rsidRPr="00AB6015">
        <w:rPr>
          <w:rFonts w:ascii="Sylfaen" w:eastAsia="Calibri" w:hAnsi="Sylfaen" w:cs="Times New Roman"/>
          <w:shd w:val="clear" w:color="auto" w:fill="FFFFFF"/>
        </w:rPr>
        <w:t>Lalic</w:t>
      </w:r>
      <w:proofErr w:type="spellEnd"/>
      <w:r w:rsidRPr="00AB6015">
        <w:rPr>
          <w:rFonts w:ascii="Sylfaen" w:eastAsia="Calibri" w:hAnsi="Sylfaen" w:cs="Times New Roman"/>
          <w:shd w:val="clear" w:color="auto" w:fill="FFFFFF"/>
        </w:rPr>
        <w:t xml:space="preserve">, T., Weir, G., Christian, H., </w:t>
      </w:r>
      <w:proofErr w:type="spellStart"/>
      <w:r w:rsidRPr="00AB6015">
        <w:rPr>
          <w:rFonts w:ascii="Sylfaen" w:eastAsia="Calibri" w:hAnsi="Sylfaen" w:cs="Times New Roman"/>
          <w:shd w:val="clear" w:color="auto" w:fill="FFFFFF"/>
        </w:rPr>
        <w:t>Vowles</w:t>
      </w:r>
      <w:proofErr w:type="spellEnd"/>
      <w:r w:rsidRPr="00AB6015">
        <w:rPr>
          <w:rFonts w:ascii="Sylfaen" w:eastAsia="Calibri" w:hAnsi="Sylfaen" w:cs="Times New Roman"/>
          <w:shd w:val="clear" w:color="auto" w:fill="FFFFFF"/>
        </w:rPr>
        <w:t>, J., Douglas, A.G., Fletcher</w:t>
      </w:r>
      <w:r w:rsidRPr="00AB6015">
        <w:rPr>
          <w:rFonts w:ascii="Times New Roman" w:eastAsia="Calibri" w:hAnsi="Times New Roman" w:cs="Times New Roman"/>
          <w:shd w:val="clear" w:color="auto" w:fill="FFFFFF"/>
        </w:rPr>
        <w:t>‐</w:t>
      </w:r>
      <w:r w:rsidRPr="00AB6015">
        <w:rPr>
          <w:rFonts w:ascii="Sylfaen" w:eastAsia="Calibri" w:hAnsi="Sylfaen" w:cs="Times New Roman"/>
          <w:shd w:val="clear" w:color="auto" w:fill="FFFFFF"/>
        </w:rPr>
        <w:t>Jones, A., Brow</w:t>
      </w:r>
      <w:r w:rsidR="002F1485">
        <w:rPr>
          <w:rFonts w:ascii="Sylfaen" w:eastAsia="Calibri" w:hAnsi="Sylfaen" w:cs="Times New Roman"/>
          <w:shd w:val="clear" w:color="auto" w:fill="FFFFFF"/>
        </w:rPr>
        <w:t>ne, C. and Nakanishi, M., (2016)</w:t>
      </w:r>
      <w:r w:rsidRPr="00AB6015">
        <w:rPr>
          <w:rFonts w:ascii="Sylfaen" w:eastAsia="Calibri" w:hAnsi="Sylfaen" w:cs="Times New Roman"/>
          <w:shd w:val="clear" w:color="auto" w:fill="FFFFFF"/>
        </w:rPr>
        <w:t xml:space="preserve"> </w:t>
      </w:r>
      <w:r w:rsidR="002F1485">
        <w:rPr>
          <w:rFonts w:ascii="Sylfaen" w:eastAsia="Calibri" w:hAnsi="Sylfaen" w:cs="Times New Roman"/>
          <w:shd w:val="clear" w:color="auto" w:fill="FFFFFF"/>
        </w:rPr>
        <w:t>‘</w:t>
      </w:r>
      <w:r w:rsidRPr="00AB6015">
        <w:rPr>
          <w:rFonts w:ascii="Sylfaen" w:eastAsia="Calibri" w:hAnsi="Sylfaen" w:cs="Times New Roman"/>
          <w:shd w:val="clear" w:color="auto" w:fill="FFFFFF"/>
        </w:rPr>
        <w:t xml:space="preserve">C9orf72 Hexanucleotide Expansions </w:t>
      </w:r>
      <w:r w:rsidRPr="00AB6015">
        <w:rPr>
          <w:rFonts w:ascii="Sylfaen" w:eastAsia="Calibri" w:hAnsi="Sylfaen" w:cs="Times New Roman"/>
          <w:shd w:val="clear" w:color="auto" w:fill="FFFFFF"/>
        </w:rPr>
        <w:lastRenderedPageBreak/>
        <w:t>Are Associated with Altered Endoplasmic Reticulum Calcium Homeostasis and Stress Granule Formation in Induced Pluripotent Stem Cell</w:t>
      </w:r>
      <w:r w:rsidRPr="00AB6015">
        <w:rPr>
          <w:rFonts w:ascii="Times New Roman" w:eastAsia="Calibri" w:hAnsi="Times New Roman" w:cs="Times New Roman"/>
          <w:shd w:val="clear" w:color="auto" w:fill="FFFFFF"/>
        </w:rPr>
        <w:t>‐</w:t>
      </w:r>
      <w:r w:rsidRPr="00AB6015">
        <w:rPr>
          <w:rFonts w:ascii="Sylfaen" w:eastAsia="Calibri" w:hAnsi="Sylfaen" w:cs="Times New Roman"/>
          <w:shd w:val="clear" w:color="auto" w:fill="FFFFFF"/>
        </w:rPr>
        <w:t>Derived Neurons from Patients with Amyotrophic Lateral Scleros</w:t>
      </w:r>
      <w:r w:rsidR="002F1485">
        <w:rPr>
          <w:rFonts w:ascii="Sylfaen" w:eastAsia="Calibri" w:hAnsi="Sylfaen" w:cs="Times New Roman"/>
          <w:shd w:val="clear" w:color="auto" w:fill="FFFFFF"/>
        </w:rPr>
        <w:t xml:space="preserve">is and Frontotemporal Dementia’, </w:t>
      </w:r>
      <w:r w:rsidR="002F1485">
        <w:rPr>
          <w:rFonts w:ascii="Sylfaen" w:eastAsia="Calibri" w:hAnsi="Sylfaen" w:cs="Times New Roman"/>
          <w:i/>
          <w:iCs/>
          <w:shd w:val="clear" w:color="auto" w:fill="FFFFFF"/>
          <w:lang w:val="fr-FR"/>
        </w:rPr>
        <w:t xml:space="preserve">Stem </w:t>
      </w:r>
      <w:proofErr w:type="spellStart"/>
      <w:r w:rsidR="002F1485">
        <w:rPr>
          <w:rFonts w:ascii="Sylfaen" w:eastAsia="Calibri" w:hAnsi="Sylfaen" w:cs="Times New Roman"/>
          <w:i/>
          <w:iCs/>
          <w:shd w:val="clear" w:color="auto" w:fill="FFFFFF"/>
          <w:lang w:val="fr-FR"/>
        </w:rPr>
        <w:t>C</w:t>
      </w:r>
      <w:r w:rsidRPr="00AB6015">
        <w:rPr>
          <w:rFonts w:ascii="Sylfaen" w:eastAsia="Calibri" w:hAnsi="Sylfaen" w:cs="Times New Roman"/>
          <w:i/>
          <w:iCs/>
          <w:shd w:val="clear" w:color="auto" w:fill="FFFFFF"/>
          <w:lang w:val="fr-FR"/>
        </w:rPr>
        <w:t>ells</w:t>
      </w:r>
      <w:proofErr w:type="spellEnd"/>
      <w:r w:rsidRPr="00AB6015">
        <w:rPr>
          <w:rFonts w:ascii="Sylfaen" w:eastAsia="Calibri" w:hAnsi="Sylfaen" w:cs="Times New Roman"/>
          <w:shd w:val="clear" w:color="auto" w:fill="FFFFFF"/>
          <w:lang w:val="fr-FR"/>
        </w:rPr>
        <w:t>, </w:t>
      </w:r>
      <w:r w:rsidRPr="002F1485">
        <w:rPr>
          <w:rFonts w:ascii="Sylfaen" w:eastAsia="Calibri" w:hAnsi="Sylfaen" w:cs="Times New Roman"/>
          <w:iCs/>
          <w:shd w:val="clear" w:color="auto" w:fill="FFFFFF"/>
          <w:lang w:val="fr-FR"/>
        </w:rPr>
        <w:t>34</w:t>
      </w:r>
      <w:r w:rsidRPr="00AB6015">
        <w:rPr>
          <w:rFonts w:ascii="Sylfaen" w:eastAsia="Calibri" w:hAnsi="Sylfaen" w:cs="Times New Roman"/>
          <w:shd w:val="clear" w:color="auto" w:fill="FFFFFF"/>
          <w:lang w:val="fr-FR"/>
        </w:rPr>
        <w:t>(8), pp.2063-2078.</w:t>
      </w:r>
    </w:p>
    <w:p w14:paraId="4783B9E8" w14:textId="3625F712" w:rsidR="00AB6015" w:rsidRPr="00AB6015" w:rsidRDefault="00AB6015" w:rsidP="002F1485">
      <w:pPr>
        <w:spacing w:after="160" w:line="360" w:lineRule="auto"/>
        <w:rPr>
          <w:rFonts w:ascii="Sylfaen" w:eastAsia="Calibri" w:hAnsi="Sylfaen" w:cs="Times New Roman"/>
          <w:shd w:val="clear" w:color="auto" w:fill="FFFFFF"/>
        </w:rPr>
      </w:pPr>
      <w:r w:rsidRPr="00AB6015">
        <w:rPr>
          <w:rFonts w:ascii="Sylfaen" w:eastAsia="Calibri" w:hAnsi="Sylfaen" w:cs="Times New Roman"/>
          <w:shd w:val="clear" w:color="auto" w:fill="FFFFFF"/>
          <w:lang w:val="fr-FR"/>
        </w:rPr>
        <w:t>Desport, J. C., Preux, P. M., Truong, T. C., Vallat, J. M., Sauter</w:t>
      </w:r>
      <w:r w:rsidR="002F1485">
        <w:rPr>
          <w:rFonts w:ascii="Sylfaen" w:eastAsia="Calibri" w:hAnsi="Sylfaen" w:cs="Times New Roman"/>
          <w:shd w:val="clear" w:color="auto" w:fill="FFFFFF"/>
          <w:lang w:val="fr-FR"/>
        </w:rPr>
        <w:t>eau, D., &amp; Couratier, P. (1999)</w:t>
      </w:r>
      <w:r w:rsidRPr="00AB6015">
        <w:rPr>
          <w:rFonts w:ascii="Sylfaen" w:eastAsia="Calibri" w:hAnsi="Sylfaen" w:cs="Times New Roman"/>
          <w:shd w:val="clear" w:color="auto" w:fill="FFFFFF"/>
          <w:lang w:val="fr-FR"/>
        </w:rPr>
        <w:t xml:space="preserve"> </w:t>
      </w:r>
      <w:r w:rsidR="002F1485">
        <w:rPr>
          <w:rFonts w:ascii="Sylfaen" w:eastAsia="Calibri" w:hAnsi="Sylfaen" w:cs="Times New Roman"/>
          <w:shd w:val="clear" w:color="auto" w:fill="FFFFFF"/>
          <w:lang w:val="fr-FR"/>
        </w:rPr>
        <w:t>‘</w:t>
      </w:r>
      <w:r w:rsidRPr="00AB6015">
        <w:rPr>
          <w:rFonts w:ascii="Sylfaen" w:eastAsia="Calibri" w:hAnsi="Sylfaen" w:cs="Times New Roman"/>
          <w:shd w:val="clear" w:color="auto" w:fill="FFFFFF"/>
        </w:rPr>
        <w:t>Nutritional status is a prognostic fact</w:t>
      </w:r>
      <w:r w:rsidR="002F1485">
        <w:rPr>
          <w:rFonts w:ascii="Sylfaen" w:eastAsia="Calibri" w:hAnsi="Sylfaen" w:cs="Times New Roman"/>
          <w:shd w:val="clear" w:color="auto" w:fill="FFFFFF"/>
        </w:rPr>
        <w:t>or for survival in ALS patients’,</w:t>
      </w:r>
      <w:r w:rsidRPr="00AB6015">
        <w:rPr>
          <w:rFonts w:ascii="Sylfaen" w:eastAsia="Calibri" w:hAnsi="Sylfaen" w:cs="Times New Roman"/>
          <w:shd w:val="clear" w:color="auto" w:fill="FFFFFF"/>
        </w:rPr>
        <w:t> </w:t>
      </w:r>
      <w:r w:rsidRPr="00AB6015">
        <w:rPr>
          <w:rFonts w:ascii="Sylfaen" w:eastAsia="Calibri" w:hAnsi="Sylfaen" w:cs="Times New Roman"/>
          <w:i/>
          <w:iCs/>
          <w:shd w:val="clear" w:color="auto" w:fill="FFFFFF"/>
        </w:rPr>
        <w:t>Neurology</w:t>
      </w:r>
      <w:r w:rsidRPr="00AB6015">
        <w:rPr>
          <w:rFonts w:ascii="Sylfaen" w:eastAsia="Calibri" w:hAnsi="Sylfaen" w:cs="Times New Roman"/>
          <w:shd w:val="clear" w:color="auto" w:fill="FFFFFF"/>
        </w:rPr>
        <w:t>, </w:t>
      </w:r>
      <w:r w:rsidRPr="002F1485">
        <w:rPr>
          <w:rFonts w:ascii="Sylfaen" w:eastAsia="Calibri" w:hAnsi="Sylfaen" w:cs="Times New Roman"/>
          <w:iCs/>
          <w:shd w:val="clear" w:color="auto" w:fill="FFFFFF"/>
        </w:rPr>
        <w:t>53</w:t>
      </w:r>
      <w:r w:rsidRPr="002F1485">
        <w:rPr>
          <w:rFonts w:ascii="Sylfaen" w:eastAsia="Calibri" w:hAnsi="Sylfaen" w:cs="Times New Roman"/>
          <w:shd w:val="clear" w:color="auto" w:fill="FFFFFF"/>
        </w:rPr>
        <w:t>(</w:t>
      </w:r>
      <w:r w:rsidRPr="00AB6015">
        <w:rPr>
          <w:rFonts w:ascii="Sylfaen" w:eastAsia="Calibri" w:hAnsi="Sylfaen" w:cs="Times New Roman"/>
          <w:shd w:val="clear" w:color="auto" w:fill="FFFFFF"/>
        </w:rPr>
        <w:t>5), pp. 1059-1059.</w:t>
      </w:r>
    </w:p>
    <w:p w14:paraId="237FD31F" w14:textId="40BEA610" w:rsidR="00AB6015" w:rsidRPr="00AB6015" w:rsidRDefault="002F1485" w:rsidP="002F1485">
      <w:pPr>
        <w:spacing w:after="160" w:line="360" w:lineRule="auto"/>
        <w:rPr>
          <w:rFonts w:ascii="Sylfaen" w:eastAsia="Calibri" w:hAnsi="Sylfaen" w:cs="Times New Roman"/>
          <w:shd w:val="clear" w:color="auto" w:fill="FFFFFF"/>
        </w:rPr>
      </w:pPr>
      <w:r>
        <w:rPr>
          <w:rFonts w:ascii="Sylfaen" w:eastAsia="Calibri" w:hAnsi="Sylfaen" w:cs="Times New Roman"/>
          <w:shd w:val="clear" w:color="auto" w:fill="FFFFFF"/>
        </w:rPr>
        <w:t xml:space="preserve">Duffy, J. R. (2013) </w:t>
      </w:r>
      <w:r w:rsidR="00AB6015" w:rsidRPr="00AB6015">
        <w:rPr>
          <w:rFonts w:ascii="Sylfaen" w:eastAsia="Calibri" w:hAnsi="Sylfaen" w:cs="Times New Roman"/>
          <w:i/>
          <w:iCs/>
          <w:shd w:val="clear" w:color="auto" w:fill="FFFFFF"/>
        </w:rPr>
        <w:t>Motor speech disorders: Substrates, differential diagnosis, and management</w:t>
      </w:r>
      <w:r w:rsidR="00AB6015" w:rsidRPr="00AB6015">
        <w:rPr>
          <w:rFonts w:ascii="Sylfaen" w:eastAsia="Calibri" w:hAnsi="Sylfaen" w:cs="Times New Roman"/>
          <w:shd w:val="clear" w:color="auto" w:fill="FFFFFF"/>
        </w:rPr>
        <w:t xml:space="preserve">. </w:t>
      </w:r>
      <w:r>
        <w:rPr>
          <w:rFonts w:ascii="Sylfaen" w:eastAsia="Calibri" w:hAnsi="Sylfaen" w:cs="Times New Roman"/>
          <w:shd w:val="clear" w:color="auto" w:fill="FFFFFF"/>
        </w:rPr>
        <w:t>Missouri: Elsevier</w:t>
      </w:r>
      <w:r w:rsidR="00AB6015" w:rsidRPr="00AB6015">
        <w:rPr>
          <w:rFonts w:ascii="Sylfaen" w:eastAsia="Calibri" w:hAnsi="Sylfaen" w:cs="Times New Roman"/>
          <w:shd w:val="clear" w:color="auto" w:fill="FFFFFF"/>
        </w:rPr>
        <w:t>.</w:t>
      </w:r>
    </w:p>
    <w:p w14:paraId="79D31DEE" w14:textId="61867A02" w:rsidR="00AB6015" w:rsidRPr="00AB6015" w:rsidRDefault="00AB6015" w:rsidP="002F1485">
      <w:pPr>
        <w:spacing w:after="160" w:line="360" w:lineRule="auto"/>
        <w:rPr>
          <w:rFonts w:ascii="Sylfaen" w:eastAsia="Calibri" w:hAnsi="Sylfaen" w:cs="Times New Roman"/>
          <w:shd w:val="clear" w:color="auto" w:fill="FFFFFF"/>
        </w:rPr>
      </w:pPr>
      <w:r w:rsidRPr="00AB6015">
        <w:rPr>
          <w:rFonts w:ascii="Sylfaen" w:eastAsia="Calibri" w:hAnsi="Sylfaen" w:cs="Times New Roman"/>
          <w:shd w:val="clear" w:color="auto" w:fill="FFFFFF"/>
        </w:rPr>
        <w:t>E</w:t>
      </w:r>
      <w:r w:rsidR="00C35615">
        <w:rPr>
          <w:rFonts w:ascii="Sylfaen" w:eastAsia="Calibri" w:hAnsi="Sylfaen" w:cs="Times New Roman"/>
          <w:shd w:val="clear" w:color="auto" w:fill="FFFFFF"/>
        </w:rPr>
        <w:t xml:space="preserve">nderby, P., &amp; Palmer, R. (1983) </w:t>
      </w:r>
      <w:proofErr w:type="spellStart"/>
      <w:r w:rsidR="00C35615">
        <w:rPr>
          <w:rFonts w:ascii="Sylfaen" w:eastAsia="Calibri" w:hAnsi="Sylfaen" w:cs="Times New Roman"/>
          <w:shd w:val="clear" w:color="auto" w:fill="FFFFFF"/>
        </w:rPr>
        <w:t>Frenchay</w:t>
      </w:r>
      <w:proofErr w:type="spellEnd"/>
      <w:r w:rsidR="00C35615">
        <w:rPr>
          <w:rFonts w:ascii="Sylfaen" w:eastAsia="Calibri" w:hAnsi="Sylfaen" w:cs="Times New Roman"/>
          <w:shd w:val="clear" w:color="auto" w:fill="FFFFFF"/>
        </w:rPr>
        <w:t xml:space="preserve"> Dysarthria Assessment.</w:t>
      </w:r>
    </w:p>
    <w:p w14:paraId="33303337" w14:textId="32088672" w:rsidR="00AB6015" w:rsidRPr="00AB6015" w:rsidRDefault="00AB6015" w:rsidP="002F1485">
      <w:pPr>
        <w:spacing w:after="160" w:line="360" w:lineRule="auto"/>
        <w:rPr>
          <w:rFonts w:ascii="Sylfaen" w:eastAsia="Calibri" w:hAnsi="Sylfaen" w:cs="Times New Roman"/>
          <w:shd w:val="clear" w:color="auto" w:fill="FFFFFF"/>
        </w:rPr>
      </w:pPr>
      <w:r w:rsidRPr="00AB6015">
        <w:rPr>
          <w:rFonts w:ascii="Sylfaen" w:eastAsia="Calibri" w:hAnsi="Sylfaen" w:cs="Times New Roman"/>
          <w:shd w:val="clear" w:color="auto" w:fill="FFFFFF"/>
        </w:rPr>
        <w:t xml:space="preserve">Hecht, M., </w:t>
      </w:r>
      <w:proofErr w:type="spellStart"/>
      <w:r w:rsidRPr="00AB6015">
        <w:rPr>
          <w:rFonts w:ascii="Sylfaen" w:eastAsia="Calibri" w:hAnsi="Sylfaen" w:cs="Times New Roman"/>
          <w:shd w:val="clear" w:color="auto" w:fill="FFFFFF"/>
        </w:rPr>
        <w:t>Hillemacher</w:t>
      </w:r>
      <w:proofErr w:type="spellEnd"/>
      <w:r w:rsidRPr="00AB6015">
        <w:rPr>
          <w:rFonts w:ascii="Sylfaen" w:eastAsia="Calibri" w:hAnsi="Sylfaen" w:cs="Times New Roman"/>
          <w:shd w:val="clear" w:color="auto" w:fill="FFFFFF"/>
        </w:rPr>
        <w:t xml:space="preserve">, T., </w:t>
      </w:r>
      <w:proofErr w:type="spellStart"/>
      <w:r w:rsidRPr="00AB6015">
        <w:rPr>
          <w:rFonts w:ascii="Sylfaen" w:eastAsia="Calibri" w:hAnsi="Sylfaen" w:cs="Times New Roman"/>
          <w:shd w:val="clear" w:color="auto" w:fill="FFFFFF"/>
        </w:rPr>
        <w:t>Gräsel</w:t>
      </w:r>
      <w:proofErr w:type="spellEnd"/>
      <w:r w:rsidRPr="00AB6015">
        <w:rPr>
          <w:rFonts w:ascii="Sylfaen" w:eastAsia="Calibri" w:hAnsi="Sylfaen" w:cs="Times New Roman"/>
          <w:shd w:val="clear" w:color="auto" w:fill="FFFFFF"/>
        </w:rPr>
        <w:t xml:space="preserve">, E., </w:t>
      </w:r>
      <w:proofErr w:type="spellStart"/>
      <w:r w:rsidRPr="00AB6015">
        <w:rPr>
          <w:rFonts w:ascii="Sylfaen" w:eastAsia="Calibri" w:hAnsi="Sylfaen" w:cs="Times New Roman"/>
          <w:shd w:val="clear" w:color="auto" w:fill="FFFFFF"/>
        </w:rPr>
        <w:t>Tigges</w:t>
      </w:r>
      <w:proofErr w:type="spellEnd"/>
      <w:r w:rsidRPr="00AB6015">
        <w:rPr>
          <w:rFonts w:ascii="Sylfaen" w:eastAsia="Calibri" w:hAnsi="Sylfaen" w:cs="Times New Roman"/>
          <w:shd w:val="clear" w:color="auto" w:fill="FFFFFF"/>
        </w:rPr>
        <w:t xml:space="preserve">, S., </w:t>
      </w:r>
      <w:proofErr w:type="spellStart"/>
      <w:r w:rsidR="00C35615">
        <w:rPr>
          <w:rFonts w:ascii="Sylfaen" w:eastAsia="Calibri" w:hAnsi="Sylfaen" w:cs="Times New Roman"/>
          <w:shd w:val="clear" w:color="auto" w:fill="FFFFFF"/>
        </w:rPr>
        <w:t>Winterholler</w:t>
      </w:r>
      <w:proofErr w:type="spellEnd"/>
      <w:r w:rsidR="00C35615">
        <w:rPr>
          <w:rFonts w:ascii="Sylfaen" w:eastAsia="Calibri" w:hAnsi="Sylfaen" w:cs="Times New Roman"/>
          <w:shd w:val="clear" w:color="auto" w:fill="FFFFFF"/>
        </w:rPr>
        <w:t xml:space="preserve">, M., </w:t>
      </w:r>
      <w:proofErr w:type="spellStart"/>
      <w:r w:rsidR="00C35615">
        <w:rPr>
          <w:rFonts w:ascii="Sylfaen" w:eastAsia="Calibri" w:hAnsi="Sylfaen" w:cs="Times New Roman"/>
          <w:shd w:val="clear" w:color="auto" w:fill="FFFFFF"/>
        </w:rPr>
        <w:t>Heuss</w:t>
      </w:r>
      <w:proofErr w:type="spellEnd"/>
      <w:r w:rsidR="00C35615">
        <w:rPr>
          <w:rFonts w:ascii="Sylfaen" w:eastAsia="Calibri" w:hAnsi="Sylfaen" w:cs="Times New Roman"/>
          <w:shd w:val="clear" w:color="auto" w:fill="FFFFFF"/>
        </w:rPr>
        <w:t xml:space="preserve">, D., &amp; </w:t>
      </w:r>
      <w:proofErr w:type="spellStart"/>
      <w:r w:rsidR="00C35615">
        <w:rPr>
          <w:rFonts w:ascii="Sylfaen" w:eastAsia="Calibri" w:hAnsi="Sylfaen" w:cs="Times New Roman"/>
          <w:shd w:val="clear" w:color="auto" w:fill="FFFFFF"/>
        </w:rPr>
        <w:t>Neundörfer</w:t>
      </w:r>
      <w:proofErr w:type="spellEnd"/>
      <w:r w:rsidR="00C35615">
        <w:rPr>
          <w:rFonts w:ascii="Sylfaen" w:eastAsia="Calibri" w:hAnsi="Sylfaen" w:cs="Times New Roman"/>
          <w:shd w:val="clear" w:color="auto" w:fill="FFFFFF"/>
        </w:rPr>
        <w:t>, B. (2002)</w:t>
      </w:r>
      <w:r w:rsidRPr="00AB6015">
        <w:rPr>
          <w:rFonts w:ascii="Sylfaen" w:eastAsia="Calibri" w:hAnsi="Sylfaen" w:cs="Times New Roman"/>
          <w:shd w:val="clear" w:color="auto" w:fill="FFFFFF"/>
        </w:rPr>
        <w:t xml:space="preserve"> </w:t>
      </w:r>
      <w:r w:rsidR="00C35615">
        <w:rPr>
          <w:rFonts w:ascii="Sylfaen" w:eastAsia="Calibri" w:hAnsi="Sylfaen" w:cs="Times New Roman"/>
          <w:shd w:val="clear" w:color="auto" w:fill="FFFFFF"/>
        </w:rPr>
        <w:t>‘</w:t>
      </w:r>
      <w:r w:rsidRPr="00AB6015">
        <w:rPr>
          <w:rFonts w:ascii="Sylfaen" w:eastAsia="Calibri" w:hAnsi="Sylfaen" w:cs="Times New Roman"/>
          <w:shd w:val="clear" w:color="auto" w:fill="FFFFFF"/>
        </w:rPr>
        <w:t>Subjective experience</w:t>
      </w:r>
      <w:r w:rsidR="00C35615">
        <w:rPr>
          <w:rFonts w:ascii="Sylfaen" w:eastAsia="Calibri" w:hAnsi="Sylfaen" w:cs="Times New Roman"/>
          <w:shd w:val="clear" w:color="auto" w:fill="FFFFFF"/>
        </w:rPr>
        <w:t xml:space="preserve"> and coping in ALS’,</w:t>
      </w:r>
      <w:r w:rsidRPr="00AB6015">
        <w:rPr>
          <w:rFonts w:ascii="Sylfaen" w:eastAsia="Calibri" w:hAnsi="Sylfaen" w:cs="Times New Roman"/>
          <w:shd w:val="clear" w:color="auto" w:fill="FFFFFF"/>
        </w:rPr>
        <w:t> </w:t>
      </w:r>
      <w:r w:rsidRPr="00AB6015">
        <w:rPr>
          <w:rFonts w:ascii="Sylfaen" w:eastAsia="Calibri" w:hAnsi="Sylfaen" w:cs="Times New Roman"/>
          <w:i/>
          <w:iCs/>
          <w:shd w:val="clear" w:color="auto" w:fill="FFFFFF"/>
        </w:rPr>
        <w:t>Amyotrophic Lateral Sclerosis and Other Motor Neuron Disorders</w:t>
      </w:r>
      <w:r w:rsidRPr="00AB6015">
        <w:rPr>
          <w:rFonts w:ascii="Sylfaen" w:eastAsia="Calibri" w:hAnsi="Sylfaen" w:cs="Times New Roman"/>
          <w:shd w:val="clear" w:color="auto" w:fill="FFFFFF"/>
        </w:rPr>
        <w:t>, </w:t>
      </w:r>
      <w:r w:rsidRPr="00C35615">
        <w:rPr>
          <w:rFonts w:ascii="Sylfaen" w:eastAsia="Calibri" w:hAnsi="Sylfaen" w:cs="Times New Roman"/>
          <w:iCs/>
          <w:shd w:val="clear" w:color="auto" w:fill="FFFFFF"/>
        </w:rPr>
        <w:t>3</w:t>
      </w:r>
      <w:r w:rsidRPr="00AB6015">
        <w:rPr>
          <w:rFonts w:ascii="Sylfaen" w:eastAsia="Calibri" w:hAnsi="Sylfaen" w:cs="Times New Roman"/>
          <w:shd w:val="clear" w:color="auto" w:fill="FFFFFF"/>
        </w:rPr>
        <w:t>(4), pp. 225-231.</w:t>
      </w:r>
    </w:p>
    <w:p w14:paraId="5B299347" w14:textId="4187B497" w:rsidR="00AB6015" w:rsidRPr="00AB6015" w:rsidRDefault="00AB6015" w:rsidP="002F1485">
      <w:pPr>
        <w:spacing w:after="160" w:line="360" w:lineRule="auto"/>
        <w:rPr>
          <w:rFonts w:ascii="Sylfaen" w:eastAsia="Calibri" w:hAnsi="Sylfaen" w:cs="Times New Roman"/>
          <w:shd w:val="clear" w:color="auto" w:fill="FFFFFF"/>
        </w:rPr>
      </w:pPr>
      <w:r w:rsidRPr="00AB6015">
        <w:rPr>
          <w:rFonts w:ascii="Sylfaen" w:eastAsia="Calibri" w:hAnsi="Sylfaen" w:cs="Times New Roman"/>
          <w:shd w:val="clear" w:color="auto" w:fill="FFFFFF"/>
        </w:rPr>
        <w:t>Heffernan, C., Jenkinson, C., Holmes, T., Feder, G</w:t>
      </w:r>
      <w:r w:rsidR="00C35615">
        <w:rPr>
          <w:rFonts w:ascii="Sylfaen" w:eastAsia="Calibri" w:hAnsi="Sylfaen" w:cs="Times New Roman"/>
          <w:shd w:val="clear" w:color="auto" w:fill="FFFFFF"/>
        </w:rPr>
        <w:t>., Kupfer, R., Leigh, P. N. &amp; Sidhu, P. (2004) ‘</w:t>
      </w:r>
      <w:r w:rsidRPr="00AB6015">
        <w:rPr>
          <w:rFonts w:ascii="Sylfaen" w:eastAsia="Calibri" w:hAnsi="Sylfaen" w:cs="Times New Roman"/>
          <w:shd w:val="clear" w:color="auto" w:fill="FFFFFF"/>
        </w:rPr>
        <w:t>Nutritional management in MND/ALS patients: an evi</w:t>
      </w:r>
      <w:r w:rsidR="00C35615">
        <w:rPr>
          <w:rFonts w:ascii="Sylfaen" w:eastAsia="Calibri" w:hAnsi="Sylfaen" w:cs="Times New Roman"/>
          <w:shd w:val="clear" w:color="auto" w:fill="FFFFFF"/>
        </w:rPr>
        <w:t xml:space="preserve">dence based review’, </w:t>
      </w:r>
      <w:r w:rsidRPr="00AB6015">
        <w:rPr>
          <w:rFonts w:ascii="Sylfaen" w:eastAsia="Calibri" w:hAnsi="Sylfaen" w:cs="Times New Roman"/>
          <w:i/>
          <w:iCs/>
          <w:shd w:val="clear" w:color="auto" w:fill="FFFFFF"/>
        </w:rPr>
        <w:t>Amyotrophic Lateral Sclerosis and Other Motor Neuron Disorders</w:t>
      </w:r>
      <w:r w:rsidRPr="00AB6015">
        <w:rPr>
          <w:rFonts w:ascii="Sylfaen" w:eastAsia="Calibri" w:hAnsi="Sylfaen" w:cs="Times New Roman"/>
          <w:shd w:val="clear" w:color="auto" w:fill="FFFFFF"/>
        </w:rPr>
        <w:t>, </w:t>
      </w:r>
      <w:r w:rsidRPr="00C35615">
        <w:rPr>
          <w:rFonts w:ascii="Sylfaen" w:eastAsia="Calibri" w:hAnsi="Sylfaen" w:cs="Times New Roman"/>
          <w:iCs/>
          <w:shd w:val="clear" w:color="auto" w:fill="FFFFFF"/>
        </w:rPr>
        <w:t>5</w:t>
      </w:r>
      <w:r w:rsidRPr="00AB6015">
        <w:rPr>
          <w:rFonts w:ascii="Sylfaen" w:eastAsia="Calibri" w:hAnsi="Sylfaen" w:cs="Times New Roman"/>
          <w:shd w:val="clear" w:color="auto" w:fill="FFFFFF"/>
        </w:rPr>
        <w:t>(2), pp. 72-83.</w:t>
      </w:r>
    </w:p>
    <w:p w14:paraId="650403E0" w14:textId="36339DB4" w:rsidR="00AB6015" w:rsidRPr="00AB6015" w:rsidRDefault="00AB6015" w:rsidP="002F1485">
      <w:pPr>
        <w:spacing w:after="160" w:line="360" w:lineRule="auto"/>
        <w:rPr>
          <w:rFonts w:ascii="Sylfaen" w:eastAsia="Calibri" w:hAnsi="Sylfaen" w:cs="Times New Roman"/>
          <w:shd w:val="clear" w:color="auto" w:fill="FFFFFF"/>
        </w:rPr>
      </w:pPr>
      <w:proofErr w:type="spellStart"/>
      <w:r w:rsidRPr="00AB6015">
        <w:rPr>
          <w:rFonts w:ascii="Sylfaen" w:eastAsia="Calibri" w:hAnsi="Sylfaen" w:cs="Times New Roman"/>
          <w:shd w:val="clear" w:color="auto" w:fill="FFFFFF"/>
        </w:rPr>
        <w:t>Hogden</w:t>
      </w:r>
      <w:proofErr w:type="spellEnd"/>
      <w:r w:rsidRPr="00AB6015">
        <w:rPr>
          <w:rFonts w:ascii="Sylfaen" w:eastAsia="Calibri" w:hAnsi="Sylfaen" w:cs="Times New Roman"/>
          <w:shd w:val="clear" w:color="auto" w:fill="FFFFFF"/>
        </w:rPr>
        <w:t xml:space="preserve">, A., Greenfield, D., </w:t>
      </w:r>
      <w:proofErr w:type="spellStart"/>
      <w:r w:rsidRPr="00AB6015">
        <w:rPr>
          <w:rFonts w:ascii="Sylfaen" w:eastAsia="Calibri" w:hAnsi="Sylfaen" w:cs="Times New Roman"/>
          <w:shd w:val="clear" w:color="auto" w:fill="FFFFFF"/>
        </w:rPr>
        <w:t>Nug</w:t>
      </w:r>
      <w:r w:rsidR="00C35615">
        <w:rPr>
          <w:rFonts w:ascii="Sylfaen" w:eastAsia="Calibri" w:hAnsi="Sylfaen" w:cs="Times New Roman"/>
          <w:shd w:val="clear" w:color="auto" w:fill="FFFFFF"/>
        </w:rPr>
        <w:t>us</w:t>
      </w:r>
      <w:proofErr w:type="spellEnd"/>
      <w:r w:rsidR="00C35615">
        <w:rPr>
          <w:rFonts w:ascii="Sylfaen" w:eastAsia="Calibri" w:hAnsi="Sylfaen" w:cs="Times New Roman"/>
          <w:shd w:val="clear" w:color="auto" w:fill="FFFFFF"/>
        </w:rPr>
        <w:t>, P., &amp; Kiernan, M. C. (2012)</w:t>
      </w:r>
      <w:r w:rsidRPr="00AB6015">
        <w:rPr>
          <w:rFonts w:ascii="Sylfaen" w:eastAsia="Calibri" w:hAnsi="Sylfaen" w:cs="Times New Roman"/>
          <w:shd w:val="clear" w:color="auto" w:fill="FFFFFF"/>
        </w:rPr>
        <w:t xml:space="preserve"> </w:t>
      </w:r>
      <w:r w:rsidR="00C35615">
        <w:rPr>
          <w:rFonts w:ascii="Sylfaen" w:eastAsia="Calibri" w:hAnsi="Sylfaen" w:cs="Times New Roman"/>
          <w:shd w:val="clear" w:color="auto" w:fill="FFFFFF"/>
        </w:rPr>
        <w:t>‘</w:t>
      </w:r>
      <w:r w:rsidRPr="00AB6015">
        <w:rPr>
          <w:rFonts w:ascii="Sylfaen" w:eastAsia="Calibri" w:hAnsi="Sylfaen" w:cs="Times New Roman"/>
          <w:shd w:val="clear" w:color="auto" w:fill="FFFFFF"/>
        </w:rPr>
        <w:t>What influences patient decision-making in amyotrophic lateral sclerosis multidisciplinary care? A</w:t>
      </w:r>
      <w:r w:rsidR="00C35615">
        <w:rPr>
          <w:rFonts w:ascii="Sylfaen" w:eastAsia="Calibri" w:hAnsi="Sylfaen" w:cs="Times New Roman"/>
          <w:shd w:val="clear" w:color="auto" w:fill="FFFFFF"/>
        </w:rPr>
        <w:t xml:space="preserve"> study of patient perspectives’, </w:t>
      </w:r>
      <w:r w:rsidRPr="00AB6015">
        <w:rPr>
          <w:rFonts w:ascii="Sylfaen" w:eastAsia="Calibri" w:hAnsi="Sylfaen" w:cs="Times New Roman"/>
          <w:i/>
          <w:iCs/>
          <w:shd w:val="clear" w:color="auto" w:fill="FFFFFF"/>
        </w:rPr>
        <w:t>Patient Prefer Adherence</w:t>
      </w:r>
      <w:r w:rsidRPr="00AB6015">
        <w:rPr>
          <w:rFonts w:ascii="Sylfaen" w:eastAsia="Calibri" w:hAnsi="Sylfaen" w:cs="Times New Roman"/>
          <w:shd w:val="clear" w:color="auto" w:fill="FFFFFF"/>
        </w:rPr>
        <w:t>, </w:t>
      </w:r>
      <w:r w:rsidRPr="00C35615">
        <w:rPr>
          <w:rFonts w:ascii="Sylfaen" w:eastAsia="Calibri" w:hAnsi="Sylfaen" w:cs="Times New Roman"/>
          <w:iCs/>
          <w:shd w:val="clear" w:color="auto" w:fill="FFFFFF"/>
        </w:rPr>
        <w:t>6</w:t>
      </w:r>
      <w:r w:rsidRPr="00C35615">
        <w:rPr>
          <w:rFonts w:ascii="Sylfaen" w:eastAsia="Calibri" w:hAnsi="Sylfaen" w:cs="Times New Roman"/>
          <w:shd w:val="clear" w:color="auto" w:fill="FFFFFF"/>
        </w:rPr>
        <w:t>,</w:t>
      </w:r>
      <w:r w:rsidRPr="00AB6015">
        <w:rPr>
          <w:rFonts w:ascii="Sylfaen" w:eastAsia="Calibri" w:hAnsi="Sylfaen" w:cs="Times New Roman"/>
          <w:shd w:val="clear" w:color="auto" w:fill="FFFFFF"/>
        </w:rPr>
        <w:t xml:space="preserve"> pp. 829-838.</w:t>
      </w:r>
    </w:p>
    <w:p w14:paraId="66159698" w14:textId="4401628B" w:rsidR="00AB6015" w:rsidRPr="00AB6015" w:rsidRDefault="00AB6015" w:rsidP="002F1485">
      <w:pPr>
        <w:spacing w:after="160" w:line="360" w:lineRule="auto"/>
        <w:rPr>
          <w:rFonts w:ascii="Sylfaen" w:eastAsia="Calibri" w:hAnsi="Sylfaen" w:cs="Times New Roman"/>
          <w:shd w:val="clear" w:color="auto" w:fill="FFFFFF"/>
        </w:rPr>
      </w:pPr>
      <w:proofErr w:type="spellStart"/>
      <w:r w:rsidRPr="00AB6015">
        <w:rPr>
          <w:rFonts w:ascii="Sylfaen" w:eastAsia="Calibri" w:hAnsi="Sylfaen" w:cs="Times New Roman"/>
          <w:shd w:val="clear" w:color="auto" w:fill="FFFFFF"/>
        </w:rPr>
        <w:t>Hoppitt</w:t>
      </w:r>
      <w:proofErr w:type="spellEnd"/>
      <w:r w:rsidRPr="00AB6015">
        <w:rPr>
          <w:rFonts w:ascii="Sylfaen" w:eastAsia="Calibri" w:hAnsi="Sylfaen" w:cs="Times New Roman"/>
          <w:shd w:val="clear" w:color="auto" w:fill="FFFFFF"/>
        </w:rPr>
        <w:t>, T., Pall, H., Calvert, M.,</w:t>
      </w:r>
      <w:r w:rsidR="00C35615">
        <w:rPr>
          <w:rFonts w:ascii="Sylfaen" w:eastAsia="Calibri" w:hAnsi="Sylfaen" w:cs="Times New Roman"/>
          <w:shd w:val="clear" w:color="auto" w:fill="FFFFFF"/>
        </w:rPr>
        <w:t xml:space="preserve"> Gill, P., Yao, L., Ramsay, J. &amp; </w:t>
      </w:r>
      <w:proofErr w:type="spellStart"/>
      <w:r w:rsidR="00C35615">
        <w:rPr>
          <w:rFonts w:ascii="Sylfaen" w:eastAsia="Calibri" w:hAnsi="Sylfaen" w:cs="Times New Roman"/>
          <w:shd w:val="clear" w:color="auto" w:fill="FFFFFF"/>
        </w:rPr>
        <w:t>Sackley</w:t>
      </w:r>
      <w:proofErr w:type="spellEnd"/>
      <w:r w:rsidR="00C35615">
        <w:rPr>
          <w:rFonts w:ascii="Sylfaen" w:eastAsia="Calibri" w:hAnsi="Sylfaen" w:cs="Times New Roman"/>
          <w:shd w:val="clear" w:color="auto" w:fill="FFFFFF"/>
        </w:rPr>
        <w:t>, C. (2011) ‘</w:t>
      </w:r>
      <w:r w:rsidRPr="00AB6015">
        <w:rPr>
          <w:rFonts w:ascii="Sylfaen" w:eastAsia="Calibri" w:hAnsi="Sylfaen" w:cs="Times New Roman"/>
          <w:shd w:val="clear" w:color="auto" w:fill="FFFFFF"/>
        </w:rPr>
        <w:t>A systematic review of the incidence and prevalence of long-term neurological cond</w:t>
      </w:r>
      <w:r w:rsidR="00C35615">
        <w:rPr>
          <w:rFonts w:ascii="Sylfaen" w:eastAsia="Calibri" w:hAnsi="Sylfaen" w:cs="Times New Roman"/>
          <w:shd w:val="clear" w:color="auto" w:fill="FFFFFF"/>
        </w:rPr>
        <w:t>itions in the UK’,</w:t>
      </w:r>
      <w:r w:rsidRPr="00AB6015">
        <w:rPr>
          <w:rFonts w:ascii="Sylfaen" w:eastAsia="Calibri" w:hAnsi="Sylfaen" w:cs="Times New Roman"/>
          <w:shd w:val="clear" w:color="auto" w:fill="FFFFFF"/>
        </w:rPr>
        <w:t> </w:t>
      </w:r>
      <w:proofErr w:type="spellStart"/>
      <w:r w:rsidRPr="00AB6015">
        <w:rPr>
          <w:rFonts w:ascii="Sylfaen" w:eastAsia="Calibri" w:hAnsi="Sylfaen" w:cs="Times New Roman"/>
          <w:i/>
          <w:iCs/>
          <w:shd w:val="clear" w:color="auto" w:fill="FFFFFF"/>
        </w:rPr>
        <w:t>Neuroepidemiology</w:t>
      </w:r>
      <w:proofErr w:type="spellEnd"/>
      <w:r w:rsidRPr="00AB6015">
        <w:rPr>
          <w:rFonts w:ascii="Sylfaen" w:eastAsia="Calibri" w:hAnsi="Sylfaen" w:cs="Times New Roman"/>
          <w:shd w:val="clear" w:color="auto" w:fill="FFFFFF"/>
        </w:rPr>
        <w:t>, </w:t>
      </w:r>
      <w:r w:rsidRPr="00C35615">
        <w:rPr>
          <w:rFonts w:ascii="Sylfaen" w:eastAsia="Calibri" w:hAnsi="Sylfaen" w:cs="Times New Roman"/>
          <w:iCs/>
          <w:shd w:val="clear" w:color="auto" w:fill="FFFFFF"/>
        </w:rPr>
        <w:t>36</w:t>
      </w:r>
      <w:r w:rsidRPr="00AB6015">
        <w:rPr>
          <w:rFonts w:ascii="Sylfaen" w:eastAsia="Calibri" w:hAnsi="Sylfaen" w:cs="Times New Roman"/>
          <w:shd w:val="clear" w:color="auto" w:fill="FFFFFF"/>
        </w:rPr>
        <w:t>(1), pp. 19-28.</w:t>
      </w:r>
    </w:p>
    <w:p w14:paraId="653F2679" w14:textId="74266DCD" w:rsidR="00AB6015" w:rsidRPr="00AB6015" w:rsidRDefault="00AB6015" w:rsidP="002F1485">
      <w:pPr>
        <w:spacing w:after="160" w:line="360" w:lineRule="auto"/>
        <w:rPr>
          <w:rFonts w:ascii="Sylfaen" w:eastAsia="Calibri" w:hAnsi="Sylfaen" w:cs="Times New Roman"/>
          <w:shd w:val="clear" w:color="auto" w:fill="FFFFFF"/>
        </w:rPr>
      </w:pPr>
      <w:proofErr w:type="spellStart"/>
      <w:r w:rsidRPr="00AB6015">
        <w:rPr>
          <w:rFonts w:ascii="Sylfaen" w:eastAsia="Calibri" w:hAnsi="Sylfaen" w:cs="Times New Roman"/>
          <w:shd w:val="clear" w:color="auto" w:fill="FFFFFF"/>
        </w:rPr>
        <w:t>Körner</w:t>
      </w:r>
      <w:proofErr w:type="spellEnd"/>
      <w:r w:rsidRPr="00AB6015">
        <w:rPr>
          <w:rFonts w:ascii="Sylfaen" w:eastAsia="Calibri" w:hAnsi="Sylfaen" w:cs="Times New Roman"/>
          <w:shd w:val="clear" w:color="auto" w:fill="FFFFFF"/>
        </w:rPr>
        <w:t xml:space="preserve">, S., Hendricks, M., </w:t>
      </w:r>
      <w:proofErr w:type="spellStart"/>
      <w:r w:rsidRPr="00AB6015">
        <w:rPr>
          <w:rFonts w:ascii="Sylfaen" w:eastAsia="Calibri" w:hAnsi="Sylfaen" w:cs="Times New Roman"/>
          <w:shd w:val="clear" w:color="auto" w:fill="FFFFFF"/>
        </w:rPr>
        <w:t>Kollewe</w:t>
      </w:r>
      <w:proofErr w:type="spellEnd"/>
      <w:r w:rsidRPr="00AB6015">
        <w:rPr>
          <w:rFonts w:ascii="Sylfaen" w:eastAsia="Calibri" w:hAnsi="Sylfaen" w:cs="Times New Roman"/>
          <w:shd w:val="clear" w:color="auto" w:fill="FFFFFF"/>
        </w:rPr>
        <w:t xml:space="preserve">, K., Zapf, A., </w:t>
      </w:r>
      <w:proofErr w:type="spellStart"/>
      <w:r w:rsidRPr="00AB6015">
        <w:rPr>
          <w:rFonts w:ascii="Sylfaen" w:eastAsia="Calibri" w:hAnsi="Sylfaen" w:cs="Times New Roman"/>
          <w:shd w:val="clear" w:color="auto" w:fill="FFFFFF"/>
        </w:rPr>
        <w:t>Dengler</w:t>
      </w:r>
      <w:proofErr w:type="spellEnd"/>
      <w:r w:rsidRPr="00AB6015">
        <w:rPr>
          <w:rFonts w:ascii="Sylfaen" w:eastAsia="Calibri" w:hAnsi="Sylfaen" w:cs="Times New Roman"/>
          <w:shd w:val="clear" w:color="auto" w:fill="FFFFFF"/>
        </w:rPr>
        <w:t>, R.,</w:t>
      </w:r>
      <w:r w:rsidR="00C35615">
        <w:rPr>
          <w:rFonts w:ascii="Sylfaen" w:eastAsia="Calibri" w:hAnsi="Sylfaen" w:cs="Times New Roman"/>
          <w:shd w:val="clear" w:color="auto" w:fill="FFFFFF"/>
        </w:rPr>
        <w:t xml:space="preserve"> </w:t>
      </w:r>
      <w:proofErr w:type="spellStart"/>
      <w:r w:rsidR="00C35615">
        <w:rPr>
          <w:rFonts w:ascii="Sylfaen" w:eastAsia="Calibri" w:hAnsi="Sylfaen" w:cs="Times New Roman"/>
          <w:shd w:val="clear" w:color="auto" w:fill="FFFFFF"/>
        </w:rPr>
        <w:t>Silani</w:t>
      </w:r>
      <w:proofErr w:type="spellEnd"/>
      <w:r w:rsidR="00C35615">
        <w:rPr>
          <w:rFonts w:ascii="Sylfaen" w:eastAsia="Calibri" w:hAnsi="Sylfaen" w:cs="Times New Roman"/>
          <w:shd w:val="clear" w:color="auto" w:fill="FFFFFF"/>
        </w:rPr>
        <w:t>, V., &amp; Petri, S. (2013)</w:t>
      </w:r>
      <w:r w:rsidRPr="00AB6015">
        <w:rPr>
          <w:rFonts w:ascii="Sylfaen" w:eastAsia="Calibri" w:hAnsi="Sylfaen" w:cs="Times New Roman"/>
          <w:shd w:val="clear" w:color="auto" w:fill="FFFFFF"/>
        </w:rPr>
        <w:t xml:space="preserve"> </w:t>
      </w:r>
      <w:r w:rsidR="00C35615">
        <w:rPr>
          <w:rFonts w:ascii="Sylfaen" w:eastAsia="Calibri" w:hAnsi="Sylfaen" w:cs="Times New Roman"/>
          <w:shd w:val="clear" w:color="auto" w:fill="FFFFFF"/>
        </w:rPr>
        <w:t>‘</w:t>
      </w:r>
      <w:r w:rsidRPr="00AB6015">
        <w:rPr>
          <w:rFonts w:ascii="Sylfaen" w:eastAsia="Calibri" w:hAnsi="Sylfaen" w:cs="Times New Roman"/>
          <w:shd w:val="clear" w:color="auto" w:fill="FFFFFF"/>
        </w:rPr>
        <w:t>Weight loss, dysphagia and supplement intake in patients with amyotrophic lateral sclerosis (ALS): impact on quality o</w:t>
      </w:r>
      <w:r w:rsidR="00C35615">
        <w:rPr>
          <w:rFonts w:ascii="Sylfaen" w:eastAsia="Calibri" w:hAnsi="Sylfaen" w:cs="Times New Roman"/>
          <w:shd w:val="clear" w:color="auto" w:fill="FFFFFF"/>
        </w:rPr>
        <w:t xml:space="preserve">f life and therapeutic options’, </w:t>
      </w:r>
      <w:r w:rsidRPr="00AB6015">
        <w:rPr>
          <w:rFonts w:ascii="Sylfaen" w:eastAsia="Calibri" w:hAnsi="Sylfaen" w:cs="Times New Roman"/>
          <w:i/>
          <w:iCs/>
          <w:shd w:val="clear" w:color="auto" w:fill="FFFFFF"/>
        </w:rPr>
        <w:t>BMC neurology</w:t>
      </w:r>
      <w:r w:rsidRPr="00AB6015">
        <w:rPr>
          <w:rFonts w:ascii="Sylfaen" w:eastAsia="Calibri" w:hAnsi="Sylfaen" w:cs="Times New Roman"/>
          <w:shd w:val="clear" w:color="auto" w:fill="FFFFFF"/>
        </w:rPr>
        <w:t>, </w:t>
      </w:r>
      <w:r w:rsidRPr="00C35615">
        <w:rPr>
          <w:rFonts w:ascii="Sylfaen" w:eastAsia="Calibri" w:hAnsi="Sylfaen" w:cs="Times New Roman"/>
          <w:iCs/>
          <w:shd w:val="clear" w:color="auto" w:fill="FFFFFF"/>
        </w:rPr>
        <w:t>13</w:t>
      </w:r>
      <w:r w:rsidR="00C35615">
        <w:rPr>
          <w:rFonts w:ascii="Sylfaen" w:eastAsia="Calibri" w:hAnsi="Sylfaen" w:cs="Times New Roman"/>
          <w:shd w:val="clear" w:color="auto" w:fill="FFFFFF"/>
        </w:rPr>
        <w:t>(1), p</w:t>
      </w:r>
      <w:r w:rsidRPr="00AB6015">
        <w:rPr>
          <w:rFonts w:ascii="Sylfaen" w:eastAsia="Calibri" w:hAnsi="Sylfaen" w:cs="Times New Roman"/>
          <w:shd w:val="clear" w:color="auto" w:fill="FFFFFF"/>
        </w:rPr>
        <w:t>. 84.</w:t>
      </w:r>
    </w:p>
    <w:p w14:paraId="42B3E751" w14:textId="4FD2799B" w:rsidR="00AB6015" w:rsidRPr="00AB6015" w:rsidRDefault="00AB6015" w:rsidP="002F1485">
      <w:pPr>
        <w:spacing w:after="160" w:line="360" w:lineRule="auto"/>
        <w:rPr>
          <w:rFonts w:ascii="Sylfaen" w:eastAsia="Calibri" w:hAnsi="Sylfaen" w:cs="Times New Roman"/>
          <w:shd w:val="clear" w:color="auto" w:fill="FFFFFF"/>
        </w:rPr>
      </w:pPr>
      <w:proofErr w:type="spellStart"/>
      <w:r w:rsidRPr="00AB6015">
        <w:rPr>
          <w:rFonts w:ascii="Sylfaen" w:eastAsia="Calibri" w:hAnsi="Sylfaen" w:cs="Times New Roman"/>
          <w:shd w:val="clear" w:color="auto" w:fill="FFFFFF"/>
        </w:rPr>
        <w:t>Langmore</w:t>
      </w:r>
      <w:proofErr w:type="spellEnd"/>
      <w:r w:rsidRPr="00AB6015">
        <w:rPr>
          <w:rFonts w:ascii="Sylfaen" w:eastAsia="Calibri" w:hAnsi="Sylfaen" w:cs="Times New Roman"/>
          <w:shd w:val="clear" w:color="auto" w:fill="FFFFFF"/>
        </w:rPr>
        <w:t xml:space="preserve">, S. E., </w:t>
      </w:r>
      <w:proofErr w:type="spellStart"/>
      <w:r w:rsidRPr="00AB6015">
        <w:rPr>
          <w:rFonts w:ascii="Sylfaen" w:eastAsia="Calibri" w:hAnsi="Sylfaen" w:cs="Times New Roman"/>
          <w:shd w:val="clear" w:color="auto" w:fill="FFFFFF"/>
        </w:rPr>
        <w:t>Terpenning</w:t>
      </w:r>
      <w:proofErr w:type="spellEnd"/>
      <w:r w:rsidRPr="00AB6015">
        <w:rPr>
          <w:rFonts w:ascii="Sylfaen" w:eastAsia="Calibri" w:hAnsi="Sylfaen" w:cs="Times New Roman"/>
          <w:shd w:val="clear" w:color="auto" w:fill="FFFFFF"/>
        </w:rPr>
        <w:t xml:space="preserve">, M. S., </w:t>
      </w:r>
      <w:proofErr w:type="spellStart"/>
      <w:r w:rsidRPr="00AB6015">
        <w:rPr>
          <w:rFonts w:ascii="Sylfaen" w:eastAsia="Calibri" w:hAnsi="Sylfaen" w:cs="Times New Roman"/>
          <w:shd w:val="clear" w:color="auto" w:fill="FFFFFF"/>
        </w:rPr>
        <w:t>Schork</w:t>
      </w:r>
      <w:proofErr w:type="spellEnd"/>
      <w:r w:rsidRPr="00AB6015">
        <w:rPr>
          <w:rFonts w:ascii="Sylfaen" w:eastAsia="Calibri" w:hAnsi="Sylfaen" w:cs="Times New Roman"/>
          <w:shd w:val="clear" w:color="auto" w:fill="FFFFFF"/>
        </w:rPr>
        <w:t>, A., Chen, Y., Murray, J. T., Lopat</w:t>
      </w:r>
      <w:r w:rsidR="00C35615">
        <w:rPr>
          <w:rFonts w:ascii="Sylfaen" w:eastAsia="Calibri" w:hAnsi="Sylfaen" w:cs="Times New Roman"/>
          <w:shd w:val="clear" w:color="auto" w:fill="FFFFFF"/>
        </w:rPr>
        <w:t xml:space="preserve">in, D., &amp; </w:t>
      </w:r>
      <w:proofErr w:type="spellStart"/>
      <w:r w:rsidR="00C35615">
        <w:rPr>
          <w:rFonts w:ascii="Sylfaen" w:eastAsia="Calibri" w:hAnsi="Sylfaen" w:cs="Times New Roman"/>
          <w:shd w:val="clear" w:color="auto" w:fill="FFFFFF"/>
        </w:rPr>
        <w:t>Loesche</w:t>
      </w:r>
      <w:proofErr w:type="spellEnd"/>
      <w:r w:rsidR="00C35615">
        <w:rPr>
          <w:rFonts w:ascii="Sylfaen" w:eastAsia="Calibri" w:hAnsi="Sylfaen" w:cs="Times New Roman"/>
          <w:shd w:val="clear" w:color="auto" w:fill="FFFFFF"/>
        </w:rPr>
        <w:t>, W. J. (1998)</w:t>
      </w:r>
      <w:r w:rsidRPr="00AB6015">
        <w:rPr>
          <w:rFonts w:ascii="Sylfaen" w:eastAsia="Calibri" w:hAnsi="Sylfaen" w:cs="Times New Roman"/>
          <w:shd w:val="clear" w:color="auto" w:fill="FFFFFF"/>
        </w:rPr>
        <w:t xml:space="preserve"> </w:t>
      </w:r>
      <w:r w:rsidR="00C35615">
        <w:rPr>
          <w:rFonts w:ascii="Sylfaen" w:eastAsia="Calibri" w:hAnsi="Sylfaen" w:cs="Times New Roman"/>
          <w:shd w:val="clear" w:color="auto" w:fill="FFFFFF"/>
        </w:rPr>
        <w:t>‘</w:t>
      </w:r>
      <w:r w:rsidRPr="00AB6015">
        <w:rPr>
          <w:rFonts w:ascii="Sylfaen" w:eastAsia="Calibri" w:hAnsi="Sylfaen" w:cs="Times New Roman"/>
          <w:shd w:val="clear" w:color="auto" w:fill="FFFFFF"/>
        </w:rPr>
        <w:t>Predictors of aspiration pneumon</w:t>
      </w:r>
      <w:r w:rsidR="00C35615">
        <w:rPr>
          <w:rFonts w:ascii="Sylfaen" w:eastAsia="Calibri" w:hAnsi="Sylfaen" w:cs="Times New Roman"/>
          <w:shd w:val="clear" w:color="auto" w:fill="FFFFFF"/>
        </w:rPr>
        <w:t>ia: how important is dysphagia?</w:t>
      </w:r>
      <w:proofErr w:type="gramStart"/>
      <w:r w:rsidR="00C35615">
        <w:rPr>
          <w:rFonts w:ascii="Sylfaen" w:eastAsia="Calibri" w:hAnsi="Sylfaen" w:cs="Times New Roman"/>
          <w:shd w:val="clear" w:color="auto" w:fill="FFFFFF"/>
        </w:rPr>
        <w:t>’,</w:t>
      </w:r>
      <w:proofErr w:type="gramEnd"/>
      <w:r w:rsidRPr="00AB6015">
        <w:rPr>
          <w:rFonts w:ascii="Sylfaen" w:eastAsia="Calibri" w:hAnsi="Sylfaen" w:cs="Times New Roman"/>
          <w:shd w:val="clear" w:color="auto" w:fill="FFFFFF"/>
        </w:rPr>
        <w:t> </w:t>
      </w:r>
      <w:r w:rsidRPr="00AB6015">
        <w:rPr>
          <w:rFonts w:ascii="Sylfaen" w:eastAsia="Calibri" w:hAnsi="Sylfaen" w:cs="Times New Roman"/>
          <w:i/>
          <w:iCs/>
          <w:shd w:val="clear" w:color="auto" w:fill="FFFFFF"/>
        </w:rPr>
        <w:t>Dysphagia</w:t>
      </w:r>
      <w:r w:rsidRPr="00AB6015">
        <w:rPr>
          <w:rFonts w:ascii="Sylfaen" w:eastAsia="Calibri" w:hAnsi="Sylfaen" w:cs="Times New Roman"/>
          <w:shd w:val="clear" w:color="auto" w:fill="FFFFFF"/>
        </w:rPr>
        <w:t>, </w:t>
      </w:r>
      <w:r w:rsidRPr="00C35615">
        <w:rPr>
          <w:rFonts w:ascii="Sylfaen" w:eastAsia="Calibri" w:hAnsi="Sylfaen" w:cs="Times New Roman"/>
          <w:iCs/>
          <w:shd w:val="clear" w:color="auto" w:fill="FFFFFF"/>
        </w:rPr>
        <w:t>13</w:t>
      </w:r>
      <w:r w:rsidRPr="00AB6015">
        <w:rPr>
          <w:rFonts w:ascii="Sylfaen" w:eastAsia="Calibri" w:hAnsi="Sylfaen" w:cs="Times New Roman"/>
          <w:shd w:val="clear" w:color="auto" w:fill="FFFFFF"/>
        </w:rPr>
        <w:t>(2), pp. 69-81.</w:t>
      </w:r>
    </w:p>
    <w:p w14:paraId="0ABDF5D5" w14:textId="1C385355" w:rsidR="00AB6015" w:rsidRPr="00AB6015" w:rsidRDefault="00AB6015" w:rsidP="002F1485">
      <w:pPr>
        <w:spacing w:after="160" w:line="360" w:lineRule="auto"/>
        <w:rPr>
          <w:rFonts w:ascii="Sylfaen" w:eastAsia="Calibri" w:hAnsi="Sylfaen" w:cs="Times New Roman"/>
          <w:shd w:val="clear" w:color="auto" w:fill="FFFFFF"/>
        </w:rPr>
      </w:pPr>
      <w:r w:rsidRPr="00AB6015">
        <w:rPr>
          <w:rFonts w:ascii="Sylfaen" w:eastAsia="Calibri" w:hAnsi="Sylfaen" w:cs="Times New Roman"/>
          <w:shd w:val="clear" w:color="auto" w:fill="FFFFFF"/>
        </w:rPr>
        <w:lastRenderedPageBreak/>
        <w:t xml:space="preserve">Leigh, P. N., Abrahams, S., Al-Chalabi, A., </w:t>
      </w:r>
      <w:proofErr w:type="spellStart"/>
      <w:r w:rsidRPr="00AB6015">
        <w:rPr>
          <w:rFonts w:ascii="Sylfaen" w:eastAsia="Calibri" w:hAnsi="Sylfaen" w:cs="Times New Roman"/>
          <w:shd w:val="clear" w:color="auto" w:fill="FFFFFF"/>
        </w:rPr>
        <w:t>Ampong</w:t>
      </w:r>
      <w:proofErr w:type="spellEnd"/>
      <w:r w:rsidRPr="00AB6015">
        <w:rPr>
          <w:rFonts w:ascii="Sylfaen" w:eastAsia="Calibri" w:hAnsi="Sylfaen" w:cs="Times New Roman"/>
          <w:shd w:val="clear" w:color="auto" w:fill="FFFFFF"/>
        </w:rPr>
        <w:t>, M. A., Goldstein, L. H., Johnson, J.</w:t>
      </w:r>
      <w:r w:rsidR="00C35615">
        <w:rPr>
          <w:rFonts w:ascii="Sylfaen" w:eastAsia="Calibri" w:hAnsi="Sylfaen" w:cs="Times New Roman"/>
          <w:shd w:val="clear" w:color="auto" w:fill="FFFFFF"/>
        </w:rPr>
        <w:t xml:space="preserve"> &amp; Shaw, C. (2003) ‘</w:t>
      </w:r>
      <w:r w:rsidRPr="00AB6015">
        <w:rPr>
          <w:rFonts w:ascii="Sylfaen" w:eastAsia="Calibri" w:hAnsi="Sylfaen" w:cs="Times New Roman"/>
          <w:shd w:val="clear" w:color="auto" w:fill="FFFFFF"/>
        </w:rPr>
        <w:t>The mana</w:t>
      </w:r>
      <w:r w:rsidR="00C35615">
        <w:rPr>
          <w:rFonts w:ascii="Sylfaen" w:eastAsia="Calibri" w:hAnsi="Sylfaen" w:cs="Times New Roman"/>
          <w:shd w:val="clear" w:color="auto" w:fill="FFFFFF"/>
        </w:rPr>
        <w:t>gement of motor neurone disease’,</w:t>
      </w:r>
      <w:r w:rsidRPr="00AB6015">
        <w:rPr>
          <w:rFonts w:ascii="Sylfaen" w:eastAsia="Calibri" w:hAnsi="Sylfaen" w:cs="Times New Roman"/>
          <w:shd w:val="clear" w:color="auto" w:fill="FFFFFF"/>
        </w:rPr>
        <w:t> </w:t>
      </w:r>
      <w:r w:rsidRPr="00AB6015">
        <w:rPr>
          <w:rFonts w:ascii="Sylfaen" w:eastAsia="Calibri" w:hAnsi="Sylfaen" w:cs="Times New Roman"/>
          <w:i/>
          <w:iCs/>
          <w:shd w:val="clear" w:color="auto" w:fill="FFFFFF"/>
        </w:rPr>
        <w:t>Journal of Neurology, Neurosurgery &amp; Psychiatry</w:t>
      </w:r>
      <w:r w:rsidRPr="00AB6015">
        <w:rPr>
          <w:rFonts w:ascii="Sylfaen" w:eastAsia="Calibri" w:hAnsi="Sylfaen" w:cs="Times New Roman"/>
          <w:shd w:val="clear" w:color="auto" w:fill="FFFFFF"/>
        </w:rPr>
        <w:t>, </w:t>
      </w:r>
      <w:r w:rsidRPr="00C35615">
        <w:rPr>
          <w:rFonts w:ascii="Sylfaen" w:eastAsia="Calibri" w:hAnsi="Sylfaen" w:cs="Times New Roman"/>
          <w:iCs/>
          <w:shd w:val="clear" w:color="auto" w:fill="FFFFFF"/>
        </w:rPr>
        <w:t>74</w:t>
      </w:r>
      <w:r w:rsidRPr="00AB6015">
        <w:rPr>
          <w:rFonts w:ascii="Sylfaen" w:eastAsia="Calibri" w:hAnsi="Sylfaen" w:cs="Times New Roman"/>
          <w:shd w:val="clear" w:color="auto" w:fill="FFFFFF"/>
        </w:rPr>
        <w:t>(4), pp. 32-47.</w:t>
      </w:r>
    </w:p>
    <w:p w14:paraId="348C92F8" w14:textId="10315101" w:rsidR="00AB6015" w:rsidRPr="00AB6015" w:rsidRDefault="00AB6015" w:rsidP="002F1485">
      <w:pPr>
        <w:spacing w:after="160" w:line="360" w:lineRule="auto"/>
        <w:rPr>
          <w:rFonts w:ascii="Sylfaen" w:eastAsia="Calibri" w:hAnsi="Sylfaen" w:cs="Times New Roman"/>
          <w:shd w:val="clear" w:color="auto" w:fill="FFFFFF"/>
        </w:rPr>
      </w:pPr>
      <w:proofErr w:type="spellStart"/>
      <w:r w:rsidRPr="00AB6015">
        <w:rPr>
          <w:rFonts w:ascii="Sylfaen" w:eastAsia="Calibri" w:hAnsi="Sylfaen" w:cs="Times New Roman"/>
          <w:shd w:val="clear" w:color="auto" w:fill="FFFFFF"/>
        </w:rPr>
        <w:t>Malcomess</w:t>
      </w:r>
      <w:proofErr w:type="spellEnd"/>
      <w:r w:rsidRPr="00AB6015">
        <w:rPr>
          <w:rFonts w:ascii="Sylfaen" w:eastAsia="Calibri" w:hAnsi="Sylfaen" w:cs="Times New Roman"/>
          <w:shd w:val="clear" w:color="auto" w:fill="FFFFFF"/>
        </w:rPr>
        <w:t xml:space="preserve">, </w:t>
      </w:r>
      <w:r w:rsidR="00C35615">
        <w:rPr>
          <w:rFonts w:ascii="Sylfaen" w:eastAsia="Calibri" w:hAnsi="Sylfaen" w:cs="Times New Roman"/>
          <w:shd w:val="clear" w:color="auto" w:fill="FFFFFF"/>
        </w:rPr>
        <w:t>K. (2005)</w:t>
      </w:r>
      <w:r w:rsidRPr="00AB6015">
        <w:rPr>
          <w:rFonts w:ascii="Sylfaen" w:eastAsia="Calibri" w:hAnsi="Sylfaen" w:cs="Times New Roman"/>
          <w:shd w:val="clear" w:color="auto" w:fill="FFFFFF"/>
        </w:rPr>
        <w:t xml:space="preserve"> </w:t>
      </w:r>
      <w:r w:rsidR="00C35615">
        <w:rPr>
          <w:rFonts w:ascii="Sylfaen" w:eastAsia="Calibri" w:hAnsi="Sylfaen" w:cs="Times New Roman"/>
          <w:shd w:val="clear" w:color="auto" w:fill="FFFFFF"/>
        </w:rPr>
        <w:t>‘The care aims model’,</w:t>
      </w:r>
      <w:r w:rsidRPr="00AB6015">
        <w:rPr>
          <w:rFonts w:ascii="Sylfaen" w:eastAsia="Calibri" w:hAnsi="Sylfaen" w:cs="Times New Roman"/>
          <w:shd w:val="clear" w:color="auto" w:fill="FFFFFF"/>
        </w:rPr>
        <w:t> </w:t>
      </w:r>
      <w:r w:rsidR="00C35615">
        <w:rPr>
          <w:rFonts w:ascii="Sylfaen" w:eastAsia="Calibri" w:hAnsi="Sylfaen" w:cs="Times New Roman"/>
          <w:shd w:val="clear" w:color="auto" w:fill="FFFFFF"/>
        </w:rPr>
        <w:t xml:space="preserve">in Anderson, C. and Van Der </w:t>
      </w:r>
      <w:proofErr w:type="spellStart"/>
      <w:r w:rsidR="00C35615">
        <w:rPr>
          <w:rFonts w:ascii="Sylfaen" w:eastAsia="Calibri" w:hAnsi="Sylfaen" w:cs="Times New Roman"/>
          <w:shd w:val="clear" w:color="auto" w:fill="FFFFFF"/>
        </w:rPr>
        <w:t>Gagg</w:t>
      </w:r>
      <w:proofErr w:type="spellEnd"/>
      <w:r w:rsidR="00C35615">
        <w:rPr>
          <w:rFonts w:ascii="Sylfaen" w:eastAsia="Calibri" w:hAnsi="Sylfaen" w:cs="Times New Roman"/>
          <w:shd w:val="clear" w:color="auto" w:fill="FFFFFF"/>
        </w:rPr>
        <w:t xml:space="preserve">, A. (eds.) </w:t>
      </w:r>
      <w:r w:rsidRPr="00AB6015">
        <w:rPr>
          <w:rFonts w:ascii="Sylfaen" w:eastAsia="Calibri" w:hAnsi="Sylfaen" w:cs="Times New Roman"/>
          <w:i/>
          <w:iCs/>
          <w:shd w:val="clear" w:color="auto" w:fill="FFFFFF"/>
        </w:rPr>
        <w:t xml:space="preserve">Speech and language therapy: Issues in professional practice. </w:t>
      </w:r>
      <w:r w:rsidRPr="00C35615">
        <w:rPr>
          <w:rFonts w:ascii="Sylfaen" w:eastAsia="Calibri" w:hAnsi="Sylfaen" w:cs="Times New Roman"/>
          <w:iCs/>
          <w:shd w:val="clear" w:color="auto" w:fill="FFFFFF"/>
        </w:rPr>
        <w:t xml:space="preserve">London: </w:t>
      </w:r>
      <w:proofErr w:type="spellStart"/>
      <w:r w:rsidRPr="00C35615">
        <w:rPr>
          <w:rFonts w:ascii="Sylfaen" w:eastAsia="Calibri" w:hAnsi="Sylfaen" w:cs="Times New Roman"/>
          <w:iCs/>
          <w:shd w:val="clear" w:color="auto" w:fill="FFFFFF"/>
        </w:rPr>
        <w:t>Whurr</w:t>
      </w:r>
      <w:proofErr w:type="spellEnd"/>
      <w:r w:rsidR="00556D1D">
        <w:rPr>
          <w:rFonts w:ascii="Sylfaen" w:eastAsia="Calibri" w:hAnsi="Sylfaen" w:cs="Times New Roman"/>
          <w:shd w:val="clear" w:color="auto" w:fill="FFFFFF"/>
        </w:rPr>
        <w:t>, p</w:t>
      </w:r>
      <w:r w:rsidRPr="00AB6015">
        <w:rPr>
          <w:rFonts w:ascii="Sylfaen" w:eastAsia="Calibri" w:hAnsi="Sylfaen" w:cs="Times New Roman"/>
          <w:shd w:val="clear" w:color="auto" w:fill="FFFFFF"/>
        </w:rPr>
        <w:t>. </w:t>
      </w:r>
      <w:r w:rsidRPr="00556D1D">
        <w:rPr>
          <w:rFonts w:ascii="Sylfaen" w:eastAsia="Calibri" w:hAnsi="Sylfaen" w:cs="Times New Roman"/>
          <w:iCs/>
          <w:shd w:val="clear" w:color="auto" w:fill="FFFFFF"/>
        </w:rPr>
        <w:t>4371</w:t>
      </w:r>
      <w:r w:rsidRPr="00AB6015">
        <w:rPr>
          <w:rFonts w:ascii="Sylfaen" w:eastAsia="Calibri" w:hAnsi="Sylfaen" w:cs="Times New Roman"/>
          <w:shd w:val="clear" w:color="auto" w:fill="FFFFFF"/>
        </w:rPr>
        <w:t>.</w:t>
      </w:r>
    </w:p>
    <w:p w14:paraId="0FEEFC7A" w14:textId="0E4BFF96" w:rsidR="00AB6015" w:rsidRPr="00AB6015" w:rsidRDefault="00AB6015" w:rsidP="002F1485">
      <w:pPr>
        <w:spacing w:after="160" w:line="360" w:lineRule="auto"/>
        <w:rPr>
          <w:rFonts w:ascii="Sylfaen" w:eastAsia="Calibri" w:hAnsi="Sylfaen" w:cs="Times New Roman"/>
          <w:shd w:val="clear" w:color="auto" w:fill="FFFFFF"/>
        </w:rPr>
      </w:pPr>
      <w:r w:rsidRPr="00AB6015">
        <w:rPr>
          <w:rFonts w:ascii="Sylfaen" w:eastAsia="Calibri" w:hAnsi="Sylfaen" w:cs="Times New Roman"/>
          <w:shd w:val="clear" w:color="auto" w:fill="FFFFFF"/>
        </w:rPr>
        <w:t xml:space="preserve">Mitchell, J. D., </w:t>
      </w:r>
      <w:proofErr w:type="spellStart"/>
      <w:r w:rsidRPr="00AB6015">
        <w:rPr>
          <w:rFonts w:ascii="Sylfaen" w:eastAsia="Calibri" w:hAnsi="Sylfaen" w:cs="Times New Roman"/>
          <w:shd w:val="clear" w:color="auto" w:fill="FFFFFF"/>
        </w:rPr>
        <w:t>Callagher</w:t>
      </w:r>
      <w:proofErr w:type="spellEnd"/>
      <w:r w:rsidRPr="00AB6015">
        <w:rPr>
          <w:rFonts w:ascii="Sylfaen" w:eastAsia="Calibri" w:hAnsi="Sylfaen" w:cs="Times New Roman"/>
          <w:shd w:val="clear" w:color="auto" w:fill="FFFFFF"/>
        </w:rPr>
        <w:t>, P., Gardham, J., Mitchell, C., D</w:t>
      </w:r>
      <w:r w:rsidR="00EE6D69">
        <w:rPr>
          <w:rFonts w:ascii="Sylfaen" w:eastAsia="Calibri" w:hAnsi="Sylfaen" w:cs="Times New Roman"/>
          <w:shd w:val="clear" w:color="auto" w:fill="FFFFFF"/>
        </w:rPr>
        <w:t>ixon, M., Addison-Jones, R. &amp; O'Brien, M. R. (2010) ‘</w:t>
      </w:r>
      <w:r w:rsidRPr="00AB6015">
        <w:rPr>
          <w:rFonts w:ascii="Sylfaen" w:eastAsia="Calibri" w:hAnsi="Sylfaen" w:cs="Times New Roman"/>
          <w:shd w:val="clear" w:color="auto" w:fill="FFFFFF"/>
        </w:rPr>
        <w:t>Timelines in the diagnostic evaluation of people with suspected amyotrophic lateral sclerosis (ALS)/motor neuron disease (MND)–a 20</w:t>
      </w:r>
      <w:r w:rsidR="00EE6D69">
        <w:rPr>
          <w:rFonts w:ascii="Sylfaen" w:eastAsia="Calibri" w:hAnsi="Sylfaen" w:cs="Times New Roman"/>
          <w:shd w:val="clear" w:color="auto" w:fill="FFFFFF"/>
        </w:rPr>
        <w:t>-year review: Can we do better?’,</w:t>
      </w:r>
      <w:r w:rsidRPr="00AB6015">
        <w:rPr>
          <w:rFonts w:ascii="Sylfaen" w:eastAsia="Calibri" w:hAnsi="Sylfaen" w:cs="Times New Roman"/>
          <w:shd w:val="clear" w:color="auto" w:fill="FFFFFF"/>
        </w:rPr>
        <w:t> </w:t>
      </w:r>
      <w:r w:rsidRPr="00AB6015">
        <w:rPr>
          <w:rFonts w:ascii="Sylfaen" w:eastAsia="Calibri" w:hAnsi="Sylfaen" w:cs="Times New Roman"/>
          <w:i/>
          <w:iCs/>
          <w:shd w:val="clear" w:color="auto" w:fill="FFFFFF"/>
        </w:rPr>
        <w:t>Amyotrophic Lateral Sclerosis</w:t>
      </w:r>
      <w:r w:rsidRPr="00AB6015">
        <w:rPr>
          <w:rFonts w:ascii="Sylfaen" w:eastAsia="Calibri" w:hAnsi="Sylfaen" w:cs="Times New Roman"/>
          <w:shd w:val="clear" w:color="auto" w:fill="FFFFFF"/>
        </w:rPr>
        <w:t>, </w:t>
      </w:r>
      <w:r w:rsidRPr="00EE6D69">
        <w:rPr>
          <w:rFonts w:ascii="Sylfaen" w:eastAsia="Calibri" w:hAnsi="Sylfaen" w:cs="Times New Roman"/>
          <w:iCs/>
          <w:shd w:val="clear" w:color="auto" w:fill="FFFFFF"/>
        </w:rPr>
        <w:t>11</w:t>
      </w:r>
      <w:r w:rsidRPr="00AB6015">
        <w:rPr>
          <w:rFonts w:ascii="Sylfaen" w:eastAsia="Calibri" w:hAnsi="Sylfaen" w:cs="Times New Roman"/>
          <w:shd w:val="clear" w:color="auto" w:fill="FFFFFF"/>
        </w:rPr>
        <w:t>(6), pp. 537-541.</w:t>
      </w:r>
    </w:p>
    <w:p w14:paraId="5E5899A1" w14:textId="7A28D05B" w:rsidR="00AB6015" w:rsidRPr="00AB6015" w:rsidRDefault="00AB6015" w:rsidP="002F1485">
      <w:pPr>
        <w:spacing w:after="160" w:line="360" w:lineRule="auto"/>
        <w:rPr>
          <w:rFonts w:ascii="Sylfaen" w:eastAsia="Calibri" w:hAnsi="Sylfaen" w:cs="Times New Roman"/>
        </w:rPr>
      </w:pPr>
      <w:r w:rsidRPr="00AB6015">
        <w:rPr>
          <w:rFonts w:ascii="Sylfaen" w:eastAsia="Calibri" w:hAnsi="Sylfaen" w:cs="Times New Roman"/>
        </w:rPr>
        <w:t xml:space="preserve">Motor </w:t>
      </w:r>
      <w:proofErr w:type="spellStart"/>
      <w:r w:rsidRPr="00AB6015">
        <w:rPr>
          <w:rFonts w:ascii="Sylfaen" w:eastAsia="Calibri" w:hAnsi="Sylfaen" w:cs="Times New Roman"/>
        </w:rPr>
        <w:t>Neuone</w:t>
      </w:r>
      <w:proofErr w:type="spellEnd"/>
      <w:r w:rsidRPr="00AB6015">
        <w:rPr>
          <w:rFonts w:ascii="Sylfaen" w:eastAsia="Calibri" w:hAnsi="Sylfaen" w:cs="Times New Roman"/>
        </w:rPr>
        <w:t xml:space="preserve"> Disease Association (2013) </w:t>
      </w:r>
      <w:r w:rsidRPr="00AB6015">
        <w:rPr>
          <w:rFonts w:ascii="Sylfaen" w:eastAsia="Calibri" w:hAnsi="Sylfaen" w:cs="Times New Roman"/>
          <w:i/>
        </w:rPr>
        <w:t>Bereavement support</w:t>
      </w:r>
      <w:r w:rsidRPr="00AB6015">
        <w:rPr>
          <w:rFonts w:ascii="Sylfaen" w:eastAsia="Calibri" w:hAnsi="Sylfaen" w:cs="Times New Roman"/>
        </w:rPr>
        <w:t>.</w:t>
      </w:r>
      <w:r w:rsidR="00EE6D69">
        <w:rPr>
          <w:rFonts w:ascii="Sylfaen" w:eastAsia="Calibri" w:hAnsi="Sylfaen" w:cs="Times New Roman"/>
        </w:rPr>
        <w:t xml:space="preserve"> Available at:</w:t>
      </w:r>
      <w:r w:rsidRPr="00AB6015">
        <w:rPr>
          <w:rFonts w:ascii="Sylfaen" w:eastAsia="Calibri" w:hAnsi="Sylfaen" w:cs="Times New Roman"/>
        </w:rPr>
        <w:t xml:space="preserve"> www.mndassociation.org/wp-content/uploads/2015/</w:t>
      </w:r>
      <w:r w:rsidR="00EE6D69">
        <w:rPr>
          <w:rFonts w:ascii="Sylfaen" w:eastAsia="Calibri" w:hAnsi="Sylfaen" w:cs="Times New Roman"/>
        </w:rPr>
        <w:t>06/14b-bereavement-support.pdf (</w:t>
      </w:r>
      <w:r w:rsidRPr="00AB6015">
        <w:rPr>
          <w:rFonts w:ascii="Sylfaen" w:eastAsia="Calibri" w:hAnsi="Sylfaen" w:cs="Times New Roman"/>
        </w:rPr>
        <w:t>Accessed</w:t>
      </w:r>
      <w:r w:rsidR="00EE6D69">
        <w:rPr>
          <w:rFonts w:ascii="Sylfaen" w:eastAsia="Calibri" w:hAnsi="Sylfaen" w:cs="Times New Roman"/>
        </w:rPr>
        <w:t>: 4 February 2017).</w:t>
      </w:r>
    </w:p>
    <w:p w14:paraId="080A9001" w14:textId="61607F82" w:rsidR="00AB6015" w:rsidRPr="00AB6015" w:rsidRDefault="00AB6015" w:rsidP="002F1485">
      <w:pPr>
        <w:spacing w:after="160" w:line="360" w:lineRule="auto"/>
        <w:rPr>
          <w:rFonts w:ascii="Sylfaen" w:eastAsia="Calibri" w:hAnsi="Sylfaen" w:cs="Times New Roman"/>
        </w:rPr>
      </w:pPr>
      <w:r w:rsidRPr="00AB6015">
        <w:rPr>
          <w:rFonts w:ascii="Sylfaen" w:eastAsia="Calibri" w:hAnsi="Sylfaen" w:cs="Times New Roman"/>
        </w:rPr>
        <w:t xml:space="preserve">Motor </w:t>
      </w:r>
      <w:proofErr w:type="spellStart"/>
      <w:r w:rsidRPr="00AB6015">
        <w:rPr>
          <w:rFonts w:ascii="Sylfaen" w:eastAsia="Calibri" w:hAnsi="Sylfaen" w:cs="Times New Roman"/>
        </w:rPr>
        <w:t>Neuone</w:t>
      </w:r>
      <w:proofErr w:type="spellEnd"/>
      <w:r w:rsidRPr="00AB6015">
        <w:rPr>
          <w:rFonts w:ascii="Sylfaen" w:eastAsia="Calibri" w:hAnsi="Sylfaen" w:cs="Times New Roman"/>
        </w:rPr>
        <w:t xml:space="preserve"> Disease Association (2014) </w:t>
      </w:r>
      <w:r w:rsidRPr="00AB6015">
        <w:rPr>
          <w:rFonts w:ascii="Sylfaen" w:eastAsia="Calibri" w:hAnsi="Sylfaen" w:cs="Times New Roman"/>
          <w:i/>
        </w:rPr>
        <w:t xml:space="preserve">Red Flag tool for MND: Painless, progressive weakness - Could this be Motor </w:t>
      </w:r>
      <w:proofErr w:type="spellStart"/>
      <w:r w:rsidRPr="00AB6015">
        <w:rPr>
          <w:rFonts w:ascii="Sylfaen" w:eastAsia="Calibri" w:hAnsi="Sylfaen" w:cs="Times New Roman"/>
          <w:i/>
        </w:rPr>
        <w:t>Neuone</w:t>
      </w:r>
      <w:proofErr w:type="spellEnd"/>
      <w:r w:rsidRPr="00AB6015">
        <w:rPr>
          <w:rFonts w:ascii="Sylfaen" w:eastAsia="Calibri" w:hAnsi="Sylfaen" w:cs="Times New Roman"/>
          <w:i/>
        </w:rPr>
        <w:t xml:space="preserve"> Disease</w:t>
      </w:r>
      <w:proofErr w:type="gramStart"/>
      <w:r w:rsidRPr="00AB6015">
        <w:rPr>
          <w:rFonts w:ascii="Sylfaen" w:eastAsia="Calibri" w:hAnsi="Sylfaen" w:cs="Times New Roman"/>
          <w:i/>
        </w:rPr>
        <w:t>?</w:t>
      </w:r>
      <w:r w:rsidRPr="00AB6015">
        <w:rPr>
          <w:rFonts w:ascii="Sylfaen" w:eastAsia="Calibri" w:hAnsi="Sylfaen" w:cs="Times New Roman"/>
        </w:rPr>
        <w:t>.</w:t>
      </w:r>
      <w:proofErr w:type="gramEnd"/>
      <w:r w:rsidRPr="00AB6015">
        <w:rPr>
          <w:rFonts w:ascii="Sylfaen" w:eastAsia="Calibri" w:hAnsi="Sylfaen" w:cs="Times New Roman"/>
        </w:rPr>
        <w:t xml:space="preserve"> </w:t>
      </w:r>
      <w:r w:rsidR="00EE6D69">
        <w:rPr>
          <w:rFonts w:ascii="Sylfaen" w:eastAsia="Calibri" w:hAnsi="Sylfaen" w:cs="Times New Roman"/>
        </w:rPr>
        <w:t xml:space="preserve">Available at: </w:t>
      </w:r>
      <w:r w:rsidRPr="00AB6015">
        <w:rPr>
          <w:rFonts w:ascii="Sylfaen" w:eastAsia="Calibri" w:hAnsi="Sylfaen" w:cs="Times New Roman"/>
        </w:rPr>
        <w:t>www.mndassociation.org/wp-content/uploads/</w:t>
      </w:r>
      <w:r w:rsidR="00EE6D69">
        <w:rPr>
          <w:rFonts w:ascii="Sylfaen" w:eastAsia="Calibri" w:hAnsi="Sylfaen" w:cs="Times New Roman"/>
        </w:rPr>
        <w:t>2015/02/red-flags-final-2.pdf (Accessed on 4 February 2017).</w:t>
      </w:r>
    </w:p>
    <w:p w14:paraId="18433A07" w14:textId="069EA10C" w:rsidR="00AB6015" w:rsidRPr="00AB6015" w:rsidRDefault="00AB6015" w:rsidP="002F1485">
      <w:pPr>
        <w:spacing w:after="160" w:line="360" w:lineRule="auto"/>
        <w:rPr>
          <w:rFonts w:ascii="Sylfaen" w:eastAsia="Calibri" w:hAnsi="Sylfaen" w:cs="Times New Roman"/>
        </w:rPr>
      </w:pPr>
      <w:r w:rsidRPr="00AB6015">
        <w:rPr>
          <w:rFonts w:ascii="Sylfaen" w:eastAsia="Calibri" w:hAnsi="Sylfaen" w:cs="Times New Roman"/>
        </w:rPr>
        <w:t xml:space="preserve">Motor </w:t>
      </w:r>
      <w:proofErr w:type="spellStart"/>
      <w:r w:rsidRPr="00AB6015">
        <w:rPr>
          <w:rFonts w:ascii="Sylfaen" w:eastAsia="Calibri" w:hAnsi="Sylfaen" w:cs="Times New Roman"/>
        </w:rPr>
        <w:t>Neuone</w:t>
      </w:r>
      <w:proofErr w:type="spellEnd"/>
      <w:r w:rsidRPr="00AB6015">
        <w:rPr>
          <w:rFonts w:ascii="Sylfaen" w:eastAsia="Calibri" w:hAnsi="Sylfaen" w:cs="Times New Roman"/>
        </w:rPr>
        <w:t xml:space="preserve"> Disease Association (2016) </w:t>
      </w:r>
      <w:r w:rsidRPr="00AB6015">
        <w:rPr>
          <w:rFonts w:ascii="Sylfaen" w:eastAsia="Calibri" w:hAnsi="Sylfaen" w:cs="Times New Roman"/>
          <w:i/>
        </w:rPr>
        <w:t>Speech and communication support</w:t>
      </w:r>
      <w:r w:rsidRPr="00AB6015">
        <w:rPr>
          <w:rFonts w:ascii="Sylfaen" w:eastAsia="Calibri" w:hAnsi="Sylfaen" w:cs="Times New Roman"/>
        </w:rPr>
        <w:t xml:space="preserve">. </w:t>
      </w:r>
      <w:r w:rsidR="00EE6D69">
        <w:rPr>
          <w:rFonts w:ascii="Sylfaen" w:eastAsia="Calibri" w:hAnsi="Sylfaen" w:cs="Times New Roman"/>
        </w:rPr>
        <w:t xml:space="preserve">Available at: </w:t>
      </w:r>
      <w:r w:rsidRPr="00AB6015">
        <w:rPr>
          <w:rFonts w:ascii="Sylfaen" w:eastAsia="Calibri" w:hAnsi="Sylfaen" w:cs="Times New Roman"/>
        </w:rPr>
        <w:t>www.mndassociation.org/wp-content/uploads/07c-speech</w:t>
      </w:r>
      <w:r w:rsidR="00EE6D69">
        <w:rPr>
          <w:rFonts w:ascii="Sylfaen" w:eastAsia="Calibri" w:hAnsi="Sylfaen" w:cs="Times New Roman"/>
        </w:rPr>
        <w:t>-and-communication-support.pdf (Accessed: 4 February 2017).</w:t>
      </w:r>
    </w:p>
    <w:p w14:paraId="6E467A10" w14:textId="417BEA5C" w:rsidR="00AB6015" w:rsidRPr="00AB6015" w:rsidRDefault="00AB6015" w:rsidP="002F1485">
      <w:pPr>
        <w:spacing w:after="160" w:line="360" w:lineRule="auto"/>
        <w:rPr>
          <w:rFonts w:ascii="Sylfaen" w:eastAsia="Calibri" w:hAnsi="Sylfaen" w:cs="Times New Roman"/>
        </w:rPr>
      </w:pPr>
      <w:r w:rsidRPr="00AB6015">
        <w:rPr>
          <w:rFonts w:ascii="Sylfaen" w:eastAsia="Calibri" w:hAnsi="Sylfaen" w:cs="Times New Roman"/>
        </w:rPr>
        <w:t xml:space="preserve">Motor </w:t>
      </w:r>
      <w:proofErr w:type="spellStart"/>
      <w:r w:rsidRPr="00AB6015">
        <w:rPr>
          <w:rFonts w:ascii="Sylfaen" w:eastAsia="Calibri" w:hAnsi="Sylfaen" w:cs="Times New Roman"/>
        </w:rPr>
        <w:t>Neuone</w:t>
      </w:r>
      <w:proofErr w:type="spellEnd"/>
      <w:r w:rsidRPr="00AB6015">
        <w:rPr>
          <w:rFonts w:ascii="Sylfaen" w:eastAsia="Calibri" w:hAnsi="Sylfaen" w:cs="Times New Roman"/>
        </w:rPr>
        <w:t xml:space="preserve"> Disease Association (2017) </w:t>
      </w:r>
      <w:r w:rsidRPr="00AB6015">
        <w:rPr>
          <w:rFonts w:ascii="Sylfaen" w:eastAsia="Calibri" w:hAnsi="Sylfaen" w:cs="Times New Roman"/>
          <w:i/>
        </w:rPr>
        <w:t xml:space="preserve">Swallowing </w:t>
      </w:r>
      <w:proofErr w:type="spellStart"/>
      <w:r w:rsidRPr="00AB6015">
        <w:rPr>
          <w:rFonts w:ascii="Sylfaen" w:eastAsia="Calibri" w:hAnsi="Sylfaen" w:cs="Times New Roman"/>
          <w:i/>
        </w:rPr>
        <w:t>Difficulites</w:t>
      </w:r>
      <w:proofErr w:type="spellEnd"/>
      <w:r w:rsidRPr="00AB6015">
        <w:rPr>
          <w:rFonts w:ascii="Sylfaen" w:eastAsia="Calibri" w:hAnsi="Sylfaen" w:cs="Times New Roman"/>
        </w:rPr>
        <w:t>.</w:t>
      </w:r>
      <w:r w:rsidR="00EE6D69">
        <w:rPr>
          <w:rFonts w:ascii="Sylfaen" w:eastAsia="Calibri" w:hAnsi="Sylfaen" w:cs="Times New Roman"/>
        </w:rPr>
        <w:t xml:space="preserve"> Available at:</w:t>
      </w:r>
      <w:r w:rsidRPr="00AB6015">
        <w:rPr>
          <w:rFonts w:ascii="Sylfaen" w:eastAsia="Calibri" w:hAnsi="Sylfaen" w:cs="Times New Roman"/>
        </w:rPr>
        <w:t xml:space="preserve"> www.mndassociation.org/wp-content/uploads/2015/07/0</w:t>
      </w:r>
      <w:r w:rsidR="00EE6D69">
        <w:rPr>
          <w:rFonts w:ascii="Sylfaen" w:eastAsia="Calibri" w:hAnsi="Sylfaen" w:cs="Times New Roman"/>
        </w:rPr>
        <w:t>7a-swallowing-difficulties.pdf (Accessed: 4 February 2017).</w:t>
      </w:r>
    </w:p>
    <w:p w14:paraId="20C5B099" w14:textId="4CC520B4" w:rsidR="00AB6015" w:rsidRPr="00AB6015" w:rsidRDefault="00EE6D69" w:rsidP="002F1485">
      <w:pPr>
        <w:spacing w:after="160" w:line="360" w:lineRule="auto"/>
        <w:rPr>
          <w:rFonts w:ascii="Sylfaen" w:eastAsia="Calibri" w:hAnsi="Sylfaen" w:cs="Times New Roman"/>
          <w:shd w:val="clear" w:color="auto" w:fill="FFFFFF"/>
        </w:rPr>
      </w:pPr>
      <w:r>
        <w:rPr>
          <w:rFonts w:ascii="Sylfaen" w:eastAsia="Calibri" w:hAnsi="Sylfaen" w:cs="Times New Roman"/>
          <w:shd w:val="clear" w:color="auto" w:fill="FFFFFF"/>
        </w:rPr>
        <w:t>Murphy, J. (2004)</w:t>
      </w:r>
      <w:r w:rsidR="00AB6015" w:rsidRPr="00AB6015">
        <w:rPr>
          <w:rFonts w:ascii="Sylfaen" w:eastAsia="Calibri" w:hAnsi="Sylfaen" w:cs="Times New Roman"/>
          <w:shd w:val="clear" w:color="auto" w:fill="FFFFFF"/>
        </w:rPr>
        <w:t xml:space="preserve"> </w:t>
      </w:r>
      <w:r>
        <w:rPr>
          <w:rFonts w:ascii="Sylfaen" w:eastAsia="Calibri" w:hAnsi="Sylfaen" w:cs="Times New Roman"/>
          <w:shd w:val="clear" w:color="auto" w:fill="FFFFFF"/>
        </w:rPr>
        <w:t>‘"</w:t>
      </w:r>
      <w:r w:rsidR="00AB6015" w:rsidRPr="00AB6015">
        <w:rPr>
          <w:rFonts w:ascii="Sylfaen" w:eastAsia="Calibri" w:hAnsi="Sylfaen" w:cs="Times New Roman"/>
          <w:shd w:val="clear" w:color="auto" w:fill="FFFFFF"/>
        </w:rPr>
        <w:t>I Prefer Contact This Close": Perceptions of AAC by People with Motor Neurone Disease an</w:t>
      </w:r>
      <w:r>
        <w:rPr>
          <w:rFonts w:ascii="Sylfaen" w:eastAsia="Calibri" w:hAnsi="Sylfaen" w:cs="Times New Roman"/>
          <w:shd w:val="clear" w:color="auto" w:fill="FFFFFF"/>
        </w:rPr>
        <w:t xml:space="preserve">d their Communication Partners’, </w:t>
      </w:r>
      <w:r w:rsidR="00AB6015" w:rsidRPr="00AB6015">
        <w:rPr>
          <w:rFonts w:ascii="Sylfaen" w:eastAsia="Calibri" w:hAnsi="Sylfaen" w:cs="Times New Roman"/>
          <w:i/>
          <w:iCs/>
          <w:shd w:val="clear" w:color="auto" w:fill="FFFFFF"/>
        </w:rPr>
        <w:t>Augmentative and Alternative Communication</w:t>
      </w:r>
      <w:r w:rsidR="00AB6015" w:rsidRPr="00AB6015">
        <w:rPr>
          <w:rFonts w:ascii="Sylfaen" w:eastAsia="Calibri" w:hAnsi="Sylfaen" w:cs="Times New Roman"/>
          <w:shd w:val="clear" w:color="auto" w:fill="FFFFFF"/>
        </w:rPr>
        <w:t>, </w:t>
      </w:r>
      <w:r w:rsidR="00AB6015" w:rsidRPr="00EE6D69">
        <w:rPr>
          <w:rFonts w:ascii="Sylfaen" w:eastAsia="Calibri" w:hAnsi="Sylfaen" w:cs="Times New Roman"/>
          <w:iCs/>
          <w:shd w:val="clear" w:color="auto" w:fill="FFFFFF"/>
        </w:rPr>
        <w:t>20</w:t>
      </w:r>
      <w:r w:rsidR="00AB6015" w:rsidRPr="00AB6015">
        <w:rPr>
          <w:rFonts w:ascii="Sylfaen" w:eastAsia="Calibri" w:hAnsi="Sylfaen" w:cs="Times New Roman"/>
          <w:shd w:val="clear" w:color="auto" w:fill="FFFFFF"/>
        </w:rPr>
        <w:t>(4), pp. 259-271.</w:t>
      </w:r>
    </w:p>
    <w:p w14:paraId="5B14AFED" w14:textId="7CD91921" w:rsidR="00AB6015" w:rsidRPr="00AB6015" w:rsidRDefault="00AB6015" w:rsidP="002F1485">
      <w:pPr>
        <w:spacing w:after="160" w:line="360" w:lineRule="auto"/>
        <w:rPr>
          <w:rFonts w:ascii="Sylfaen" w:eastAsia="Calibri" w:hAnsi="Sylfaen" w:cs="Times New Roman"/>
          <w:shd w:val="clear" w:color="auto" w:fill="FFFFFF"/>
        </w:rPr>
      </w:pPr>
      <w:r w:rsidRPr="00AB6015">
        <w:rPr>
          <w:rFonts w:ascii="Sylfaen" w:eastAsia="Calibri" w:hAnsi="Sylfaen" w:cs="Times New Roman"/>
          <w:shd w:val="clear" w:color="auto" w:fill="FFFFFF"/>
        </w:rPr>
        <w:t>National Institute for Clinical Excellence (2016). </w:t>
      </w:r>
      <w:r w:rsidRPr="00AB6015">
        <w:rPr>
          <w:rFonts w:ascii="Sylfaen" w:eastAsia="Calibri" w:hAnsi="Sylfaen" w:cs="Times New Roman"/>
          <w:i/>
          <w:iCs/>
          <w:shd w:val="clear" w:color="auto" w:fill="FFFFFF"/>
        </w:rPr>
        <w:t>Motor Neurone disease: Assessment and Management.</w:t>
      </w:r>
      <w:r w:rsidRPr="00AB6015">
        <w:rPr>
          <w:rFonts w:ascii="Sylfaen" w:eastAsia="Calibri" w:hAnsi="Sylfaen" w:cs="Times New Roman"/>
          <w:shd w:val="clear" w:color="auto" w:fill="FFFFFF"/>
        </w:rPr>
        <w:t xml:space="preserve"> </w:t>
      </w:r>
      <w:r w:rsidR="00EE6D69">
        <w:rPr>
          <w:rFonts w:ascii="Sylfaen" w:eastAsia="Calibri" w:hAnsi="Sylfaen" w:cs="Times New Roman"/>
          <w:shd w:val="clear" w:color="auto" w:fill="FFFFFF"/>
        </w:rPr>
        <w:t xml:space="preserve">Available at: </w:t>
      </w:r>
      <w:hyperlink r:id="rId8" w:history="1">
        <w:r w:rsidR="00EE6D69" w:rsidRPr="00860F06">
          <w:rPr>
            <w:rStyle w:val="Hyperlink"/>
            <w:rFonts w:ascii="Sylfaen" w:eastAsia="Calibri" w:hAnsi="Sylfaen" w:cs="Times New Roman"/>
            <w:shd w:val="clear" w:color="auto" w:fill="FFFFFF"/>
          </w:rPr>
          <w:t>https://www.nice.org.uk/guidance/ng42</w:t>
        </w:r>
      </w:hyperlink>
      <w:r w:rsidR="00EE6D69">
        <w:rPr>
          <w:rFonts w:ascii="Sylfaen" w:eastAsia="Calibri" w:hAnsi="Sylfaen" w:cs="Times New Roman"/>
          <w:shd w:val="clear" w:color="auto" w:fill="FFFFFF"/>
        </w:rPr>
        <w:t xml:space="preserve"> (Accessed: </w:t>
      </w:r>
      <w:proofErr w:type="spellStart"/>
      <w:r w:rsidR="00EE6D69">
        <w:rPr>
          <w:rFonts w:ascii="Sylfaen" w:eastAsia="Calibri" w:hAnsi="Sylfaen" w:cs="Times New Roman"/>
          <w:shd w:val="clear" w:color="auto" w:fill="FFFFFF"/>
        </w:rPr>
        <w:t>n.d.</w:t>
      </w:r>
      <w:proofErr w:type="spellEnd"/>
      <w:r w:rsidR="00EE6D69">
        <w:rPr>
          <w:rFonts w:ascii="Sylfaen" w:eastAsia="Calibri" w:hAnsi="Sylfaen" w:cs="Times New Roman"/>
          <w:shd w:val="clear" w:color="auto" w:fill="FFFFFF"/>
        </w:rPr>
        <w:t>).</w:t>
      </w:r>
    </w:p>
    <w:p w14:paraId="43AE08D7" w14:textId="77777777" w:rsidR="00AB6015" w:rsidRPr="00AB6015" w:rsidRDefault="00AB6015" w:rsidP="002F1485">
      <w:pPr>
        <w:spacing w:after="160" w:line="360" w:lineRule="auto"/>
        <w:rPr>
          <w:rFonts w:ascii="Sylfaen" w:eastAsia="Calibri" w:hAnsi="Sylfaen" w:cs="Times New Roman"/>
          <w:shd w:val="clear" w:color="auto" w:fill="FFFFFF"/>
        </w:rPr>
      </w:pPr>
      <w:r w:rsidRPr="00AB6015">
        <w:rPr>
          <w:rFonts w:ascii="Sylfaen" w:eastAsia="Calibri" w:hAnsi="Sylfaen" w:cs="Times New Roman"/>
          <w:shd w:val="clear" w:color="auto" w:fill="FFFFFF"/>
        </w:rPr>
        <w:t>NHS England (2015). The Handbook to the NHS Constitution. </w:t>
      </w:r>
      <w:r w:rsidRPr="00AB6015">
        <w:rPr>
          <w:rFonts w:ascii="Sylfaen" w:eastAsia="Calibri" w:hAnsi="Sylfaen" w:cs="Times New Roman"/>
          <w:i/>
          <w:iCs/>
          <w:shd w:val="clear" w:color="auto" w:fill="FFFFFF"/>
        </w:rPr>
        <w:t>London: Department of Health</w:t>
      </w:r>
      <w:r w:rsidRPr="00AB6015">
        <w:rPr>
          <w:rFonts w:ascii="Sylfaen" w:eastAsia="Calibri" w:hAnsi="Sylfaen" w:cs="Times New Roman"/>
          <w:shd w:val="clear" w:color="auto" w:fill="FFFFFF"/>
        </w:rPr>
        <w:t>.</w:t>
      </w:r>
    </w:p>
    <w:p w14:paraId="0695EF9C" w14:textId="2D57949C" w:rsidR="00AB6015" w:rsidRPr="00AB6015" w:rsidRDefault="00AB6015" w:rsidP="002F1485">
      <w:pPr>
        <w:spacing w:after="160" w:line="360" w:lineRule="auto"/>
        <w:rPr>
          <w:rFonts w:ascii="Sylfaen" w:eastAsia="Calibri" w:hAnsi="Sylfaen" w:cs="Times New Roman"/>
          <w:shd w:val="clear" w:color="auto" w:fill="FFFFFF"/>
        </w:rPr>
      </w:pPr>
      <w:r w:rsidRPr="00AB6015">
        <w:rPr>
          <w:rFonts w:ascii="Sylfaen" w:eastAsia="Calibri" w:hAnsi="Sylfaen" w:cs="Times New Roman"/>
          <w:shd w:val="clear" w:color="auto" w:fill="FFFFFF"/>
        </w:rPr>
        <w:lastRenderedPageBreak/>
        <w:t>Ois</w:t>
      </w:r>
      <w:r w:rsidR="00EE6D69">
        <w:rPr>
          <w:rFonts w:ascii="Sylfaen" w:eastAsia="Calibri" w:hAnsi="Sylfaen" w:cs="Times New Roman"/>
          <w:shd w:val="clear" w:color="auto" w:fill="FFFFFF"/>
        </w:rPr>
        <w:t>hi, A., &amp; Murtagh, F. E. (2014)</w:t>
      </w:r>
      <w:r w:rsidRPr="00AB6015">
        <w:rPr>
          <w:rFonts w:ascii="Sylfaen" w:eastAsia="Calibri" w:hAnsi="Sylfaen" w:cs="Times New Roman"/>
          <w:shd w:val="clear" w:color="auto" w:fill="FFFFFF"/>
        </w:rPr>
        <w:t xml:space="preserve"> </w:t>
      </w:r>
      <w:r w:rsidR="00EE6D69">
        <w:rPr>
          <w:rFonts w:ascii="Sylfaen" w:eastAsia="Calibri" w:hAnsi="Sylfaen" w:cs="Times New Roman"/>
          <w:shd w:val="clear" w:color="auto" w:fill="FFFFFF"/>
        </w:rPr>
        <w:t>‘</w:t>
      </w:r>
      <w:r w:rsidRPr="00AB6015">
        <w:rPr>
          <w:rFonts w:ascii="Sylfaen" w:eastAsia="Calibri" w:hAnsi="Sylfaen" w:cs="Times New Roman"/>
          <w:shd w:val="clear" w:color="auto" w:fill="FFFFFF"/>
        </w:rPr>
        <w:t>The challenges of uncertainty and interprofessional collaboration in palliative care for non-cancer patients in the community: A systematic review of views from patients, carers</w:t>
      </w:r>
      <w:r w:rsidR="00EE6D69">
        <w:rPr>
          <w:rFonts w:ascii="Sylfaen" w:eastAsia="Calibri" w:hAnsi="Sylfaen" w:cs="Times New Roman"/>
          <w:shd w:val="clear" w:color="auto" w:fill="FFFFFF"/>
        </w:rPr>
        <w:t xml:space="preserve"> and health-care professionals’, </w:t>
      </w:r>
      <w:r w:rsidRPr="00AB6015">
        <w:rPr>
          <w:rFonts w:ascii="Sylfaen" w:eastAsia="Calibri" w:hAnsi="Sylfaen" w:cs="Times New Roman"/>
          <w:i/>
          <w:iCs/>
          <w:shd w:val="clear" w:color="auto" w:fill="FFFFFF"/>
        </w:rPr>
        <w:t>Palliative medicine</w:t>
      </w:r>
      <w:r w:rsidRPr="00AB6015">
        <w:rPr>
          <w:rFonts w:ascii="Sylfaen" w:eastAsia="Calibri" w:hAnsi="Sylfaen" w:cs="Times New Roman"/>
          <w:shd w:val="clear" w:color="auto" w:fill="FFFFFF"/>
        </w:rPr>
        <w:t>, </w:t>
      </w:r>
      <w:r w:rsidRPr="00EE6D69">
        <w:rPr>
          <w:rFonts w:ascii="Sylfaen" w:eastAsia="Calibri" w:hAnsi="Sylfaen" w:cs="Times New Roman"/>
          <w:iCs/>
          <w:shd w:val="clear" w:color="auto" w:fill="FFFFFF"/>
        </w:rPr>
        <w:t>28</w:t>
      </w:r>
      <w:r w:rsidRPr="00AB6015">
        <w:rPr>
          <w:rFonts w:ascii="Sylfaen" w:eastAsia="Calibri" w:hAnsi="Sylfaen" w:cs="Times New Roman"/>
          <w:shd w:val="clear" w:color="auto" w:fill="FFFFFF"/>
        </w:rPr>
        <w:t>(9), pp. 1081-1098.</w:t>
      </w:r>
    </w:p>
    <w:p w14:paraId="4115DC6F" w14:textId="6863E818" w:rsidR="00AB6015" w:rsidRPr="00AB6015" w:rsidRDefault="00AB6015" w:rsidP="002F1485">
      <w:pPr>
        <w:spacing w:after="160" w:line="360" w:lineRule="auto"/>
        <w:rPr>
          <w:rFonts w:ascii="Sylfaen" w:eastAsia="Calibri" w:hAnsi="Sylfaen" w:cs="Times New Roman"/>
          <w:shd w:val="clear" w:color="auto" w:fill="FFFFFF"/>
        </w:rPr>
      </w:pPr>
      <w:r w:rsidRPr="00AB6015">
        <w:rPr>
          <w:rFonts w:ascii="Sylfaen" w:eastAsia="Calibri" w:hAnsi="Sylfaen" w:cs="Times New Roman"/>
          <w:shd w:val="clear" w:color="auto" w:fill="FFFFFF"/>
        </w:rPr>
        <w:t xml:space="preserve">Ramsey, D. J., </w:t>
      </w:r>
      <w:proofErr w:type="spellStart"/>
      <w:r w:rsidRPr="00AB6015">
        <w:rPr>
          <w:rFonts w:ascii="Sylfaen" w:eastAsia="Calibri" w:hAnsi="Sylfaen" w:cs="Times New Roman"/>
          <w:shd w:val="clear" w:color="auto" w:fill="FFFFFF"/>
        </w:rPr>
        <w:t>Smith</w:t>
      </w:r>
      <w:r w:rsidR="00EE6D69">
        <w:rPr>
          <w:rFonts w:ascii="Sylfaen" w:eastAsia="Calibri" w:hAnsi="Sylfaen" w:cs="Times New Roman"/>
          <w:shd w:val="clear" w:color="auto" w:fill="FFFFFF"/>
        </w:rPr>
        <w:t>ard</w:t>
      </w:r>
      <w:proofErr w:type="spellEnd"/>
      <w:r w:rsidR="00EE6D69">
        <w:rPr>
          <w:rFonts w:ascii="Sylfaen" w:eastAsia="Calibri" w:hAnsi="Sylfaen" w:cs="Times New Roman"/>
          <w:shd w:val="clear" w:color="auto" w:fill="FFFFFF"/>
        </w:rPr>
        <w:t xml:space="preserve">, D. G., &amp; </w:t>
      </w:r>
      <w:proofErr w:type="spellStart"/>
      <w:r w:rsidR="00EE6D69">
        <w:rPr>
          <w:rFonts w:ascii="Sylfaen" w:eastAsia="Calibri" w:hAnsi="Sylfaen" w:cs="Times New Roman"/>
          <w:shd w:val="clear" w:color="auto" w:fill="FFFFFF"/>
        </w:rPr>
        <w:t>Kalra</w:t>
      </w:r>
      <w:proofErr w:type="spellEnd"/>
      <w:r w:rsidR="00EE6D69">
        <w:rPr>
          <w:rFonts w:ascii="Sylfaen" w:eastAsia="Calibri" w:hAnsi="Sylfaen" w:cs="Times New Roman"/>
          <w:shd w:val="clear" w:color="auto" w:fill="FFFFFF"/>
        </w:rPr>
        <w:t>, L. (2003) ‘</w:t>
      </w:r>
      <w:r w:rsidRPr="00AB6015">
        <w:rPr>
          <w:rFonts w:ascii="Sylfaen" w:eastAsia="Calibri" w:hAnsi="Sylfaen" w:cs="Times New Roman"/>
          <w:shd w:val="clear" w:color="auto" w:fill="FFFFFF"/>
        </w:rPr>
        <w:t>Early assessments of dysphagia and aspiration</w:t>
      </w:r>
      <w:r w:rsidR="00EE6D69">
        <w:rPr>
          <w:rFonts w:ascii="Sylfaen" w:eastAsia="Calibri" w:hAnsi="Sylfaen" w:cs="Times New Roman"/>
          <w:shd w:val="clear" w:color="auto" w:fill="FFFFFF"/>
        </w:rPr>
        <w:t xml:space="preserve"> risk in acute stroke patients’, </w:t>
      </w:r>
      <w:r w:rsidRPr="00AB6015">
        <w:rPr>
          <w:rFonts w:ascii="Sylfaen" w:eastAsia="Calibri" w:hAnsi="Sylfaen" w:cs="Times New Roman"/>
          <w:i/>
          <w:iCs/>
          <w:shd w:val="clear" w:color="auto" w:fill="FFFFFF"/>
        </w:rPr>
        <w:t>Stroke</w:t>
      </w:r>
      <w:r w:rsidRPr="00AB6015">
        <w:rPr>
          <w:rFonts w:ascii="Sylfaen" w:eastAsia="Calibri" w:hAnsi="Sylfaen" w:cs="Times New Roman"/>
          <w:shd w:val="clear" w:color="auto" w:fill="FFFFFF"/>
        </w:rPr>
        <w:t>, </w:t>
      </w:r>
      <w:r w:rsidRPr="00EE6D69">
        <w:rPr>
          <w:rFonts w:ascii="Sylfaen" w:eastAsia="Calibri" w:hAnsi="Sylfaen" w:cs="Times New Roman"/>
          <w:iCs/>
          <w:shd w:val="clear" w:color="auto" w:fill="FFFFFF"/>
        </w:rPr>
        <w:t>34</w:t>
      </w:r>
      <w:r w:rsidRPr="00AB6015">
        <w:rPr>
          <w:rFonts w:ascii="Sylfaen" w:eastAsia="Calibri" w:hAnsi="Sylfaen" w:cs="Times New Roman"/>
          <w:shd w:val="clear" w:color="auto" w:fill="FFFFFF"/>
        </w:rPr>
        <w:t>(5), pp. 1252-1257.</w:t>
      </w:r>
    </w:p>
    <w:p w14:paraId="7EB660F7" w14:textId="748EAFB1" w:rsidR="00AB6015" w:rsidRPr="00AB6015" w:rsidRDefault="00AB6015" w:rsidP="002F1485">
      <w:pPr>
        <w:spacing w:after="160" w:line="360" w:lineRule="auto"/>
        <w:rPr>
          <w:rFonts w:ascii="Sylfaen" w:eastAsia="Calibri" w:hAnsi="Sylfaen" w:cs="Times New Roman"/>
          <w:shd w:val="clear" w:color="auto" w:fill="FFFFFF"/>
        </w:rPr>
      </w:pPr>
      <w:r w:rsidRPr="00AB6015">
        <w:rPr>
          <w:rFonts w:ascii="Sylfaen" w:eastAsia="Calibri" w:hAnsi="Sylfaen" w:cs="Times New Roman"/>
          <w:shd w:val="clear" w:color="auto" w:fill="FFFFFF"/>
        </w:rPr>
        <w:t xml:space="preserve">Rowland, </w:t>
      </w:r>
      <w:r w:rsidR="00EE6D69">
        <w:rPr>
          <w:rFonts w:ascii="Sylfaen" w:eastAsia="Calibri" w:hAnsi="Sylfaen" w:cs="Times New Roman"/>
          <w:shd w:val="clear" w:color="auto" w:fill="FFFFFF"/>
        </w:rPr>
        <w:t xml:space="preserve">L. P., &amp; </w:t>
      </w:r>
      <w:proofErr w:type="spellStart"/>
      <w:r w:rsidR="00EE6D69">
        <w:rPr>
          <w:rFonts w:ascii="Sylfaen" w:eastAsia="Calibri" w:hAnsi="Sylfaen" w:cs="Times New Roman"/>
          <w:shd w:val="clear" w:color="auto" w:fill="FFFFFF"/>
        </w:rPr>
        <w:t>Shneider</w:t>
      </w:r>
      <w:proofErr w:type="spellEnd"/>
      <w:r w:rsidR="00EE6D69">
        <w:rPr>
          <w:rFonts w:ascii="Sylfaen" w:eastAsia="Calibri" w:hAnsi="Sylfaen" w:cs="Times New Roman"/>
          <w:shd w:val="clear" w:color="auto" w:fill="FFFFFF"/>
        </w:rPr>
        <w:t>, N. A. (2001)</w:t>
      </w:r>
      <w:r w:rsidRPr="00AB6015">
        <w:rPr>
          <w:rFonts w:ascii="Sylfaen" w:eastAsia="Calibri" w:hAnsi="Sylfaen" w:cs="Times New Roman"/>
          <w:shd w:val="clear" w:color="auto" w:fill="FFFFFF"/>
        </w:rPr>
        <w:t xml:space="preserve"> </w:t>
      </w:r>
      <w:r w:rsidR="00EE6D69">
        <w:rPr>
          <w:rFonts w:ascii="Sylfaen" w:eastAsia="Calibri" w:hAnsi="Sylfaen" w:cs="Times New Roman"/>
          <w:shd w:val="clear" w:color="auto" w:fill="FFFFFF"/>
        </w:rPr>
        <w:t>‘Amyotrophic lateral sclerosis’,</w:t>
      </w:r>
      <w:r w:rsidRPr="00AB6015">
        <w:rPr>
          <w:rFonts w:ascii="Sylfaen" w:eastAsia="Calibri" w:hAnsi="Sylfaen" w:cs="Times New Roman"/>
          <w:shd w:val="clear" w:color="auto" w:fill="FFFFFF"/>
        </w:rPr>
        <w:t> </w:t>
      </w:r>
      <w:r w:rsidRPr="00AB6015">
        <w:rPr>
          <w:rFonts w:ascii="Sylfaen" w:eastAsia="Calibri" w:hAnsi="Sylfaen" w:cs="Times New Roman"/>
          <w:i/>
          <w:iCs/>
          <w:shd w:val="clear" w:color="auto" w:fill="FFFFFF"/>
        </w:rPr>
        <w:t>New England Journal of Medicine</w:t>
      </w:r>
      <w:r w:rsidRPr="00AB6015">
        <w:rPr>
          <w:rFonts w:ascii="Sylfaen" w:eastAsia="Calibri" w:hAnsi="Sylfaen" w:cs="Times New Roman"/>
          <w:shd w:val="clear" w:color="auto" w:fill="FFFFFF"/>
        </w:rPr>
        <w:t>, </w:t>
      </w:r>
      <w:r w:rsidRPr="00EE6D69">
        <w:rPr>
          <w:rFonts w:ascii="Sylfaen" w:eastAsia="Calibri" w:hAnsi="Sylfaen" w:cs="Times New Roman"/>
          <w:iCs/>
          <w:shd w:val="clear" w:color="auto" w:fill="FFFFFF"/>
        </w:rPr>
        <w:t>344</w:t>
      </w:r>
      <w:r w:rsidRPr="00AB6015">
        <w:rPr>
          <w:rFonts w:ascii="Sylfaen" w:eastAsia="Calibri" w:hAnsi="Sylfaen" w:cs="Times New Roman"/>
          <w:shd w:val="clear" w:color="auto" w:fill="FFFFFF"/>
        </w:rPr>
        <w:t>(22), pp. 1688-1700.</w:t>
      </w:r>
    </w:p>
    <w:p w14:paraId="35B2F159" w14:textId="0D274AE2" w:rsidR="00AB6015" w:rsidRPr="00AB6015" w:rsidRDefault="00AB6015" w:rsidP="002F1485">
      <w:pPr>
        <w:spacing w:after="160" w:line="360" w:lineRule="auto"/>
        <w:rPr>
          <w:rFonts w:ascii="Sylfaen" w:eastAsia="Calibri" w:hAnsi="Sylfaen" w:cs="Times New Roman"/>
          <w:shd w:val="clear" w:color="auto" w:fill="FFFFFF"/>
          <w:lang w:val="it-IT"/>
        </w:rPr>
      </w:pPr>
      <w:proofErr w:type="spellStart"/>
      <w:r w:rsidRPr="00AB6015">
        <w:rPr>
          <w:rFonts w:ascii="Sylfaen" w:eastAsia="Calibri" w:hAnsi="Sylfaen" w:cs="Times New Roman"/>
          <w:shd w:val="clear" w:color="auto" w:fill="FFFFFF"/>
        </w:rPr>
        <w:t>Saccon</w:t>
      </w:r>
      <w:proofErr w:type="spellEnd"/>
      <w:r w:rsidRPr="00AB6015">
        <w:rPr>
          <w:rFonts w:ascii="Sylfaen" w:eastAsia="Calibri" w:hAnsi="Sylfaen" w:cs="Times New Roman"/>
          <w:shd w:val="clear" w:color="auto" w:fill="FFFFFF"/>
        </w:rPr>
        <w:t xml:space="preserve">, R.A., </w:t>
      </w:r>
      <w:proofErr w:type="spellStart"/>
      <w:r w:rsidRPr="00AB6015">
        <w:rPr>
          <w:rFonts w:ascii="Sylfaen" w:eastAsia="Calibri" w:hAnsi="Sylfaen" w:cs="Times New Roman"/>
          <w:shd w:val="clear" w:color="auto" w:fill="FFFFFF"/>
        </w:rPr>
        <w:t>Bunton-Stasyshyn</w:t>
      </w:r>
      <w:proofErr w:type="spellEnd"/>
      <w:r w:rsidRPr="00AB6015">
        <w:rPr>
          <w:rFonts w:ascii="Sylfaen" w:eastAsia="Calibri" w:hAnsi="Sylfaen" w:cs="Times New Roman"/>
          <w:shd w:val="clear" w:color="auto" w:fill="FFFFFF"/>
        </w:rPr>
        <w:t xml:space="preserve">, R.K., Fisher, E.M. and </w:t>
      </w:r>
      <w:proofErr w:type="spellStart"/>
      <w:r w:rsidRPr="00AB6015">
        <w:rPr>
          <w:rFonts w:ascii="Sylfaen" w:eastAsia="Calibri" w:hAnsi="Sylfaen" w:cs="Times New Roman"/>
          <w:shd w:val="clear" w:color="auto" w:fill="FFFFFF"/>
        </w:rPr>
        <w:t>Fra</w:t>
      </w:r>
      <w:r w:rsidR="00EE6D69">
        <w:rPr>
          <w:rFonts w:ascii="Sylfaen" w:eastAsia="Calibri" w:hAnsi="Sylfaen" w:cs="Times New Roman"/>
          <w:shd w:val="clear" w:color="auto" w:fill="FFFFFF"/>
        </w:rPr>
        <w:t>tta</w:t>
      </w:r>
      <w:proofErr w:type="spellEnd"/>
      <w:r w:rsidR="00EE6D69">
        <w:rPr>
          <w:rFonts w:ascii="Sylfaen" w:eastAsia="Calibri" w:hAnsi="Sylfaen" w:cs="Times New Roman"/>
          <w:shd w:val="clear" w:color="auto" w:fill="FFFFFF"/>
        </w:rPr>
        <w:t>, P., (2013) ‘</w:t>
      </w:r>
      <w:r w:rsidRPr="00AB6015">
        <w:rPr>
          <w:rFonts w:ascii="Sylfaen" w:eastAsia="Calibri" w:hAnsi="Sylfaen" w:cs="Times New Roman"/>
          <w:shd w:val="clear" w:color="auto" w:fill="FFFFFF"/>
        </w:rPr>
        <w:t>Is SOD1 loss of function involved in</w:t>
      </w:r>
      <w:r w:rsidR="00EE6D69">
        <w:rPr>
          <w:rFonts w:ascii="Sylfaen" w:eastAsia="Calibri" w:hAnsi="Sylfaen" w:cs="Times New Roman"/>
          <w:shd w:val="clear" w:color="auto" w:fill="FFFFFF"/>
        </w:rPr>
        <w:t xml:space="preserve"> amyotrophic lateral sclerosis?</w:t>
      </w:r>
      <w:proofErr w:type="gramStart"/>
      <w:r w:rsidR="00EE6D69">
        <w:rPr>
          <w:rFonts w:ascii="Sylfaen" w:eastAsia="Calibri" w:hAnsi="Sylfaen" w:cs="Times New Roman"/>
          <w:shd w:val="clear" w:color="auto" w:fill="FFFFFF"/>
        </w:rPr>
        <w:t>’,</w:t>
      </w:r>
      <w:proofErr w:type="gramEnd"/>
      <w:r w:rsidRPr="00AB6015">
        <w:rPr>
          <w:rFonts w:ascii="Sylfaen" w:eastAsia="Calibri" w:hAnsi="Sylfaen" w:cs="Times New Roman"/>
          <w:shd w:val="clear" w:color="auto" w:fill="FFFFFF"/>
        </w:rPr>
        <w:t> </w:t>
      </w:r>
      <w:r w:rsidRPr="00AB6015">
        <w:rPr>
          <w:rFonts w:ascii="Sylfaen" w:eastAsia="Calibri" w:hAnsi="Sylfaen" w:cs="Times New Roman"/>
          <w:i/>
          <w:iCs/>
          <w:shd w:val="clear" w:color="auto" w:fill="FFFFFF"/>
          <w:lang w:val="it-IT"/>
        </w:rPr>
        <w:t>Brain</w:t>
      </w:r>
      <w:r w:rsidRPr="00AB6015">
        <w:rPr>
          <w:rFonts w:ascii="Sylfaen" w:eastAsia="Calibri" w:hAnsi="Sylfaen" w:cs="Times New Roman"/>
          <w:shd w:val="clear" w:color="auto" w:fill="FFFFFF"/>
          <w:lang w:val="it-IT"/>
        </w:rPr>
        <w:t>, 136(8), pp. 2342-2358.</w:t>
      </w:r>
    </w:p>
    <w:p w14:paraId="2CE1A280" w14:textId="0CEE18C5" w:rsidR="00AB6015" w:rsidRPr="00AB6015" w:rsidRDefault="00AB6015" w:rsidP="002F1485">
      <w:pPr>
        <w:spacing w:after="160" w:line="360" w:lineRule="auto"/>
        <w:rPr>
          <w:rFonts w:ascii="Sylfaen" w:eastAsia="Calibri" w:hAnsi="Sylfaen" w:cs="Times New Roman"/>
          <w:shd w:val="clear" w:color="auto" w:fill="FFFFFF"/>
        </w:rPr>
      </w:pPr>
      <w:r w:rsidRPr="00AB6015">
        <w:rPr>
          <w:rFonts w:ascii="Sylfaen" w:eastAsia="Calibri" w:hAnsi="Sylfaen" w:cs="Times New Roman"/>
          <w:shd w:val="clear" w:color="auto" w:fill="FFFFFF"/>
          <w:lang w:val="it-IT"/>
        </w:rPr>
        <w:t>Schiffer, D., Brignolio, F., Chio, A., L</w:t>
      </w:r>
      <w:r w:rsidR="00EE6D69">
        <w:rPr>
          <w:rFonts w:ascii="Sylfaen" w:eastAsia="Calibri" w:hAnsi="Sylfaen" w:cs="Times New Roman"/>
          <w:shd w:val="clear" w:color="auto" w:fill="FFFFFF"/>
          <w:lang w:val="it-IT"/>
        </w:rPr>
        <w:t>eone, M., &amp; Rosso, M. G. (1987)</w:t>
      </w:r>
      <w:r w:rsidRPr="00AB6015">
        <w:rPr>
          <w:rFonts w:ascii="Sylfaen" w:eastAsia="Calibri" w:hAnsi="Sylfaen" w:cs="Times New Roman"/>
          <w:shd w:val="clear" w:color="auto" w:fill="FFFFFF"/>
          <w:lang w:val="it-IT"/>
        </w:rPr>
        <w:t xml:space="preserve"> </w:t>
      </w:r>
      <w:r w:rsidRPr="00AB6015">
        <w:rPr>
          <w:rFonts w:ascii="Sylfaen" w:eastAsia="Calibri" w:hAnsi="Sylfaen" w:cs="Times New Roman"/>
          <w:shd w:val="clear" w:color="auto" w:fill="FFFFFF"/>
        </w:rPr>
        <w:t xml:space="preserve">‘A study of prognostic factors in motor neuron disease’ in Cosi et </w:t>
      </w:r>
      <w:r w:rsidR="00EE6D69">
        <w:rPr>
          <w:rFonts w:ascii="Sylfaen" w:eastAsia="Calibri" w:hAnsi="Sylfaen" w:cs="Times New Roman"/>
          <w:shd w:val="clear" w:color="auto" w:fill="FFFFFF"/>
        </w:rPr>
        <w:t>al. (</w:t>
      </w:r>
      <w:proofErr w:type="gramStart"/>
      <w:r w:rsidR="00EE6D69">
        <w:rPr>
          <w:rFonts w:ascii="Sylfaen" w:eastAsia="Calibri" w:hAnsi="Sylfaen" w:cs="Times New Roman"/>
          <w:shd w:val="clear" w:color="auto" w:fill="FFFFFF"/>
        </w:rPr>
        <w:t>eds</w:t>
      </w:r>
      <w:proofErr w:type="gramEnd"/>
      <w:r w:rsidR="00EE6D69">
        <w:rPr>
          <w:rFonts w:ascii="Sylfaen" w:eastAsia="Calibri" w:hAnsi="Sylfaen" w:cs="Times New Roman"/>
          <w:shd w:val="clear" w:color="auto" w:fill="FFFFFF"/>
        </w:rPr>
        <w:t xml:space="preserve">.) </w:t>
      </w:r>
      <w:r w:rsidRPr="00AB6015">
        <w:rPr>
          <w:rFonts w:ascii="Sylfaen" w:eastAsia="Calibri" w:hAnsi="Sylfaen" w:cs="Times New Roman"/>
          <w:i/>
          <w:iCs/>
          <w:shd w:val="clear" w:color="auto" w:fill="FFFFFF"/>
        </w:rPr>
        <w:t>Amyotrophic Lateral Sclerosis: Therapeutic, Psychological, and Research aspects.</w:t>
      </w:r>
      <w:r w:rsidRPr="00AB6015">
        <w:rPr>
          <w:rFonts w:ascii="Sylfaen" w:eastAsia="Calibri" w:hAnsi="Sylfaen" w:cs="Times New Roman"/>
          <w:shd w:val="clear" w:color="auto" w:fill="FFFFFF"/>
        </w:rPr>
        <w:t> </w:t>
      </w:r>
      <w:r w:rsidR="00EE6D69">
        <w:rPr>
          <w:rFonts w:ascii="Sylfaen" w:eastAsia="Calibri" w:hAnsi="Sylfaen" w:cs="Times New Roman"/>
          <w:shd w:val="clear" w:color="auto" w:fill="FFFFFF"/>
        </w:rPr>
        <w:t xml:space="preserve">New York: </w:t>
      </w:r>
      <w:r w:rsidRPr="00AB6015">
        <w:rPr>
          <w:rFonts w:ascii="Sylfaen" w:eastAsia="Calibri" w:hAnsi="Sylfaen" w:cs="Times New Roman"/>
          <w:shd w:val="clear" w:color="auto" w:fill="FFFFFF"/>
        </w:rPr>
        <w:t>Springer, pp. 255-263</w:t>
      </w:r>
    </w:p>
    <w:p w14:paraId="6723C0B2" w14:textId="270B6FC8" w:rsidR="00AB6015" w:rsidRPr="00AB6015" w:rsidRDefault="00AB6015" w:rsidP="002F1485">
      <w:pPr>
        <w:spacing w:after="160" w:line="360" w:lineRule="auto"/>
        <w:rPr>
          <w:rFonts w:ascii="Sylfaen" w:eastAsia="Calibri" w:hAnsi="Sylfaen" w:cs="Times New Roman"/>
          <w:shd w:val="clear" w:color="auto" w:fill="FFFFFF"/>
        </w:rPr>
      </w:pPr>
      <w:r w:rsidRPr="00AB6015">
        <w:rPr>
          <w:rFonts w:ascii="Sylfaen" w:eastAsia="Calibri" w:hAnsi="Sylfaen" w:cs="Times New Roman"/>
          <w:shd w:val="clear" w:color="auto" w:fill="FFFFFF"/>
        </w:rPr>
        <w:t xml:space="preserve">Scott, A. &amp; McPhee, M. (2014) 'Multidisciplinary care: Speech &amp; Language Therapy' in Oliver, D., </w:t>
      </w:r>
      <w:proofErr w:type="spellStart"/>
      <w:r w:rsidRPr="00AB6015">
        <w:rPr>
          <w:rFonts w:ascii="Sylfaen" w:eastAsia="Calibri" w:hAnsi="Sylfaen" w:cs="Times New Roman"/>
          <w:shd w:val="clear" w:color="auto" w:fill="FFFFFF"/>
        </w:rPr>
        <w:t>B</w:t>
      </w:r>
      <w:r w:rsidR="00EE6D69">
        <w:rPr>
          <w:rFonts w:ascii="Sylfaen" w:eastAsia="Calibri" w:hAnsi="Sylfaen" w:cs="Times New Roman"/>
          <w:shd w:val="clear" w:color="auto" w:fill="FFFFFF"/>
        </w:rPr>
        <w:t>orasio</w:t>
      </w:r>
      <w:proofErr w:type="spellEnd"/>
      <w:r w:rsidR="00EE6D69">
        <w:rPr>
          <w:rFonts w:ascii="Sylfaen" w:eastAsia="Calibri" w:hAnsi="Sylfaen" w:cs="Times New Roman"/>
          <w:shd w:val="clear" w:color="auto" w:fill="FFFFFF"/>
        </w:rPr>
        <w:t>, G. D., &amp; Johnston, W. (eds.)</w:t>
      </w:r>
      <w:r w:rsidRPr="00AB6015">
        <w:rPr>
          <w:rFonts w:ascii="Sylfaen" w:eastAsia="Calibri" w:hAnsi="Sylfaen" w:cs="Times New Roman"/>
          <w:shd w:val="clear" w:color="auto" w:fill="FFFFFF"/>
        </w:rPr>
        <w:t> </w:t>
      </w:r>
      <w:r w:rsidRPr="00AB6015">
        <w:rPr>
          <w:rFonts w:ascii="Sylfaen" w:eastAsia="Calibri" w:hAnsi="Sylfaen" w:cs="Times New Roman"/>
          <w:i/>
          <w:iCs/>
          <w:shd w:val="clear" w:color="auto" w:fill="FFFFFF"/>
        </w:rPr>
        <w:t>Palliative care in amyotrophic lateral sclerosis: from diagnosis to bereavement</w:t>
      </w:r>
      <w:r w:rsidR="00EE6D69">
        <w:rPr>
          <w:rFonts w:ascii="Sylfaen" w:eastAsia="Calibri" w:hAnsi="Sylfaen" w:cs="Times New Roman"/>
          <w:shd w:val="clear" w:color="auto" w:fill="FFFFFF"/>
        </w:rPr>
        <w:t>.</w:t>
      </w:r>
      <w:r w:rsidRPr="00AB6015">
        <w:rPr>
          <w:rFonts w:ascii="Sylfaen" w:eastAsia="Calibri" w:hAnsi="Sylfaen" w:cs="Times New Roman"/>
          <w:shd w:val="clear" w:color="auto" w:fill="FFFFFF"/>
        </w:rPr>
        <w:t xml:space="preserve"> Oxford</w:t>
      </w:r>
      <w:r w:rsidR="00EE6D69">
        <w:rPr>
          <w:rFonts w:ascii="Sylfaen" w:eastAsia="Calibri" w:hAnsi="Sylfaen" w:cs="Times New Roman"/>
          <w:shd w:val="clear" w:color="auto" w:fill="FFFFFF"/>
        </w:rPr>
        <w:t>: Oxford University Press</w:t>
      </w:r>
      <w:r w:rsidRPr="00AB6015">
        <w:rPr>
          <w:rFonts w:ascii="Sylfaen" w:eastAsia="Calibri" w:hAnsi="Sylfaen" w:cs="Times New Roman"/>
          <w:shd w:val="clear" w:color="auto" w:fill="FFFFFF"/>
        </w:rPr>
        <w:t>, pp. 215-232</w:t>
      </w:r>
    </w:p>
    <w:p w14:paraId="61A44F58" w14:textId="2445BFF8" w:rsidR="00AB6015" w:rsidRPr="00AB6015" w:rsidRDefault="00AB6015" w:rsidP="002F1485">
      <w:pPr>
        <w:spacing w:after="160" w:line="360" w:lineRule="auto"/>
        <w:rPr>
          <w:rFonts w:ascii="Sylfaen" w:eastAsia="Calibri" w:hAnsi="Sylfaen" w:cs="Times New Roman"/>
          <w:shd w:val="clear" w:color="auto" w:fill="FFFFFF"/>
        </w:rPr>
      </w:pPr>
      <w:r w:rsidRPr="00AB6015">
        <w:rPr>
          <w:rFonts w:ascii="Sylfaen" w:eastAsia="Calibri" w:hAnsi="Sylfaen" w:cs="Times New Roman"/>
          <w:shd w:val="clear" w:color="auto" w:fill="FFFFFF"/>
        </w:rPr>
        <w:t>Shaw,</w:t>
      </w:r>
      <w:r w:rsidR="00FE70AC">
        <w:rPr>
          <w:rFonts w:ascii="Sylfaen" w:eastAsia="Calibri" w:hAnsi="Sylfaen" w:cs="Times New Roman"/>
          <w:shd w:val="clear" w:color="auto" w:fill="FFFFFF"/>
        </w:rPr>
        <w:t xml:space="preserve"> P. J., &amp; Wood-Allum, C. (2010)</w:t>
      </w:r>
      <w:r w:rsidRPr="00AB6015">
        <w:rPr>
          <w:rFonts w:ascii="Sylfaen" w:eastAsia="Calibri" w:hAnsi="Sylfaen" w:cs="Times New Roman"/>
          <w:shd w:val="clear" w:color="auto" w:fill="FFFFFF"/>
        </w:rPr>
        <w:t xml:space="preserve"> </w:t>
      </w:r>
      <w:r w:rsidR="00FE70AC">
        <w:rPr>
          <w:rFonts w:ascii="Sylfaen" w:eastAsia="Calibri" w:hAnsi="Sylfaen" w:cs="Times New Roman"/>
          <w:shd w:val="clear" w:color="auto" w:fill="FFFFFF"/>
        </w:rPr>
        <w:t>‘</w:t>
      </w:r>
      <w:r w:rsidRPr="00AB6015">
        <w:rPr>
          <w:rFonts w:ascii="Sylfaen" w:eastAsia="Calibri" w:hAnsi="Sylfaen" w:cs="Times New Roman"/>
          <w:shd w:val="clear" w:color="auto" w:fill="FFFFFF"/>
        </w:rPr>
        <w:t>Motor neurone disease: a practical upd</w:t>
      </w:r>
      <w:r w:rsidR="00FE70AC">
        <w:rPr>
          <w:rFonts w:ascii="Sylfaen" w:eastAsia="Calibri" w:hAnsi="Sylfaen" w:cs="Times New Roman"/>
          <w:shd w:val="clear" w:color="auto" w:fill="FFFFFF"/>
        </w:rPr>
        <w:t>ate on diagnosis and management’,</w:t>
      </w:r>
      <w:r w:rsidRPr="00AB6015">
        <w:rPr>
          <w:rFonts w:ascii="Sylfaen" w:eastAsia="Calibri" w:hAnsi="Sylfaen" w:cs="Times New Roman"/>
          <w:shd w:val="clear" w:color="auto" w:fill="FFFFFF"/>
        </w:rPr>
        <w:t> </w:t>
      </w:r>
      <w:r w:rsidRPr="00AB6015">
        <w:rPr>
          <w:rFonts w:ascii="Sylfaen" w:eastAsia="Calibri" w:hAnsi="Sylfaen" w:cs="Times New Roman"/>
          <w:i/>
          <w:iCs/>
          <w:shd w:val="clear" w:color="auto" w:fill="FFFFFF"/>
        </w:rPr>
        <w:t>Clinical Medicine</w:t>
      </w:r>
      <w:r w:rsidRPr="00AB6015">
        <w:rPr>
          <w:rFonts w:ascii="Sylfaen" w:eastAsia="Calibri" w:hAnsi="Sylfaen" w:cs="Times New Roman"/>
          <w:shd w:val="clear" w:color="auto" w:fill="FFFFFF"/>
        </w:rPr>
        <w:t>, </w:t>
      </w:r>
      <w:r w:rsidRPr="00FE70AC">
        <w:rPr>
          <w:rFonts w:ascii="Sylfaen" w:eastAsia="Calibri" w:hAnsi="Sylfaen" w:cs="Times New Roman"/>
          <w:iCs/>
          <w:shd w:val="clear" w:color="auto" w:fill="FFFFFF"/>
        </w:rPr>
        <w:t>10</w:t>
      </w:r>
      <w:r w:rsidRPr="00AB6015">
        <w:rPr>
          <w:rFonts w:ascii="Sylfaen" w:eastAsia="Calibri" w:hAnsi="Sylfaen" w:cs="Times New Roman"/>
          <w:shd w:val="clear" w:color="auto" w:fill="FFFFFF"/>
        </w:rPr>
        <w:t>(3), pp. 252-258.</w:t>
      </w:r>
    </w:p>
    <w:p w14:paraId="7784C546" w14:textId="4E8C912E" w:rsidR="00AB6015" w:rsidRPr="00AB6015" w:rsidRDefault="00AB6015" w:rsidP="002F1485">
      <w:pPr>
        <w:spacing w:after="160" w:line="360" w:lineRule="auto"/>
        <w:rPr>
          <w:rFonts w:ascii="Sylfaen" w:eastAsia="Calibri" w:hAnsi="Sylfaen" w:cs="Times New Roman"/>
          <w:shd w:val="clear" w:color="auto" w:fill="FFFFFF"/>
        </w:rPr>
      </w:pPr>
      <w:r w:rsidRPr="00AB6015">
        <w:rPr>
          <w:rFonts w:ascii="Sylfaen" w:eastAsia="Calibri" w:hAnsi="Sylfaen" w:cs="Times New Roman"/>
          <w:shd w:val="clear" w:color="auto" w:fill="FFFFFF"/>
        </w:rPr>
        <w:t xml:space="preserve">Steele, C. M., </w:t>
      </w:r>
      <w:proofErr w:type="spellStart"/>
      <w:r w:rsidRPr="00AB6015">
        <w:rPr>
          <w:rFonts w:ascii="Sylfaen" w:eastAsia="Calibri" w:hAnsi="Sylfaen" w:cs="Times New Roman"/>
          <w:shd w:val="clear" w:color="auto" w:fill="FFFFFF"/>
        </w:rPr>
        <w:t>Alsanei</w:t>
      </w:r>
      <w:proofErr w:type="spellEnd"/>
      <w:r w:rsidRPr="00AB6015">
        <w:rPr>
          <w:rFonts w:ascii="Sylfaen" w:eastAsia="Calibri" w:hAnsi="Sylfaen" w:cs="Times New Roman"/>
          <w:shd w:val="clear" w:color="auto" w:fill="FFFFFF"/>
        </w:rPr>
        <w:t xml:space="preserve">, W. A., </w:t>
      </w:r>
      <w:proofErr w:type="spellStart"/>
      <w:r w:rsidRPr="00AB6015">
        <w:rPr>
          <w:rFonts w:ascii="Sylfaen" w:eastAsia="Calibri" w:hAnsi="Sylfaen" w:cs="Times New Roman"/>
          <w:shd w:val="clear" w:color="auto" w:fill="FFFFFF"/>
        </w:rPr>
        <w:t>Ayanikalath</w:t>
      </w:r>
      <w:proofErr w:type="spellEnd"/>
      <w:r w:rsidRPr="00AB6015">
        <w:rPr>
          <w:rFonts w:ascii="Sylfaen" w:eastAsia="Calibri" w:hAnsi="Sylfaen" w:cs="Times New Roman"/>
          <w:shd w:val="clear" w:color="auto" w:fill="FFFFFF"/>
        </w:rPr>
        <w:t xml:space="preserve">, S., </w:t>
      </w:r>
      <w:proofErr w:type="spellStart"/>
      <w:r w:rsidRPr="00AB6015">
        <w:rPr>
          <w:rFonts w:ascii="Sylfaen" w:eastAsia="Calibri" w:hAnsi="Sylfaen" w:cs="Times New Roman"/>
          <w:shd w:val="clear" w:color="auto" w:fill="FFFFFF"/>
        </w:rPr>
        <w:t>Barbon</w:t>
      </w:r>
      <w:proofErr w:type="spellEnd"/>
      <w:r w:rsidRPr="00AB6015">
        <w:rPr>
          <w:rFonts w:ascii="Sylfaen" w:eastAsia="Calibri" w:hAnsi="Sylfaen" w:cs="Times New Roman"/>
          <w:shd w:val="clear" w:color="auto" w:fill="FFFFFF"/>
        </w:rPr>
        <w:t xml:space="preserve">, C. E., Chen, J., </w:t>
      </w:r>
      <w:proofErr w:type="spellStart"/>
      <w:r w:rsidRPr="00AB6015">
        <w:rPr>
          <w:rFonts w:ascii="Sylfaen" w:eastAsia="Calibri" w:hAnsi="Sylfaen" w:cs="Times New Roman"/>
          <w:shd w:val="clear" w:color="auto" w:fill="FFFFFF"/>
        </w:rPr>
        <w:t>Cichero</w:t>
      </w:r>
      <w:proofErr w:type="spellEnd"/>
      <w:r w:rsidRPr="00AB6015">
        <w:rPr>
          <w:rFonts w:ascii="Sylfaen" w:eastAsia="Calibri" w:hAnsi="Sylfaen" w:cs="Times New Roman"/>
          <w:shd w:val="clear" w:color="auto" w:fill="FFFFFF"/>
        </w:rPr>
        <w:t xml:space="preserve">, J. A., </w:t>
      </w:r>
      <w:r w:rsidR="00FE70AC">
        <w:rPr>
          <w:rFonts w:ascii="Sylfaen" w:eastAsia="Calibri" w:hAnsi="Sylfaen" w:cs="Times New Roman"/>
          <w:shd w:val="clear" w:color="auto" w:fill="FFFFFF"/>
        </w:rPr>
        <w:t>&amp; Hanson, B. (2015)</w:t>
      </w:r>
      <w:r w:rsidRPr="00AB6015">
        <w:rPr>
          <w:rFonts w:ascii="Sylfaen" w:eastAsia="Calibri" w:hAnsi="Sylfaen" w:cs="Times New Roman"/>
          <w:shd w:val="clear" w:color="auto" w:fill="FFFFFF"/>
        </w:rPr>
        <w:t xml:space="preserve"> </w:t>
      </w:r>
      <w:r w:rsidR="00FE70AC">
        <w:rPr>
          <w:rFonts w:ascii="Sylfaen" w:eastAsia="Calibri" w:hAnsi="Sylfaen" w:cs="Times New Roman"/>
          <w:shd w:val="clear" w:color="auto" w:fill="FFFFFF"/>
        </w:rPr>
        <w:t>‘</w:t>
      </w:r>
      <w:proofErr w:type="gramStart"/>
      <w:r w:rsidRPr="00AB6015">
        <w:rPr>
          <w:rFonts w:ascii="Sylfaen" w:eastAsia="Calibri" w:hAnsi="Sylfaen" w:cs="Times New Roman"/>
          <w:shd w:val="clear" w:color="auto" w:fill="FFFFFF"/>
        </w:rPr>
        <w:t>The</w:t>
      </w:r>
      <w:proofErr w:type="gramEnd"/>
      <w:r w:rsidRPr="00AB6015">
        <w:rPr>
          <w:rFonts w:ascii="Sylfaen" w:eastAsia="Calibri" w:hAnsi="Sylfaen" w:cs="Times New Roman"/>
          <w:shd w:val="clear" w:color="auto" w:fill="FFFFFF"/>
        </w:rPr>
        <w:t xml:space="preserve"> influence of food texture and liquid consistency modification on swallowing physiology and</w:t>
      </w:r>
      <w:r w:rsidR="00FE70AC">
        <w:rPr>
          <w:rFonts w:ascii="Sylfaen" w:eastAsia="Calibri" w:hAnsi="Sylfaen" w:cs="Times New Roman"/>
          <w:shd w:val="clear" w:color="auto" w:fill="FFFFFF"/>
        </w:rPr>
        <w:t xml:space="preserve"> function: a systematic review’, </w:t>
      </w:r>
      <w:r w:rsidRPr="00AB6015">
        <w:rPr>
          <w:rFonts w:ascii="Sylfaen" w:eastAsia="Calibri" w:hAnsi="Sylfaen" w:cs="Times New Roman"/>
          <w:i/>
          <w:iCs/>
          <w:shd w:val="clear" w:color="auto" w:fill="FFFFFF"/>
        </w:rPr>
        <w:t>Dysphagia</w:t>
      </w:r>
      <w:r w:rsidRPr="00AB6015">
        <w:rPr>
          <w:rFonts w:ascii="Sylfaen" w:eastAsia="Calibri" w:hAnsi="Sylfaen" w:cs="Times New Roman"/>
          <w:shd w:val="clear" w:color="auto" w:fill="FFFFFF"/>
        </w:rPr>
        <w:t>, </w:t>
      </w:r>
      <w:r w:rsidRPr="00FE70AC">
        <w:rPr>
          <w:rFonts w:ascii="Sylfaen" w:eastAsia="Calibri" w:hAnsi="Sylfaen" w:cs="Times New Roman"/>
          <w:iCs/>
          <w:shd w:val="clear" w:color="auto" w:fill="FFFFFF"/>
        </w:rPr>
        <w:t>30</w:t>
      </w:r>
      <w:r w:rsidRPr="00AB6015">
        <w:rPr>
          <w:rFonts w:ascii="Sylfaen" w:eastAsia="Calibri" w:hAnsi="Sylfaen" w:cs="Times New Roman"/>
          <w:shd w:val="clear" w:color="auto" w:fill="FFFFFF"/>
        </w:rPr>
        <w:t>(1), pp. 2-26.</w:t>
      </w:r>
    </w:p>
    <w:p w14:paraId="3B90F442" w14:textId="29A02CCC" w:rsidR="00AB6015" w:rsidRPr="00AB6015" w:rsidRDefault="00AB6015" w:rsidP="002F1485">
      <w:pPr>
        <w:spacing w:after="160" w:line="360" w:lineRule="auto"/>
        <w:rPr>
          <w:rFonts w:ascii="Sylfaen" w:eastAsia="Calibri" w:hAnsi="Sylfaen" w:cs="Times New Roman"/>
          <w:shd w:val="clear" w:color="auto" w:fill="FFFFFF"/>
        </w:rPr>
      </w:pPr>
      <w:proofErr w:type="spellStart"/>
      <w:r w:rsidRPr="00AB6015">
        <w:rPr>
          <w:rFonts w:ascii="Sylfaen" w:eastAsia="Calibri" w:hAnsi="Sylfaen" w:cs="Times New Roman"/>
          <w:shd w:val="clear" w:color="auto" w:fill="FFFFFF"/>
        </w:rPr>
        <w:t>Tom</w:t>
      </w:r>
      <w:r w:rsidR="00FE70AC">
        <w:rPr>
          <w:rFonts w:ascii="Sylfaen" w:eastAsia="Calibri" w:hAnsi="Sylfaen" w:cs="Times New Roman"/>
          <w:shd w:val="clear" w:color="auto" w:fill="FFFFFF"/>
        </w:rPr>
        <w:t>ik</w:t>
      </w:r>
      <w:proofErr w:type="spellEnd"/>
      <w:r w:rsidR="00FE70AC">
        <w:rPr>
          <w:rFonts w:ascii="Sylfaen" w:eastAsia="Calibri" w:hAnsi="Sylfaen" w:cs="Times New Roman"/>
          <w:shd w:val="clear" w:color="auto" w:fill="FFFFFF"/>
        </w:rPr>
        <w:t xml:space="preserve">, B., &amp; </w:t>
      </w:r>
      <w:proofErr w:type="spellStart"/>
      <w:r w:rsidR="00FE70AC">
        <w:rPr>
          <w:rFonts w:ascii="Sylfaen" w:eastAsia="Calibri" w:hAnsi="Sylfaen" w:cs="Times New Roman"/>
          <w:shd w:val="clear" w:color="auto" w:fill="FFFFFF"/>
        </w:rPr>
        <w:t>Guiloff</w:t>
      </w:r>
      <w:proofErr w:type="spellEnd"/>
      <w:r w:rsidR="00FE70AC">
        <w:rPr>
          <w:rFonts w:ascii="Sylfaen" w:eastAsia="Calibri" w:hAnsi="Sylfaen" w:cs="Times New Roman"/>
          <w:shd w:val="clear" w:color="auto" w:fill="FFFFFF"/>
        </w:rPr>
        <w:t>, R. J. (2010)</w:t>
      </w:r>
      <w:r w:rsidRPr="00AB6015">
        <w:rPr>
          <w:rFonts w:ascii="Sylfaen" w:eastAsia="Calibri" w:hAnsi="Sylfaen" w:cs="Times New Roman"/>
          <w:shd w:val="clear" w:color="auto" w:fill="FFFFFF"/>
        </w:rPr>
        <w:t xml:space="preserve"> </w:t>
      </w:r>
      <w:r w:rsidR="00FE70AC">
        <w:rPr>
          <w:rFonts w:ascii="Sylfaen" w:eastAsia="Calibri" w:hAnsi="Sylfaen" w:cs="Times New Roman"/>
          <w:shd w:val="clear" w:color="auto" w:fill="FFFFFF"/>
        </w:rPr>
        <w:t>‘</w:t>
      </w:r>
      <w:r w:rsidRPr="00AB6015">
        <w:rPr>
          <w:rFonts w:ascii="Sylfaen" w:eastAsia="Calibri" w:hAnsi="Sylfaen" w:cs="Times New Roman"/>
          <w:shd w:val="clear" w:color="auto" w:fill="FFFFFF"/>
        </w:rPr>
        <w:t>Dysarthria in amyotrop</w:t>
      </w:r>
      <w:r w:rsidR="00FE70AC">
        <w:rPr>
          <w:rFonts w:ascii="Sylfaen" w:eastAsia="Calibri" w:hAnsi="Sylfaen" w:cs="Times New Roman"/>
          <w:shd w:val="clear" w:color="auto" w:fill="FFFFFF"/>
        </w:rPr>
        <w:t>hic lateral sclerosis: a review’,</w:t>
      </w:r>
      <w:r w:rsidRPr="00AB6015">
        <w:rPr>
          <w:rFonts w:ascii="Sylfaen" w:eastAsia="Calibri" w:hAnsi="Sylfaen" w:cs="Times New Roman"/>
          <w:shd w:val="clear" w:color="auto" w:fill="FFFFFF"/>
        </w:rPr>
        <w:t> </w:t>
      </w:r>
      <w:r w:rsidRPr="00AB6015">
        <w:rPr>
          <w:rFonts w:ascii="Sylfaen" w:eastAsia="Calibri" w:hAnsi="Sylfaen" w:cs="Times New Roman"/>
          <w:i/>
          <w:iCs/>
          <w:shd w:val="clear" w:color="auto" w:fill="FFFFFF"/>
        </w:rPr>
        <w:t>Amyotrophic Lateral Sclerosis</w:t>
      </w:r>
      <w:r w:rsidRPr="00AB6015">
        <w:rPr>
          <w:rFonts w:ascii="Sylfaen" w:eastAsia="Calibri" w:hAnsi="Sylfaen" w:cs="Times New Roman"/>
          <w:shd w:val="clear" w:color="auto" w:fill="FFFFFF"/>
        </w:rPr>
        <w:t>, </w:t>
      </w:r>
      <w:r w:rsidRPr="00FE70AC">
        <w:rPr>
          <w:rFonts w:ascii="Sylfaen" w:eastAsia="Calibri" w:hAnsi="Sylfaen" w:cs="Times New Roman"/>
          <w:iCs/>
          <w:shd w:val="clear" w:color="auto" w:fill="FFFFFF"/>
        </w:rPr>
        <w:t>11</w:t>
      </w:r>
      <w:r w:rsidRPr="00FE70AC">
        <w:rPr>
          <w:rFonts w:ascii="Sylfaen" w:eastAsia="Calibri" w:hAnsi="Sylfaen" w:cs="Times New Roman"/>
          <w:shd w:val="clear" w:color="auto" w:fill="FFFFFF"/>
        </w:rPr>
        <w:t>(</w:t>
      </w:r>
      <w:r w:rsidRPr="00AB6015">
        <w:rPr>
          <w:rFonts w:ascii="Sylfaen" w:eastAsia="Calibri" w:hAnsi="Sylfaen" w:cs="Times New Roman"/>
          <w:shd w:val="clear" w:color="auto" w:fill="FFFFFF"/>
        </w:rPr>
        <w:t>1-2), pp. 4-15.</w:t>
      </w:r>
    </w:p>
    <w:p w14:paraId="39CBADF3" w14:textId="25A1FF15" w:rsidR="00EA7662" w:rsidRPr="00FE70AC" w:rsidRDefault="00AB6015" w:rsidP="002F1485">
      <w:pPr>
        <w:spacing w:after="160" w:line="360" w:lineRule="auto"/>
        <w:rPr>
          <w:rFonts w:ascii="Sylfaen" w:eastAsia="Calibri" w:hAnsi="Sylfaen" w:cs="Times New Roman"/>
          <w:lang w:eastAsia="en-GB"/>
        </w:rPr>
      </w:pPr>
      <w:proofErr w:type="spellStart"/>
      <w:r w:rsidRPr="00AB6015">
        <w:rPr>
          <w:rFonts w:ascii="Sylfaen" w:eastAsia="Calibri" w:hAnsi="Sylfaen" w:cs="Times New Roman"/>
          <w:shd w:val="clear" w:color="auto" w:fill="FFFFFF"/>
        </w:rPr>
        <w:t>Yorkston</w:t>
      </w:r>
      <w:proofErr w:type="spellEnd"/>
      <w:r w:rsidRPr="00AB6015">
        <w:rPr>
          <w:rFonts w:ascii="Sylfaen" w:eastAsia="Calibri" w:hAnsi="Sylfaen" w:cs="Times New Roman"/>
          <w:shd w:val="clear" w:color="auto" w:fill="FFFFFF"/>
        </w:rPr>
        <w:t xml:space="preserve">, K. M., Strand, </w:t>
      </w:r>
      <w:r w:rsidR="00FE70AC">
        <w:rPr>
          <w:rFonts w:ascii="Sylfaen" w:eastAsia="Calibri" w:hAnsi="Sylfaen" w:cs="Times New Roman"/>
          <w:shd w:val="clear" w:color="auto" w:fill="FFFFFF"/>
        </w:rPr>
        <w:t>E. A., &amp; Kennedy, M. R. (1996) ‘</w:t>
      </w:r>
      <w:r w:rsidRPr="00AB6015">
        <w:rPr>
          <w:rFonts w:ascii="Sylfaen" w:eastAsia="Calibri" w:hAnsi="Sylfaen" w:cs="Times New Roman"/>
          <w:shd w:val="clear" w:color="auto" w:fill="FFFFFF"/>
        </w:rPr>
        <w:t xml:space="preserve">Comprehensibility of </w:t>
      </w:r>
      <w:proofErr w:type="spellStart"/>
      <w:r w:rsidRPr="00AB6015">
        <w:rPr>
          <w:rFonts w:ascii="Sylfaen" w:eastAsia="Calibri" w:hAnsi="Sylfaen" w:cs="Times New Roman"/>
          <w:shd w:val="clear" w:color="auto" w:fill="FFFFFF"/>
        </w:rPr>
        <w:t>Dysarthric</w:t>
      </w:r>
      <w:proofErr w:type="spellEnd"/>
      <w:r w:rsidRPr="00AB6015">
        <w:rPr>
          <w:rFonts w:ascii="Sylfaen" w:eastAsia="Calibri" w:hAnsi="Sylfaen" w:cs="Times New Roman"/>
          <w:shd w:val="clear" w:color="auto" w:fill="FFFFFF"/>
        </w:rPr>
        <w:t xml:space="preserve"> Speech Implications for As</w:t>
      </w:r>
      <w:r w:rsidR="00FE70AC">
        <w:rPr>
          <w:rFonts w:ascii="Sylfaen" w:eastAsia="Calibri" w:hAnsi="Sylfaen" w:cs="Times New Roman"/>
          <w:shd w:val="clear" w:color="auto" w:fill="FFFFFF"/>
        </w:rPr>
        <w:t>sessment and Treatment Planning’,</w:t>
      </w:r>
      <w:r w:rsidRPr="00AB6015">
        <w:rPr>
          <w:rFonts w:ascii="Sylfaen" w:eastAsia="Calibri" w:hAnsi="Sylfaen" w:cs="Times New Roman"/>
          <w:shd w:val="clear" w:color="auto" w:fill="FFFFFF"/>
        </w:rPr>
        <w:t> </w:t>
      </w:r>
      <w:r w:rsidRPr="00AB6015">
        <w:rPr>
          <w:rFonts w:ascii="Sylfaen" w:eastAsia="Calibri" w:hAnsi="Sylfaen" w:cs="Times New Roman"/>
          <w:i/>
          <w:iCs/>
          <w:shd w:val="clear" w:color="auto" w:fill="FFFFFF"/>
        </w:rPr>
        <w:t>American Journal of Speech-Language Pathology</w:t>
      </w:r>
      <w:r w:rsidRPr="00AB6015">
        <w:rPr>
          <w:rFonts w:ascii="Sylfaen" w:eastAsia="Calibri" w:hAnsi="Sylfaen" w:cs="Times New Roman"/>
          <w:shd w:val="clear" w:color="auto" w:fill="FFFFFF"/>
        </w:rPr>
        <w:t>, </w:t>
      </w:r>
      <w:r w:rsidRPr="00FE70AC">
        <w:rPr>
          <w:rFonts w:ascii="Sylfaen" w:eastAsia="Calibri" w:hAnsi="Sylfaen" w:cs="Times New Roman"/>
          <w:iCs/>
          <w:shd w:val="clear" w:color="auto" w:fill="FFFFFF"/>
        </w:rPr>
        <w:t>5</w:t>
      </w:r>
      <w:r w:rsidRPr="00AB6015">
        <w:rPr>
          <w:rFonts w:ascii="Sylfaen" w:eastAsia="Calibri" w:hAnsi="Sylfaen" w:cs="Times New Roman"/>
          <w:shd w:val="clear" w:color="auto" w:fill="FFFFFF"/>
        </w:rPr>
        <w:t>(1), pp. 55-66.</w:t>
      </w:r>
    </w:p>
    <w:sectPr w:rsidR="00EA7662" w:rsidRPr="00FE70AC" w:rsidSect="00BE6334">
      <w:headerReference w:type="default" r:id="rId9"/>
      <w:footerReference w:type="default" r:id="rId10"/>
      <w:footerReference w:type="first" r:id="rId11"/>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4A2EEE" w14:textId="77777777" w:rsidR="00B16807" w:rsidRDefault="00B16807" w:rsidP="002B247D">
      <w:pPr>
        <w:spacing w:after="0" w:line="240" w:lineRule="auto"/>
      </w:pPr>
      <w:r>
        <w:separator/>
      </w:r>
    </w:p>
  </w:endnote>
  <w:endnote w:type="continuationSeparator" w:id="0">
    <w:p w14:paraId="3D5BD86F" w14:textId="77777777" w:rsidR="00B16807" w:rsidRDefault="00B16807" w:rsidP="002B24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inion Pro">
    <w:altName w:val="Minion Pro"/>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08607573"/>
      <w:docPartObj>
        <w:docPartGallery w:val="Page Numbers (Bottom of Page)"/>
        <w:docPartUnique/>
      </w:docPartObj>
    </w:sdtPr>
    <w:sdtEndPr>
      <w:rPr>
        <w:rFonts w:ascii="Sylfaen" w:hAnsi="Sylfaen"/>
        <w:noProof/>
        <w:sz w:val="20"/>
        <w:szCs w:val="20"/>
      </w:rPr>
    </w:sdtEndPr>
    <w:sdtContent>
      <w:p w14:paraId="091AC49B" w14:textId="77777777" w:rsidR="00DC2529" w:rsidRDefault="00DC2529">
        <w:pPr>
          <w:pStyle w:val="Footer"/>
          <w:jc w:val="center"/>
        </w:pPr>
      </w:p>
      <w:p w14:paraId="714ECB7D" w14:textId="3F973445" w:rsidR="00DC2529" w:rsidRDefault="00B16807">
        <w:pPr>
          <w:pStyle w:val="Footer"/>
          <w:jc w:val="center"/>
        </w:pPr>
        <w:r>
          <w:pict w14:anchorId="5BE371F2">
            <v:rect id="_x0000_i1026" style="width:0;height:1.5pt" o:hralign="center" o:hrstd="t" o:hr="t" fillcolor="#a0a0a0" stroked="f"/>
          </w:pict>
        </w:r>
      </w:p>
      <w:p w14:paraId="3655714B" w14:textId="17ECF8B3" w:rsidR="00BE6334" w:rsidRPr="00DC2529" w:rsidRDefault="00BE6334">
        <w:pPr>
          <w:pStyle w:val="Footer"/>
          <w:jc w:val="center"/>
          <w:rPr>
            <w:rFonts w:ascii="Sylfaen" w:hAnsi="Sylfaen"/>
            <w:noProof/>
          </w:rPr>
        </w:pPr>
        <w:r w:rsidRPr="00DC2529">
          <w:rPr>
            <w:rFonts w:ascii="Sylfaen" w:hAnsi="Sylfaen"/>
          </w:rPr>
          <w:fldChar w:fldCharType="begin"/>
        </w:r>
        <w:r w:rsidRPr="00DC2529">
          <w:rPr>
            <w:rFonts w:ascii="Sylfaen" w:hAnsi="Sylfaen"/>
          </w:rPr>
          <w:instrText xml:space="preserve"> PAGE   \* MERGEFORMAT </w:instrText>
        </w:r>
        <w:r w:rsidRPr="00DC2529">
          <w:rPr>
            <w:rFonts w:ascii="Sylfaen" w:hAnsi="Sylfaen"/>
          </w:rPr>
          <w:fldChar w:fldCharType="separate"/>
        </w:r>
        <w:r w:rsidR="00FE70AC">
          <w:rPr>
            <w:rFonts w:ascii="Sylfaen" w:hAnsi="Sylfaen"/>
            <w:noProof/>
          </w:rPr>
          <w:t>12</w:t>
        </w:r>
        <w:r w:rsidRPr="00DC2529">
          <w:rPr>
            <w:rFonts w:ascii="Sylfaen" w:hAnsi="Sylfaen"/>
            <w:noProof/>
          </w:rPr>
          <w:fldChar w:fldCharType="end"/>
        </w:r>
      </w:p>
      <w:p w14:paraId="01B5BDD7" w14:textId="40436107" w:rsidR="00BE6334" w:rsidRPr="00DC2529" w:rsidRDefault="00BE6334">
        <w:pPr>
          <w:pStyle w:val="Footer"/>
          <w:jc w:val="center"/>
          <w:rPr>
            <w:rFonts w:ascii="Sylfaen" w:hAnsi="Sylfaen"/>
            <w:sz w:val="20"/>
            <w:szCs w:val="20"/>
          </w:rPr>
        </w:pPr>
        <w:r w:rsidRPr="00DC2529">
          <w:rPr>
            <w:rFonts w:ascii="Sylfaen" w:hAnsi="Sylfaen"/>
            <w:noProof/>
            <w:sz w:val="20"/>
            <w:szCs w:val="20"/>
          </w:rPr>
          <w:t xml:space="preserve">This article is CC BY </w:t>
        </w:r>
        <w:r w:rsidR="00590BFF" w:rsidRPr="00DC2529">
          <w:rPr>
            <w:rFonts w:ascii="Sylfaen" w:hAnsi="Sylfaen"/>
            <w:noProof/>
            <w:sz w:val="20"/>
            <w:szCs w:val="20"/>
          </w:rPr>
          <w:t>M</w:t>
        </w:r>
        <w:r w:rsidR="00AB6015" w:rsidRPr="00DC2529">
          <w:rPr>
            <w:rFonts w:ascii="Sylfaen" w:hAnsi="Sylfaen"/>
            <w:noProof/>
            <w:sz w:val="20"/>
            <w:szCs w:val="20"/>
          </w:rPr>
          <w:t>ichael Bebbington</w:t>
        </w:r>
        <w:r w:rsidRPr="00DC2529">
          <w:rPr>
            <w:rFonts w:ascii="Sylfaen" w:hAnsi="Sylfaen"/>
            <w:noProof/>
            <w:sz w:val="20"/>
            <w:szCs w:val="20"/>
          </w:rPr>
          <w:tab/>
        </w:r>
        <w:r w:rsidRPr="00DC2529">
          <w:rPr>
            <w:rFonts w:ascii="Sylfaen" w:hAnsi="Sylfaen"/>
            <w:noProof/>
            <w:sz w:val="20"/>
            <w:szCs w:val="20"/>
          </w:rPr>
          <w:tab/>
          <w:t>Essex Student Journal, 201</w:t>
        </w:r>
        <w:r w:rsidR="00D4284D" w:rsidRPr="00DC2529">
          <w:rPr>
            <w:rFonts w:ascii="Sylfaen" w:hAnsi="Sylfaen"/>
            <w:noProof/>
            <w:sz w:val="20"/>
            <w:szCs w:val="20"/>
          </w:rPr>
          <w:t>7</w:t>
        </w:r>
        <w:r w:rsidRPr="00DC2529">
          <w:rPr>
            <w:rFonts w:ascii="Sylfaen" w:hAnsi="Sylfaen"/>
            <w:noProof/>
            <w:sz w:val="20"/>
            <w:szCs w:val="20"/>
          </w:rPr>
          <w:t xml:space="preserve">, Vol </w:t>
        </w:r>
        <w:r w:rsidR="00D4284D" w:rsidRPr="00DC2529">
          <w:rPr>
            <w:rFonts w:ascii="Sylfaen" w:hAnsi="Sylfaen"/>
            <w:noProof/>
            <w:sz w:val="20"/>
            <w:szCs w:val="20"/>
          </w:rPr>
          <w:t>9</w:t>
        </w:r>
        <w:r w:rsidRPr="00DC2529">
          <w:rPr>
            <w:rFonts w:ascii="Sylfaen" w:hAnsi="Sylfaen"/>
            <w:noProof/>
            <w:sz w:val="20"/>
            <w:szCs w:val="20"/>
          </w:rPr>
          <w:t>.</w:t>
        </w:r>
      </w:p>
    </w:sdtContent>
  </w:sdt>
  <w:p w14:paraId="793C577F" w14:textId="3C785661" w:rsidR="00BE6334" w:rsidRPr="00DC2529" w:rsidRDefault="00BE6334">
    <w:pPr>
      <w:pStyle w:val="Footer"/>
      <w:rPr>
        <w:rFonts w:ascii="Sylfaen" w:hAnsi="Sylfaen"/>
        <w:sz w:val="20"/>
        <w:szCs w:val="20"/>
      </w:rPr>
    </w:pPr>
    <w:r w:rsidRPr="00DC2529">
      <w:rPr>
        <w:rFonts w:ascii="Sylfaen" w:hAnsi="Sylfaen"/>
        <w:sz w:val="20"/>
        <w:szCs w:val="20"/>
      </w:rPr>
      <w:t xml:space="preserve">DOI: </w:t>
    </w:r>
    <w:hyperlink r:id="rId1" w:history="1">
      <w:r w:rsidR="00AB6015" w:rsidRPr="00DC2529">
        <w:rPr>
          <w:rStyle w:val="Hyperlink"/>
          <w:rFonts w:ascii="Sylfaen" w:hAnsi="Sylfaen"/>
          <w:sz w:val="20"/>
          <w:szCs w:val="20"/>
        </w:rPr>
        <w:t>https://doi.org/10.5526/esj20</w:t>
      </w:r>
    </w:hyperlink>
    <w:r w:rsidR="00AB6015" w:rsidRPr="00DC2529">
      <w:rPr>
        <w:rFonts w:ascii="Sylfaen" w:hAnsi="Sylfaen"/>
        <w:sz w:val="20"/>
        <w:szCs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25786270"/>
      <w:docPartObj>
        <w:docPartGallery w:val="Page Numbers (Bottom of Page)"/>
        <w:docPartUnique/>
      </w:docPartObj>
    </w:sdtPr>
    <w:sdtEndPr>
      <w:rPr>
        <w:rFonts w:ascii="Sylfaen" w:hAnsi="Sylfaen"/>
        <w:noProof/>
        <w:sz w:val="20"/>
        <w:szCs w:val="20"/>
      </w:rPr>
    </w:sdtEndPr>
    <w:sdtContent>
      <w:p w14:paraId="3CA919C1" w14:textId="77777777" w:rsidR="00DC2529" w:rsidRDefault="00DC2529" w:rsidP="00BE6334">
        <w:pPr>
          <w:pStyle w:val="Footer"/>
          <w:jc w:val="center"/>
        </w:pPr>
      </w:p>
      <w:p w14:paraId="4C1D7F77" w14:textId="22AFD8E4" w:rsidR="00DC2529" w:rsidRDefault="00B16807" w:rsidP="00BE6334">
        <w:pPr>
          <w:pStyle w:val="Footer"/>
          <w:jc w:val="center"/>
        </w:pPr>
        <w:r>
          <w:pict w14:anchorId="4F206271">
            <v:rect id="_x0000_i1027" style="width:0;height:1.5pt" o:hralign="center" o:hrstd="t" o:hr="t" fillcolor="#a0a0a0" stroked="f"/>
          </w:pict>
        </w:r>
      </w:p>
      <w:p w14:paraId="17E0F48F" w14:textId="6F6C5550" w:rsidR="00BE6334" w:rsidRPr="00DC2529" w:rsidRDefault="00BE6334" w:rsidP="00BE6334">
        <w:pPr>
          <w:pStyle w:val="Footer"/>
          <w:jc w:val="center"/>
          <w:rPr>
            <w:rFonts w:ascii="Sylfaen" w:hAnsi="Sylfaen"/>
            <w:noProof/>
          </w:rPr>
        </w:pPr>
        <w:r w:rsidRPr="00DC2529">
          <w:rPr>
            <w:rFonts w:ascii="Sylfaen" w:hAnsi="Sylfaen"/>
          </w:rPr>
          <w:fldChar w:fldCharType="begin"/>
        </w:r>
        <w:r w:rsidRPr="00DC2529">
          <w:rPr>
            <w:rFonts w:ascii="Sylfaen" w:hAnsi="Sylfaen"/>
          </w:rPr>
          <w:instrText xml:space="preserve"> PAGE   \* MERGEFORMAT </w:instrText>
        </w:r>
        <w:r w:rsidRPr="00DC2529">
          <w:rPr>
            <w:rFonts w:ascii="Sylfaen" w:hAnsi="Sylfaen"/>
          </w:rPr>
          <w:fldChar w:fldCharType="separate"/>
        </w:r>
        <w:r w:rsidR="00FE70AC">
          <w:rPr>
            <w:rFonts w:ascii="Sylfaen" w:hAnsi="Sylfaen"/>
            <w:noProof/>
          </w:rPr>
          <w:t>1</w:t>
        </w:r>
        <w:r w:rsidRPr="00DC2529">
          <w:rPr>
            <w:rFonts w:ascii="Sylfaen" w:hAnsi="Sylfaen"/>
            <w:noProof/>
          </w:rPr>
          <w:fldChar w:fldCharType="end"/>
        </w:r>
      </w:p>
      <w:p w14:paraId="2C12D576" w14:textId="1DACB332" w:rsidR="00BE6334" w:rsidRPr="00DC2529" w:rsidRDefault="00BE6334" w:rsidP="00BE6334">
        <w:pPr>
          <w:pStyle w:val="Footer"/>
          <w:jc w:val="center"/>
          <w:rPr>
            <w:rFonts w:ascii="Sylfaen" w:hAnsi="Sylfaen"/>
            <w:sz w:val="20"/>
            <w:szCs w:val="20"/>
          </w:rPr>
        </w:pPr>
        <w:r w:rsidRPr="00DC2529">
          <w:rPr>
            <w:rFonts w:ascii="Sylfaen" w:hAnsi="Sylfaen"/>
            <w:noProof/>
            <w:sz w:val="20"/>
            <w:szCs w:val="20"/>
          </w:rPr>
          <w:t>This article is CC BY</w:t>
        </w:r>
        <w:r w:rsidR="0020222F" w:rsidRPr="00DC2529">
          <w:rPr>
            <w:rFonts w:ascii="Sylfaen" w:hAnsi="Sylfaen"/>
            <w:noProof/>
            <w:sz w:val="20"/>
            <w:szCs w:val="20"/>
          </w:rPr>
          <w:t xml:space="preserve"> </w:t>
        </w:r>
        <w:r w:rsidR="00590BFF" w:rsidRPr="00DC2529">
          <w:rPr>
            <w:rFonts w:ascii="Sylfaen" w:hAnsi="Sylfaen"/>
            <w:noProof/>
            <w:sz w:val="20"/>
            <w:szCs w:val="20"/>
          </w:rPr>
          <w:t>M</w:t>
        </w:r>
        <w:r w:rsidR="00AB6015" w:rsidRPr="00DC2529">
          <w:rPr>
            <w:rFonts w:ascii="Sylfaen" w:hAnsi="Sylfaen"/>
            <w:noProof/>
            <w:sz w:val="20"/>
            <w:szCs w:val="20"/>
          </w:rPr>
          <w:t>ichael Bebbington</w:t>
        </w:r>
        <w:r w:rsidRPr="00DC2529">
          <w:rPr>
            <w:rFonts w:ascii="Sylfaen" w:hAnsi="Sylfaen"/>
            <w:noProof/>
            <w:sz w:val="20"/>
            <w:szCs w:val="20"/>
          </w:rPr>
          <w:tab/>
        </w:r>
        <w:r w:rsidRPr="00DC2529">
          <w:rPr>
            <w:rFonts w:ascii="Sylfaen" w:hAnsi="Sylfaen"/>
            <w:noProof/>
            <w:sz w:val="20"/>
            <w:szCs w:val="20"/>
          </w:rPr>
          <w:tab/>
          <w:t>Essex Student Journal, 201</w:t>
        </w:r>
        <w:r w:rsidR="00D4284D" w:rsidRPr="00DC2529">
          <w:rPr>
            <w:rFonts w:ascii="Sylfaen" w:hAnsi="Sylfaen"/>
            <w:noProof/>
            <w:sz w:val="20"/>
            <w:szCs w:val="20"/>
          </w:rPr>
          <w:t>7</w:t>
        </w:r>
        <w:r w:rsidRPr="00DC2529">
          <w:rPr>
            <w:rFonts w:ascii="Sylfaen" w:hAnsi="Sylfaen"/>
            <w:noProof/>
            <w:sz w:val="20"/>
            <w:szCs w:val="20"/>
          </w:rPr>
          <w:t>, Vol</w:t>
        </w:r>
        <w:r w:rsidR="00D4284D" w:rsidRPr="00DC2529">
          <w:rPr>
            <w:rFonts w:ascii="Sylfaen" w:hAnsi="Sylfaen"/>
            <w:noProof/>
            <w:sz w:val="20"/>
            <w:szCs w:val="20"/>
          </w:rPr>
          <w:t xml:space="preserve"> 9</w:t>
        </w:r>
        <w:r w:rsidRPr="00DC2529">
          <w:rPr>
            <w:rFonts w:ascii="Sylfaen" w:hAnsi="Sylfaen"/>
            <w:noProof/>
            <w:sz w:val="20"/>
            <w:szCs w:val="20"/>
          </w:rPr>
          <w:t>.</w:t>
        </w:r>
      </w:p>
    </w:sdtContent>
  </w:sdt>
  <w:p w14:paraId="6519B2B9" w14:textId="4E7F92C8" w:rsidR="001E5540" w:rsidRPr="00DC2529" w:rsidRDefault="00BE6334">
    <w:pPr>
      <w:pStyle w:val="Footer"/>
      <w:rPr>
        <w:rFonts w:ascii="Sylfaen" w:hAnsi="Sylfaen"/>
        <w:sz w:val="20"/>
        <w:szCs w:val="20"/>
      </w:rPr>
    </w:pPr>
    <w:r w:rsidRPr="00DC2529">
      <w:rPr>
        <w:rFonts w:ascii="Sylfaen" w:hAnsi="Sylfaen"/>
        <w:sz w:val="20"/>
        <w:szCs w:val="20"/>
      </w:rPr>
      <w:t xml:space="preserve">DOI: </w:t>
    </w:r>
    <w:hyperlink r:id="rId1" w:history="1">
      <w:r w:rsidR="00AB6015" w:rsidRPr="00DC2529">
        <w:rPr>
          <w:rStyle w:val="Hyperlink"/>
          <w:rFonts w:ascii="Sylfaen" w:hAnsi="Sylfaen"/>
          <w:sz w:val="20"/>
          <w:szCs w:val="20"/>
        </w:rPr>
        <w:t>https://doi.org/10.5526/esj20</w:t>
      </w:r>
    </w:hyperlink>
    <w:r w:rsidR="00AB6015" w:rsidRPr="00DC2529">
      <w:rPr>
        <w:rFonts w:ascii="Sylfaen" w:hAnsi="Sylfaen"/>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63D77B" w14:textId="77777777" w:rsidR="00B16807" w:rsidRDefault="00B16807" w:rsidP="002B247D">
      <w:pPr>
        <w:spacing w:after="0" w:line="240" w:lineRule="auto"/>
      </w:pPr>
      <w:r>
        <w:separator/>
      </w:r>
    </w:p>
  </w:footnote>
  <w:footnote w:type="continuationSeparator" w:id="0">
    <w:p w14:paraId="2214397D" w14:textId="77777777" w:rsidR="00B16807" w:rsidRDefault="00B16807" w:rsidP="002B247D">
      <w:pPr>
        <w:spacing w:after="0" w:line="240" w:lineRule="auto"/>
      </w:pPr>
      <w:r>
        <w:continuationSeparator/>
      </w:r>
    </w:p>
  </w:footnote>
  <w:footnote w:id="1">
    <w:p w14:paraId="2695EA6E" w14:textId="77777777" w:rsidR="00AB6015" w:rsidRDefault="00AB6015" w:rsidP="00AB6015">
      <w:pPr>
        <w:pStyle w:val="FootnoteText"/>
        <w:rPr>
          <w:rFonts w:ascii="Sylfaen" w:hAnsi="Sylfaen" w:cs="Arial"/>
          <w:sz w:val="20"/>
          <w:szCs w:val="20"/>
        </w:rPr>
      </w:pPr>
      <w:r w:rsidRPr="00AB6015">
        <w:rPr>
          <w:rStyle w:val="FootnoteReference"/>
          <w:rFonts w:ascii="Sylfaen" w:hAnsi="Sylfaen"/>
          <w:sz w:val="20"/>
          <w:szCs w:val="20"/>
        </w:rPr>
        <w:footnoteRef/>
      </w:r>
      <w:r w:rsidRPr="00AB6015">
        <w:rPr>
          <w:rFonts w:ascii="Sylfaen" w:hAnsi="Sylfaen"/>
          <w:sz w:val="20"/>
          <w:szCs w:val="20"/>
        </w:rPr>
        <w:t xml:space="preserve"> Aspiration is the term given for when food/fluid matter enters the airway. If substantial enough this can lead to a chest infection (aspiration pneumonia).</w:t>
      </w:r>
    </w:p>
  </w:footnote>
  <w:footnote w:id="2">
    <w:p w14:paraId="604F3748" w14:textId="77777777" w:rsidR="00AB6015" w:rsidRPr="00AB6015" w:rsidRDefault="00AB6015" w:rsidP="00AB6015">
      <w:pPr>
        <w:pStyle w:val="FootnoteText"/>
        <w:rPr>
          <w:rFonts w:ascii="Sylfaen" w:hAnsi="Sylfaen"/>
          <w:sz w:val="20"/>
          <w:szCs w:val="20"/>
        </w:rPr>
      </w:pPr>
      <w:r w:rsidRPr="00AB6015">
        <w:rPr>
          <w:rStyle w:val="FootnoteReference"/>
          <w:rFonts w:ascii="Sylfaen" w:hAnsi="Sylfaen"/>
          <w:sz w:val="20"/>
          <w:szCs w:val="20"/>
        </w:rPr>
        <w:footnoteRef/>
      </w:r>
      <w:r w:rsidRPr="00AB6015">
        <w:rPr>
          <w:rFonts w:ascii="Sylfaen" w:hAnsi="Sylfaen"/>
          <w:sz w:val="20"/>
          <w:szCs w:val="20"/>
        </w:rPr>
        <w:t xml:space="preserve"> An examination of a patient’s swallowing function using an X-ray machine. </w:t>
      </w:r>
    </w:p>
  </w:footnote>
  <w:footnote w:id="3">
    <w:p w14:paraId="5A089D45" w14:textId="77777777" w:rsidR="00AB6015" w:rsidRDefault="00AB6015" w:rsidP="00AB6015">
      <w:pPr>
        <w:pStyle w:val="FootnoteText"/>
        <w:rPr>
          <w:rFonts w:ascii="Sylfaen" w:hAnsi="Sylfaen"/>
        </w:rPr>
      </w:pPr>
      <w:r w:rsidRPr="00AB6015">
        <w:rPr>
          <w:rStyle w:val="FootnoteReference"/>
          <w:rFonts w:ascii="Sylfaen" w:hAnsi="Sylfaen"/>
          <w:sz w:val="20"/>
          <w:szCs w:val="20"/>
        </w:rPr>
        <w:footnoteRef/>
      </w:r>
      <w:r w:rsidRPr="00AB6015">
        <w:rPr>
          <w:rFonts w:ascii="Sylfaen" w:hAnsi="Sylfaen"/>
          <w:sz w:val="20"/>
          <w:szCs w:val="20"/>
        </w:rPr>
        <w:t xml:space="preserve"> An instrument used to insert foods and fluids directly into a patient’s stomach through the abdominal wall.</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94D3E8" w14:textId="4BB280FD" w:rsidR="002B247D" w:rsidRPr="00DC2529" w:rsidRDefault="00AB6015">
    <w:pPr>
      <w:pStyle w:val="Header"/>
      <w:rPr>
        <w:rFonts w:ascii="Sylfaen" w:hAnsi="Sylfaen"/>
      </w:rPr>
    </w:pPr>
    <w:r w:rsidRPr="00DC2529">
      <w:rPr>
        <w:rFonts w:ascii="Sylfaen" w:hAnsi="Sylfaen"/>
      </w:rPr>
      <w:t>Communication and Swallowing Issues in Patients with Motor Neurone Disease: The Role of Speech and Language Therapy</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770A5B"/>
    <w:multiLevelType w:val="hybridMultilevel"/>
    <w:tmpl w:val="5DB0A154"/>
    <w:lvl w:ilvl="0" w:tplc="DE3EABDA">
      <w:start w:val="1"/>
      <w:numFmt w:val="decimal"/>
      <w:lvlText w:val="%1)"/>
      <w:lvlJc w:val="left"/>
      <w:pPr>
        <w:ind w:left="360" w:hanging="360"/>
      </w:pPr>
    </w:lvl>
    <w:lvl w:ilvl="1" w:tplc="04090017">
      <w:start w:val="1"/>
      <w:numFmt w:val="aiueoFullWidth"/>
      <w:lvlText w:val="(%2)"/>
      <w:lvlJc w:val="left"/>
      <w:pPr>
        <w:ind w:left="960" w:hanging="480"/>
      </w:pPr>
    </w:lvl>
    <w:lvl w:ilvl="2" w:tplc="04090011">
      <w:start w:val="1"/>
      <w:numFmt w:val="decimalEnclosedCircle"/>
      <w:lvlText w:val="%3"/>
      <w:lvlJc w:val="left"/>
      <w:pPr>
        <w:ind w:left="1440" w:hanging="480"/>
      </w:pPr>
    </w:lvl>
    <w:lvl w:ilvl="3" w:tplc="0409000F">
      <w:start w:val="1"/>
      <w:numFmt w:val="decimal"/>
      <w:lvlText w:val="%4."/>
      <w:lvlJc w:val="left"/>
      <w:pPr>
        <w:ind w:left="1920" w:hanging="480"/>
      </w:pPr>
    </w:lvl>
    <w:lvl w:ilvl="4" w:tplc="04090017">
      <w:start w:val="1"/>
      <w:numFmt w:val="aiueoFullWidth"/>
      <w:lvlText w:val="(%5)"/>
      <w:lvlJc w:val="left"/>
      <w:pPr>
        <w:ind w:left="2400" w:hanging="480"/>
      </w:pPr>
    </w:lvl>
    <w:lvl w:ilvl="5" w:tplc="04090011">
      <w:start w:val="1"/>
      <w:numFmt w:val="decimalEnclosedCircle"/>
      <w:lvlText w:val="%6"/>
      <w:lvlJc w:val="left"/>
      <w:pPr>
        <w:ind w:left="2880" w:hanging="480"/>
      </w:pPr>
    </w:lvl>
    <w:lvl w:ilvl="6" w:tplc="0409000F">
      <w:start w:val="1"/>
      <w:numFmt w:val="decimal"/>
      <w:lvlText w:val="%7."/>
      <w:lvlJc w:val="left"/>
      <w:pPr>
        <w:ind w:left="3360" w:hanging="480"/>
      </w:pPr>
    </w:lvl>
    <w:lvl w:ilvl="7" w:tplc="04090017">
      <w:start w:val="1"/>
      <w:numFmt w:val="aiueoFullWidth"/>
      <w:lvlText w:val="(%8)"/>
      <w:lvlJc w:val="left"/>
      <w:pPr>
        <w:ind w:left="3840" w:hanging="480"/>
      </w:pPr>
    </w:lvl>
    <w:lvl w:ilvl="8" w:tplc="04090011">
      <w:start w:val="1"/>
      <w:numFmt w:val="decimalEnclosedCircle"/>
      <w:lvlText w:val="%9"/>
      <w:lvlJc w:val="left"/>
      <w:pPr>
        <w:ind w:left="4320" w:hanging="480"/>
      </w:pPr>
    </w:lvl>
  </w:abstractNum>
  <w:abstractNum w:abstractNumId="1" w15:restartNumberingAfterBreak="0">
    <w:nsid w:val="1C4236B3"/>
    <w:multiLevelType w:val="hybridMultilevel"/>
    <w:tmpl w:val="E31A1434"/>
    <w:lvl w:ilvl="0" w:tplc="5532BA8A">
      <w:start w:val="1"/>
      <w:numFmt w:val="decimal"/>
      <w:lvlText w:val="%1."/>
      <w:lvlJc w:val="left"/>
      <w:pPr>
        <w:ind w:left="1320" w:hanging="360"/>
      </w:pPr>
    </w:lvl>
    <w:lvl w:ilvl="1" w:tplc="04090017">
      <w:start w:val="1"/>
      <w:numFmt w:val="aiueoFullWidth"/>
      <w:lvlText w:val="(%2)"/>
      <w:lvlJc w:val="left"/>
      <w:pPr>
        <w:ind w:left="1920" w:hanging="480"/>
      </w:pPr>
    </w:lvl>
    <w:lvl w:ilvl="2" w:tplc="04090011">
      <w:start w:val="1"/>
      <w:numFmt w:val="decimalEnclosedCircle"/>
      <w:lvlText w:val="%3"/>
      <w:lvlJc w:val="left"/>
      <w:pPr>
        <w:ind w:left="2400" w:hanging="480"/>
      </w:pPr>
    </w:lvl>
    <w:lvl w:ilvl="3" w:tplc="0409000F">
      <w:start w:val="1"/>
      <w:numFmt w:val="decimal"/>
      <w:lvlText w:val="%4."/>
      <w:lvlJc w:val="left"/>
      <w:pPr>
        <w:ind w:left="2880" w:hanging="480"/>
      </w:pPr>
    </w:lvl>
    <w:lvl w:ilvl="4" w:tplc="04090017">
      <w:start w:val="1"/>
      <w:numFmt w:val="aiueoFullWidth"/>
      <w:lvlText w:val="(%5)"/>
      <w:lvlJc w:val="left"/>
      <w:pPr>
        <w:ind w:left="3360" w:hanging="480"/>
      </w:pPr>
    </w:lvl>
    <w:lvl w:ilvl="5" w:tplc="04090011">
      <w:start w:val="1"/>
      <w:numFmt w:val="decimalEnclosedCircle"/>
      <w:lvlText w:val="%6"/>
      <w:lvlJc w:val="left"/>
      <w:pPr>
        <w:ind w:left="3840" w:hanging="480"/>
      </w:pPr>
    </w:lvl>
    <w:lvl w:ilvl="6" w:tplc="0409000F">
      <w:start w:val="1"/>
      <w:numFmt w:val="decimal"/>
      <w:lvlText w:val="%7."/>
      <w:lvlJc w:val="left"/>
      <w:pPr>
        <w:ind w:left="4320" w:hanging="480"/>
      </w:pPr>
    </w:lvl>
    <w:lvl w:ilvl="7" w:tplc="04090017">
      <w:start w:val="1"/>
      <w:numFmt w:val="aiueoFullWidth"/>
      <w:lvlText w:val="(%8)"/>
      <w:lvlJc w:val="left"/>
      <w:pPr>
        <w:ind w:left="4800" w:hanging="480"/>
      </w:pPr>
    </w:lvl>
    <w:lvl w:ilvl="8" w:tplc="04090011">
      <w:start w:val="1"/>
      <w:numFmt w:val="decimalEnclosedCircle"/>
      <w:lvlText w:val="%9"/>
      <w:lvlJc w:val="left"/>
      <w:pPr>
        <w:ind w:left="5280" w:hanging="480"/>
      </w:pPr>
    </w:lvl>
  </w:abstractNum>
  <w:abstractNum w:abstractNumId="2" w15:restartNumberingAfterBreak="0">
    <w:nsid w:val="21724FDF"/>
    <w:multiLevelType w:val="hybridMultilevel"/>
    <w:tmpl w:val="EBC8FF3C"/>
    <w:lvl w:ilvl="0" w:tplc="441E8B70">
      <w:start w:val="1"/>
      <w:numFmt w:val="bullet"/>
      <w:lvlText w:val="•"/>
      <w:lvlJc w:val="left"/>
      <w:pPr>
        <w:tabs>
          <w:tab w:val="num" w:pos="720"/>
        </w:tabs>
        <w:ind w:left="720" w:hanging="360"/>
      </w:pPr>
      <w:rPr>
        <w:rFonts w:ascii="Times New Roman" w:hAnsi="Times New Roman" w:hint="default"/>
      </w:rPr>
    </w:lvl>
    <w:lvl w:ilvl="1" w:tplc="C4AA239E" w:tentative="1">
      <w:start w:val="1"/>
      <w:numFmt w:val="bullet"/>
      <w:lvlText w:val="•"/>
      <w:lvlJc w:val="left"/>
      <w:pPr>
        <w:tabs>
          <w:tab w:val="num" w:pos="1440"/>
        </w:tabs>
        <w:ind w:left="1440" w:hanging="360"/>
      </w:pPr>
      <w:rPr>
        <w:rFonts w:ascii="Times New Roman" w:hAnsi="Times New Roman" w:hint="default"/>
      </w:rPr>
    </w:lvl>
    <w:lvl w:ilvl="2" w:tplc="C688FA74" w:tentative="1">
      <w:start w:val="1"/>
      <w:numFmt w:val="bullet"/>
      <w:lvlText w:val="•"/>
      <w:lvlJc w:val="left"/>
      <w:pPr>
        <w:tabs>
          <w:tab w:val="num" w:pos="2160"/>
        </w:tabs>
        <w:ind w:left="2160" w:hanging="360"/>
      </w:pPr>
      <w:rPr>
        <w:rFonts w:ascii="Times New Roman" w:hAnsi="Times New Roman" w:hint="default"/>
      </w:rPr>
    </w:lvl>
    <w:lvl w:ilvl="3" w:tplc="E89EB91E" w:tentative="1">
      <w:start w:val="1"/>
      <w:numFmt w:val="bullet"/>
      <w:lvlText w:val="•"/>
      <w:lvlJc w:val="left"/>
      <w:pPr>
        <w:tabs>
          <w:tab w:val="num" w:pos="2880"/>
        </w:tabs>
        <w:ind w:left="2880" w:hanging="360"/>
      </w:pPr>
      <w:rPr>
        <w:rFonts w:ascii="Times New Roman" w:hAnsi="Times New Roman" w:hint="default"/>
      </w:rPr>
    </w:lvl>
    <w:lvl w:ilvl="4" w:tplc="2B642010" w:tentative="1">
      <w:start w:val="1"/>
      <w:numFmt w:val="bullet"/>
      <w:lvlText w:val="•"/>
      <w:lvlJc w:val="left"/>
      <w:pPr>
        <w:tabs>
          <w:tab w:val="num" w:pos="3600"/>
        </w:tabs>
        <w:ind w:left="3600" w:hanging="360"/>
      </w:pPr>
      <w:rPr>
        <w:rFonts w:ascii="Times New Roman" w:hAnsi="Times New Roman" w:hint="default"/>
      </w:rPr>
    </w:lvl>
    <w:lvl w:ilvl="5" w:tplc="7674D848" w:tentative="1">
      <w:start w:val="1"/>
      <w:numFmt w:val="bullet"/>
      <w:lvlText w:val="•"/>
      <w:lvlJc w:val="left"/>
      <w:pPr>
        <w:tabs>
          <w:tab w:val="num" w:pos="4320"/>
        </w:tabs>
        <w:ind w:left="4320" w:hanging="360"/>
      </w:pPr>
      <w:rPr>
        <w:rFonts w:ascii="Times New Roman" w:hAnsi="Times New Roman" w:hint="default"/>
      </w:rPr>
    </w:lvl>
    <w:lvl w:ilvl="6" w:tplc="00622B8C" w:tentative="1">
      <w:start w:val="1"/>
      <w:numFmt w:val="bullet"/>
      <w:lvlText w:val="•"/>
      <w:lvlJc w:val="left"/>
      <w:pPr>
        <w:tabs>
          <w:tab w:val="num" w:pos="5040"/>
        </w:tabs>
        <w:ind w:left="5040" w:hanging="360"/>
      </w:pPr>
      <w:rPr>
        <w:rFonts w:ascii="Times New Roman" w:hAnsi="Times New Roman" w:hint="default"/>
      </w:rPr>
    </w:lvl>
    <w:lvl w:ilvl="7" w:tplc="E6F0172E" w:tentative="1">
      <w:start w:val="1"/>
      <w:numFmt w:val="bullet"/>
      <w:lvlText w:val="•"/>
      <w:lvlJc w:val="left"/>
      <w:pPr>
        <w:tabs>
          <w:tab w:val="num" w:pos="5760"/>
        </w:tabs>
        <w:ind w:left="5760" w:hanging="360"/>
      </w:pPr>
      <w:rPr>
        <w:rFonts w:ascii="Times New Roman" w:hAnsi="Times New Roman" w:hint="default"/>
      </w:rPr>
    </w:lvl>
    <w:lvl w:ilvl="8" w:tplc="A1E42A50"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231D45ED"/>
    <w:multiLevelType w:val="hybridMultilevel"/>
    <w:tmpl w:val="AED00FE6"/>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A40252E"/>
    <w:multiLevelType w:val="hybridMultilevel"/>
    <w:tmpl w:val="22C433A4"/>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F602C60"/>
    <w:multiLevelType w:val="hybridMultilevel"/>
    <w:tmpl w:val="047AF996"/>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6A46F91"/>
    <w:multiLevelType w:val="multilevel"/>
    <w:tmpl w:val="954AD08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73E0386"/>
    <w:multiLevelType w:val="hybridMultilevel"/>
    <w:tmpl w:val="CF92BE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E7B30E7"/>
    <w:multiLevelType w:val="hybridMultilevel"/>
    <w:tmpl w:val="FE3021EC"/>
    <w:lvl w:ilvl="0" w:tplc="C9E6F9C8">
      <w:start w:val="1"/>
      <w:numFmt w:val="decimal"/>
      <w:lvlText w:val="%1."/>
      <w:lvlJc w:val="left"/>
      <w:pPr>
        <w:ind w:left="720" w:hanging="360"/>
      </w:pPr>
      <w:rPr>
        <w:rFonts w:ascii="Sylfaen" w:eastAsiaTheme="minorEastAsia" w:hAnsi="Sylfaen"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E8005F9"/>
    <w:multiLevelType w:val="hybridMultilevel"/>
    <w:tmpl w:val="7FF0A7C4"/>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0" w15:restartNumberingAfterBreak="0">
    <w:nsid w:val="3F44561F"/>
    <w:multiLevelType w:val="hybridMultilevel"/>
    <w:tmpl w:val="ABD46D1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1" w15:restartNumberingAfterBreak="0">
    <w:nsid w:val="52BA69FE"/>
    <w:multiLevelType w:val="hybridMultilevel"/>
    <w:tmpl w:val="99560ED6"/>
    <w:lvl w:ilvl="0" w:tplc="ACD050DC">
      <w:start w:val="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33C7D41"/>
    <w:multiLevelType w:val="hybridMultilevel"/>
    <w:tmpl w:val="F830EFBC"/>
    <w:lvl w:ilvl="0" w:tplc="C74069EE">
      <w:start w:val="1"/>
      <w:numFmt w:val="bullet"/>
      <w:lvlText w:val="•"/>
      <w:lvlJc w:val="left"/>
      <w:pPr>
        <w:tabs>
          <w:tab w:val="num" w:pos="720"/>
        </w:tabs>
        <w:ind w:left="720" w:hanging="360"/>
      </w:pPr>
      <w:rPr>
        <w:rFonts w:ascii="Times New Roman" w:hAnsi="Times New Roman" w:hint="default"/>
      </w:rPr>
    </w:lvl>
    <w:lvl w:ilvl="1" w:tplc="25E40EBA" w:tentative="1">
      <w:start w:val="1"/>
      <w:numFmt w:val="bullet"/>
      <w:lvlText w:val="•"/>
      <w:lvlJc w:val="left"/>
      <w:pPr>
        <w:tabs>
          <w:tab w:val="num" w:pos="1440"/>
        </w:tabs>
        <w:ind w:left="1440" w:hanging="360"/>
      </w:pPr>
      <w:rPr>
        <w:rFonts w:ascii="Times New Roman" w:hAnsi="Times New Roman" w:hint="default"/>
      </w:rPr>
    </w:lvl>
    <w:lvl w:ilvl="2" w:tplc="4E50BA1A" w:tentative="1">
      <w:start w:val="1"/>
      <w:numFmt w:val="bullet"/>
      <w:lvlText w:val="•"/>
      <w:lvlJc w:val="left"/>
      <w:pPr>
        <w:tabs>
          <w:tab w:val="num" w:pos="2160"/>
        </w:tabs>
        <w:ind w:left="2160" w:hanging="360"/>
      </w:pPr>
      <w:rPr>
        <w:rFonts w:ascii="Times New Roman" w:hAnsi="Times New Roman" w:hint="default"/>
      </w:rPr>
    </w:lvl>
    <w:lvl w:ilvl="3" w:tplc="2646A8D6" w:tentative="1">
      <w:start w:val="1"/>
      <w:numFmt w:val="bullet"/>
      <w:lvlText w:val="•"/>
      <w:lvlJc w:val="left"/>
      <w:pPr>
        <w:tabs>
          <w:tab w:val="num" w:pos="2880"/>
        </w:tabs>
        <w:ind w:left="2880" w:hanging="360"/>
      </w:pPr>
      <w:rPr>
        <w:rFonts w:ascii="Times New Roman" w:hAnsi="Times New Roman" w:hint="default"/>
      </w:rPr>
    </w:lvl>
    <w:lvl w:ilvl="4" w:tplc="8D100EB2" w:tentative="1">
      <w:start w:val="1"/>
      <w:numFmt w:val="bullet"/>
      <w:lvlText w:val="•"/>
      <w:lvlJc w:val="left"/>
      <w:pPr>
        <w:tabs>
          <w:tab w:val="num" w:pos="3600"/>
        </w:tabs>
        <w:ind w:left="3600" w:hanging="360"/>
      </w:pPr>
      <w:rPr>
        <w:rFonts w:ascii="Times New Roman" w:hAnsi="Times New Roman" w:hint="default"/>
      </w:rPr>
    </w:lvl>
    <w:lvl w:ilvl="5" w:tplc="4872C896" w:tentative="1">
      <w:start w:val="1"/>
      <w:numFmt w:val="bullet"/>
      <w:lvlText w:val="•"/>
      <w:lvlJc w:val="left"/>
      <w:pPr>
        <w:tabs>
          <w:tab w:val="num" w:pos="4320"/>
        </w:tabs>
        <w:ind w:left="4320" w:hanging="360"/>
      </w:pPr>
      <w:rPr>
        <w:rFonts w:ascii="Times New Roman" w:hAnsi="Times New Roman" w:hint="default"/>
      </w:rPr>
    </w:lvl>
    <w:lvl w:ilvl="6" w:tplc="D702E354" w:tentative="1">
      <w:start w:val="1"/>
      <w:numFmt w:val="bullet"/>
      <w:lvlText w:val="•"/>
      <w:lvlJc w:val="left"/>
      <w:pPr>
        <w:tabs>
          <w:tab w:val="num" w:pos="5040"/>
        </w:tabs>
        <w:ind w:left="5040" w:hanging="360"/>
      </w:pPr>
      <w:rPr>
        <w:rFonts w:ascii="Times New Roman" w:hAnsi="Times New Roman" w:hint="default"/>
      </w:rPr>
    </w:lvl>
    <w:lvl w:ilvl="7" w:tplc="D116CD2C" w:tentative="1">
      <w:start w:val="1"/>
      <w:numFmt w:val="bullet"/>
      <w:lvlText w:val="•"/>
      <w:lvlJc w:val="left"/>
      <w:pPr>
        <w:tabs>
          <w:tab w:val="num" w:pos="5760"/>
        </w:tabs>
        <w:ind w:left="5760" w:hanging="360"/>
      </w:pPr>
      <w:rPr>
        <w:rFonts w:ascii="Times New Roman" w:hAnsi="Times New Roman" w:hint="default"/>
      </w:rPr>
    </w:lvl>
    <w:lvl w:ilvl="8" w:tplc="8DF0A638" w:tentative="1">
      <w:start w:val="1"/>
      <w:numFmt w:val="bullet"/>
      <w:lvlText w:val="•"/>
      <w:lvlJc w:val="left"/>
      <w:pPr>
        <w:tabs>
          <w:tab w:val="num" w:pos="6480"/>
        </w:tabs>
        <w:ind w:left="6480" w:hanging="360"/>
      </w:pPr>
      <w:rPr>
        <w:rFonts w:ascii="Times New Roman" w:hAnsi="Times New Roman" w:hint="default"/>
      </w:rPr>
    </w:lvl>
  </w:abstractNum>
  <w:abstractNum w:abstractNumId="13" w15:restartNumberingAfterBreak="0">
    <w:nsid w:val="6A7F5BC9"/>
    <w:multiLevelType w:val="hybridMultilevel"/>
    <w:tmpl w:val="02E20510"/>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4" w15:restartNumberingAfterBreak="0">
    <w:nsid w:val="6BB25FB3"/>
    <w:multiLevelType w:val="hybridMultilevel"/>
    <w:tmpl w:val="3EFCAC22"/>
    <w:lvl w:ilvl="0" w:tplc="30EC5966">
      <w:start w:val="1"/>
      <w:numFmt w:val="bullet"/>
      <w:lvlText w:val="•"/>
      <w:lvlJc w:val="left"/>
      <w:pPr>
        <w:tabs>
          <w:tab w:val="num" w:pos="720"/>
        </w:tabs>
        <w:ind w:left="720" w:hanging="360"/>
      </w:pPr>
      <w:rPr>
        <w:rFonts w:ascii="Times New Roman" w:hAnsi="Times New Roman" w:hint="default"/>
      </w:rPr>
    </w:lvl>
    <w:lvl w:ilvl="1" w:tplc="369EB510" w:tentative="1">
      <w:start w:val="1"/>
      <w:numFmt w:val="bullet"/>
      <w:lvlText w:val="•"/>
      <w:lvlJc w:val="left"/>
      <w:pPr>
        <w:tabs>
          <w:tab w:val="num" w:pos="1440"/>
        </w:tabs>
        <w:ind w:left="1440" w:hanging="360"/>
      </w:pPr>
      <w:rPr>
        <w:rFonts w:ascii="Times New Roman" w:hAnsi="Times New Roman" w:hint="default"/>
      </w:rPr>
    </w:lvl>
    <w:lvl w:ilvl="2" w:tplc="BB9255E0" w:tentative="1">
      <w:start w:val="1"/>
      <w:numFmt w:val="bullet"/>
      <w:lvlText w:val="•"/>
      <w:lvlJc w:val="left"/>
      <w:pPr>
        <w:tabs>
          <w:tab w:val="num" w:pos="2160"/>
        </w:tabs>
        <w:ind w:left="2160" w:hanging="360"/>
      </w:pPr>
      <w:rPr>
        <w:rFonts w:ascii="Times New Roman" w:hAnsi="Times New Roman" w:hint="default"/>
      </w:rPr>
    </w:lvl>
    <w:lvl w:ilvl="3" w:tplc="EE4695A8" w:tentative="1">
      <w:start w:val="1"/>
      <w:numFmt w:val="bullet"/>
      <w:lvlText w:val="•"/>
      <w:lvlJc w:val="left"/>
      <w:pPr>
        <w:tabs>
          <w:tab w:val="num" w:pos="2880"/>
        </w:tabs>
        <w:ind w:left="2880" w:hanging="360"/>
      </w:pPr>
      <w:rPr>
        <w:rFonts w:ascii="Times New Roman" w:hAnsi="Times New Roman" w:hint="default"/>
      </w:rPr>
    </w:lvl>
    <w:lvl w:ilvl="4" w:tplc="DB749A3A" w:tentative="1">
      <w:start w:val="1"/>
      <w:numFmt w:val="bullet"/>
      <w:lvlText w:val="•"/>
      <w:lvlJc w:val="left"/>
      <w:pPr>
        <w:tabs>
          <w:tab w:val="num" w:pos="3600"/>
        </w:tabs>
        <w:ind w:left="3600" w:hanging="360"/>
      </w:pPr>
      <w:rPr>
        <w:rFonts w:ascii="Times New Roman" w:hAnsi="Times New Roman" w:hint="default"/>
      </w:rPr>
    </w:lvl>
    <w:lvl w:ilvl="5" w:tplc="2BC21BDC" w:tentative="1">
      <w:start w:val="1"/>
      <w:numFmt w:val="bullet"/>
      <w:lvlText w:val="•"/>
      <w:lvlJc w:val="left"/>
      <w:pPr>
        <w:tabs>
          <w:tab w:val="num" w:pos="4320"/>
        </w:tabs>
        <w:ind w:left="4320" w:hanging="360"/>
      </w:pPr>
      <w:rPr>
        <w:rFonts w:ascii="Times New Roman" w:hAnsi="Times New Roman" w:hint="default"/>
      </w:rPr>
    </w:lvl>
    <w:lvl w:ilvl="6" w:tplc="45265928" w:tentative="1">
      <w:start w:val="1"/>
      <w:numFmt w:val="bullet"/>
      <w:lvlText w:val="•"/>
      <w:lvlJc w:val="left"/>
      <w:pPr>
        <w:tabs>
          <w:tab w:val="num" w:pos="5040"/>
        </w:tabs>
        <w:ind w:left="5040" w:hanging="360"/>
      </w:pPr>
      <w:rPr>
        <w:rFonts w:ascii="Times New Roman" w:hAnsi="Times New Roman" w:hint="default"/>
      </w:rPr>
    </w:lvl>
    <w:lvl w:ilvl="7" w:tplc="C7AEFA50" w:tentative="1">
      <w:start w:val="1"/>
      <w:numFmt w:val="bullet"/>
      <w:lvlText w:val="•"/>
      <w:lvlJc w:val="left"/>
      <w:pPr>
        <w:tabs>
          <w:tab w:val="num" w:pos="5760"/>
        </w:tabs>
        <w:ind w:left="5760" w:hanging="360"/>
      </w:pPr>
      <w:rPr>
        <w:rFonts w:ascii="Times New Roman" w:hAnsi="Times New Roman" w:hint="default"/>
      </w:rPr>
    </w:lvl>
    <w:lvl w:ilvl="8" w:tplc="9BCA0460" w:tentative="1">
      <w:start w:val="1"/>
      <w:numFmt w:val="bullet"/>
      <w:lvlText w:val="•"/>
      <w:lvlJc w:val="left"/>
      <w:pPr>
        <w:tabs>
          <w:tab w:val="num" w:pos="6480"/>
        </w:tabs>
        <w:ind w:left="6480" w:hanging="360"/>
      </w:pPr>
      <w:rPr>
        <w:rFonts w:ascii="Times New Roman" w:hAnsi="Times New Roman" w:hint="default"/>
      </w:rPr>
    </w:lvl>
  </w:abstractNum>
  <w:abstractNum w:abstractNumId="15" w15:restartNumberingAfterBreak="0">
    <w:nsid w:val="7BF41015"/>
    <w:multiLevelType w:val="hybridMultilevel"/>
    <w:tmpl w:val="3A18211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abstractNumId w:val="8"/>
  </w:num>
  <w:num w:numId="2">
    <w:abstractNumId w:val="2"/>
  </w:num>
  <w:num w:numId="3">
    <w:abstractNumId w:val="12"/>
  </w:num>
  <w:num w:numId="4">
    <w:abstractNumId w:val="14"/>
  </w:num>
  <w:num w:numId="5">
    <w:abstractNumId w:val="5"/>
  </w:num>
  <w:num w:numId="6">
    <w:abstractNumId w:val="4"/>
  </w:num>
  <w:num w:numId="7">
    <w:abstractNumId w:val="3"/>
  </w:num>
  <w:num w:numId="8">
    <w:abstractNumId w:val="6"/>
  </w:num>
  <w:num w:numId="9">
    <w:abstractNumId w:val="7"/>
  </w:num>
  <w:num w:numId="10">
    <w:abstractNumId w:val="11"/>
  </w:num>
  <w:num w:numId="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0FC1"/>
    <w:rsid w:val="00090918"/>
    <w:rsid w:val="000C6DCF"/>
    <w:rsid w:val="000F3166"/>
    <w:rsid w:val="001232EB"/>
    <w:rsid w:val="001360DD"/>
    <w:rsid w:val="001E5540"/>
    <w:rsid w:val="0020222F"/>
    <w:rsid w:val="00240FC1"/>
    <w:rsid w:val="002B247D"/>
    <w:rsid w:val="002F1485"/>
    <w:rsid w:val="00331418"/>
    <w:rsid w:val="00355BD8"/>
    <w:rsid w:val="00374289"/>
    <w:rsid w:val="003950DB"/>
    <w:rsid w:val="00396A37"/>
    <w:rsid w:val="003D7268"/>
    <w:rsid w:val="00435FEC"/>
    <w:rsid w:val="00480ACF"/>
    <w:rsid w:val="004A1B0B"/>
    <w:rsid w:val="004E77C0"/>
    <w:rsid w:val="004F04C9"/>
    <w:rsid w:val="005364B0"/>
    <w:rsid w:val="00556D1D"/>
    <w:rsid w:val="00590BFF"/>
    <w:rsid w:val="005D15F2"/>
    <w:rsid w:val="005D3746"/>
    <w:rsid w:val="00652C06"/>
    <w:rsid w:val="006B45AF"/>
    <w:rsid w:val="006D67F4"/>
    <w:rsid w:val="008D7050"/>
    <w:rsid w:val="009A0883"/>
    <w:rsid w:val="009F4888"/>
    <w:rsid w:val="00A10993"/>
    <w:rsid w:val="00A24878"/>
    <w:rsid w:val="00A42A1E"/>
    <w:rsid w:val="00A538B5"/>
    <w:rsid w:val="00AB6015"/>
    <w:rsid w:val="00AD37FD"/>
    <w:rsid w:val="00AE7E62"/>
    <w:rsid w:val="00B16807"/>
    <w:rsid w:val="00B322FB"/>
    <w:rsid w:val="00B77266"/>
    <w:rsid w:val="00BA4AF7"/>
    <w:rsid w:val="00BC0C64"/>
    <w:rsid w:val="00BE6334"/>
    <w:rsid w:val="00C2271C"/>
    <w:rsid w:val="00C34E81"/>
    <w:rsid w:val="00C35615"/>
    <w:rsid w:val="00C4128C"/>
    <w:rsid w:val="00C71792"/>
    <w:rsid w:val="00C73221"/>
    <w:rsid w:val="00CC529E"/>
    <w:rsid w:val="00D4284D"/>
    <w:rsid w:val="00DC2529"/>
    <w:rsid w:val="00E355F6"/>
    <w:rsid w:val="00E837BC"/>
    <w:rsid w:val="00EA7662"/>
    <w:rsid w:val="00EB0574"/>
    <w:rsid w:val="00ED039A"/>
    <w:rsid w:val="00EE6D69"/>
    <w:rsid w:val="00FA4501"/>
    <w:rsid w:val="00FA764B"/>
    <w:rsid w:val="00FE70A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EAA79E"/>
  <w15:chartTrackingRefBased/>
  <w15:docId w15:val="{AB3FE71F-4D73-486E-9444-069F3C0EC3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C34E81"/>
    <w:pPr>
      <w:keepNext/>
      <w:keepLines/>
      <w:spacing w:before="240" w:after="0" w:line="360" w:lineRule="auto"/>
      <w:outlineLvl w:val="0"/>
    </w:pPr>
    <w:rPr>
      <w:rFonts w:ascii="Sylfaen" w:eastAsiaTheme="majorEastAsia" w:hAnsi="Sylfaen" w:cstheme="majorBidi"/>
      <w:b/>
      <w:szCs w:val="32"/>
    </w:rPr>
  </w:style>
  <w:style w:type="paragraph" w:styleId="Heading2">
    <w:name w:val="heading 2"/>
    <w:basedOn w:val="Normal"/>
    <w:next w:val="Normal"/>
    <w:link w:val="Heading2Char"/>
    <w:uiPriority w:val="9"/>
    <w:unhideWhenUsed/>
    <w:qFormat/>
    <w:rsid w:val="00FA4501"/>
    <w:pPr>
      <w:keepNext/>
      <w:keepLines/>
      <w:spacing w:before="40" w:after="0"/>
      <w:outlineLvl w:val="1"/>
    </w:pPr>
    <w:rPr>
      <w:rFonts w:ascii="Sylfaen" w:eastAsia="SimSun" w:hAnsi="Sylfaen" w:cstheme="majorBidi"/>
      <w:b/>
      <w:bCs/>
      <w:i/>
      <w:iCs/>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240FC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40FC1"/>
    <w:rPr>
      <w:rFonts w:asciiTheme="majorHAnsi" w:eastAsiaTheme="majorEastAsia" w:hAnsiTheme="majorHAnsi" w:cstheme="majorBidi"/>
      <w:spacing w:val="-10"/>
      <w:kern w:val="28"/>
      <w:sz w:val="56"/>
      <w:szCs w:val="56"/>
    </w:rPr>
  </w:style>
  <w:style w:type="paragraph" w:customStyle="1" w:styleId="SectionTitle">
    <w:name w:val="Section Title"/>
    <w:basedOn w:val="Normal"/>
    <w:link w:val="SectionTitleChar"/>
    <w:uiPriority w:val="2"/>
    <w:qFormat/>
    <w:rsid w:val="00240FC1"/>
    <w:pPr>
      <w:pageBreakBefore/>
      <w:spacing w:after="0" w:line="480" w:lineRule="auto"/>
      <w:jc w:val="center"/>
      <w:outlineLvl w:val="0"/>
    </w:pPr>
    <w:rPr>
      <w:rFonts w:asciiTheme="majorHAnsi" w:eastAsiaTheme="majorEastAsia" w:hAnsiTheme="majorHAnsi" w:cstheme="majorBidi"/>
      <w:kern w:val="24"/>
      <w:sz w:val="24"/>
      <w:szCs w:val="24"/>
      <w:lang w:val="en-US" w:eastAsia="ja-JP"/>
    </w:rPr>
  </w:style>
  <w:style w:type="paragraph" w:styleId="NoSpacing">
    <w:name w:val="No Spacing"/>
    <w:aliases w:val="No Indent"/>
    <w:uiPriority w:val="1"/>
    <w:qFormat/>
    <w:rsid w:val="00240FC1"/>
    <w:pPr>
      <w:spacing w:after="0" w:line="480" w:lineRule="auto"/>
    </w:pPr>
    <w:rPr>
      <w:rFonts w:eastAsiaTheme="minorEastAsia"/>
      <w:sz w:val="24"/>
      <w:szCs w:val="24"/>
      <w:lang w:val="en-US" w:eastAsia="ja-JP"/>
    </w:rPr>
  </w:style>
  <w:style w:type="character" w:styleId="Emphasis">
    <w:name w:val="Emphasis"/>
    <w:basedOn w:val="DefaultParagraphFont"/>
    <w:uiPriority w:val="20"/>
    <w:unhideWhenUsed/>
    <w:qFormat/>
    <w:rsid w:val="00240FC1"/>
    <w:rPr>
      <w:i/>
      <w:iCs/>
    </w:rPr>
  </w:style>
  <w:style w:type="paragraph" w:customStyle="1" w:styleId="Abstracttitle">
    <w:name w:val="Abstract title"/>
    <w:basedOn w:val="SectionTitle"/>
    <w:link w:val="AbstracttitleChar"/>
    <w:autoRedefine/>
    <w:rsid w:val="00240FC1"/>
    <w:pPr>
      <w:pageBreakBefore w:val="0"/>
    </w:pPr>
    <w:rPr>
      <w:rFonts w:ascii="Arial" w:hAnsi="Arial"/>
      <w:b/>
      <w:caps/>
    </w:rPr>
  </w:style>
  <w:style w:type="paragraph" w:customStyle="1" w:styleId="Journalarticletitle">
    <w:name w:val="Journal article title"/>
    <w:basedOn w:val="Title"/>
    <w:link w:val="JournalarticletitleChar"/>
    <w:qFormat/>
    <w:rsid w:val="00240FC1"/>
    <w:rPr>
      <w:rFonts w:ascii="Arial Black" w:hAnsi="Arial Black"/>
      <w:sz w:val="52"/>
      <w:szCs w:val="52"/>
    </w:rPr>
  </w:style>
  <w:style w:type="character" w:customStyle="1" w:styleId="SectionTitleChar">
    <w:name w:val="Section Title Char"/>
    <w:basedOn w:val="DefaultParagraphFont"/>
    <w:link w:val="SectionTitle"/>
    <w:uiPriority w:val="2"/>
    <w:rsid w:val="00240FC1"/>
    <w:rPr>
      <w:rFonts w:asciiTheme="majorHAnsi" w:eastAsiaTheme="majorEastAsia" w:hAnsiTheme="majorHAnsi" w:cstheme="majorBidi"/>
      <w:kern w:val="24"/>
      <w:sz w:val="24"/>
      <w:szCs w:val="24"/>
      <w:lang w:val="en-US" w:eastAsia="ja-JP"/>
    </w:rPr>
  </w:style>
  <w:style w:type="character" w:customStyle="1" w:styleId="AbstracttitleChar">
    <w:name w:val="Abstract title Char"/>
    <w:basedOn w:val="SectionTitleChar"/>
    <w:link w:val="Abstracttitle"/>
    <w:rsid w:val="00240FC1"/>
    <w:rPr>
      <w:rFonts w:ascii="Arial" w:eastAsiaTheme="majorEastAsia" w:hAnsi="Arial" w:cstheme="majorBidi"/>
      <w:b/>
      <w:caps/>
      <w:kern w:val="24"/>
      <w:sz w:val="24"/>
      <w:szCs w:val="24"/>
      <w:lang w:val="en-US" w:eastAsia="ja-JP"/>
    </w:rPr>
  </w:style>
  <w:style w:type="paragraph" w:customStyle="1" w:styleId="Abstract">
    <w:name w:val="Abstract"/>
    <w:basedOn w:val="SectionTitle"/>
    <w:link w:val="AbstractChar"/>
    <w:autoRedefine/>
    <w:qFormat/>
    <w:rsid w:val="00A10993"/>
    <w:pPr>
      <w:pageBreakBefore w:val="0"/>
      <w:ind w:left="720"/>
    </w:pPr>
    <w:rPr>
      <w:rFonts w:ascii="Arial" w:hAnsi="Arial"/>
      <w:b/>
      <w:caps/>
      <w:sz w:val="22"/>
    </w:rPr>
  </w:style>
  <w:style w:type="character" w:customStyle="1" w:styleId="JournalarticletitleChar">
    <w:name w:val="Journal article title Char"/>
    <w:basedOn w:val="TitleChar"/>
    <w:link w:val="Journalarticletitle"/>
    <w:rsid w:val="00240FC1"/>
    <w:rPr>
      <w:rFonts w:ascii="Arial Black" w:eastAsiaTheme="majorEastAsia" w:hAnsi="Arial Black" w:cstheme="majorBidi"/>
      <w:spacing w:val="-10"/>
      <w:kern w:val="28"/>
      <w:sz w:val="52"/>
      <w:szCs w:val="52"/>
    </w:rPr>
  </w:style>
  <w:style w:type="character" w:customStyle="1" w:styleId="Heading1Char">
    <w:name w:val="Heading 1 Char"/>
    <w:basedOn w:val="DefaultParagraphFont"/>
    <w:link w:val="Heading1"/>
    <w:uiPriority w:val="9"/>
    <w:rsid w:val="00C34E81"/>
    <w:rPr>
      <w:rFonts w:ascii="Sylfaen" w:eastAsiaTheme="majorEastAsia" w:hAnsi="Sylfaen" w:cstheme="majorBidi"/>
      <w:b/>
      <w:szCs w:val="32"/>
    </w:rPr>
  </w:style>
  <w:style w:type="character" w:customStyle="1" w:styleId="AbstractChar">
    <w:name w:val="Abstract Char"/>
    <w:basedOn w:val="SectionTitleChar"/>
    <w:link w:val="Abstract"/>
    <w:rsid w:val="00A10993"/>
    <w:rPr>
      <w:rFonts w:ascii="Arial" w:eastAsiaTheme="majorEastAsia" w:hAnsi="Arial" w:cstheme="majorBidi"/>
      <w:b/>
      <w:caps/>
      <w:kern w:val="24"/>
      <w:sz w:val="24"/>
      <w:szCs w:val="24"/>
      <w:lang w:val="en-US" w:eastAsia="ja-JP"/>
    </w:rPr>
  </w:style>
  <w:style w:type="paragraph" w:styleId="Header">
    <w:name w:val="header"/>
    <w:basedOn w:val="Normal"/>
    <w:link w:val="HeaderChar"/>
    <w:uiPriority w:val="99"/>
    <w:unhideWhenUsed/>
    <w:rsid w:val="002B247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B247D"/>
  </w:style>
  <w:style w:type="paragraph" w:styleId="Footer">
    <w:name w:val="footer"/>
    <w:basedOn w:val="Normal"/>
    <w:link w:val="FooterChar"/>
    <w:uiPriority w:val="99"/>
    <w:unhideWhenUsed/>
    <w:rsid w:val="002B24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B247D"/>
  </w:style>
  <w:style w:type="paragraph" w:styleId="Bibliography">
    <w:name w:val="Bibliography"/>
    <w:basedOn w:val="Normal"/>
    <w:next w:val="Normal"/>
    <w:uiPriority w:val="37"/>
    <w:unhideWhenUsed/>
    <w:rsid w:val="00A10993"/>
  </w:style>
  <w:style w:type="paragraph" w:styleId="FootnoteText">
    <w:name w:val="footnote text"/>
    <w:basedOn w:val="Normal"/>
    <w:link w:val="FootnoteTextChar"/>
    <w:uiPriority w:val="99"/>
    <w:unhideWhenUsed/>
    <w:rsid w:val="00A10993"/>
    <w:pPr>
      <w:spacing w:after="0" w:line="240" w:lineRule="auto"/>
    </w:pPr>
    <w:rPr>
      <w:rFonts w:ascii="Times New Roman" w:hAnsi="Times New Roman" w:cs="Times New Roman"/>
      <w:sz w:val="24"/>
      <w:szCs w:val="24"/>
      <w:lang w:val="en-US"/>
    </w:rPr>
  </w:style>
  <w:style w:type="character" w:customStyle="1" w:styleId="FootnoteTextChar">
    <w:name w:val="Footnote Text Char"/>
    <w:basedOn w:val="DefaultParagraphFont"/>
    <w:link w:val="FootnoteText"/>
    <w:uiPriority w:val="99"/>
    <w:rsid w:val="00A10993"/>
    <w:rPr>
      <w:rFonts w:ascii="Times New Roman" w:hAnsi="Times New Roman" w:cs="Times New Roman"/>
      <w:sz w:val="24"/>
      <w:szCs w:val="24"/>
      <w:lang w:val="en-US"/>
    </w:rPr>
  </w:style>
  <w:style w:type="character" w:styleId="FootnoteReference">
    <w:name w:val="footnote reference"/>
    <w:basedOn w:val="DefaultParagraphFont"/>
    <w:uiPriority w:val="99"/>
    <w:unhideWhenUsed/>
    <w:rsid w:val="00A10993"/>
    <w:rPr>
      <w:vertAlign w:val="superscript"/>
    </w:rPr>
  </w:style>
  <w:style w:type="paragraph" w:customStyle="1" w:styleId="FootnoteText1">
    <w:name w:val="Footnote Text1"/>
    <w:basedOn w:val="Normal"/>
    <w:rsid w:val="0020222F"/>
    <w:pPr>
      <w:suppressAutoHyphens/>
      <w:spacing w:after="0" w:line="100" w:lineRule="atLeast"/>
    </w:pPr>
    <w:rPr>
      <w:rFonts w:ascii="Calibri" w:eastAsia="SimSun" w:hAnsi="Calibri" w:cs="Calibri"/>
      <w:color w:val="00000A"/>
      <w:kern w:val="2"/>
      <w:sz w:val="20"/>
      <w:szCs w:val="20"/>
    </w:rPr>
  </w:style>
  <w:style w:type="paragraph" w:customStyle="1" w:styleId="Standard">
    <w:name w:val="Standard"/>
    <w:rsid w:val="0020222F"/>
    <w:pPr>
      <w:widowControl w:val="0"/>
      <w:suppressAutoHyphens/>
      <w:autoSpaceDN w:val="0"/>
      <w:spacing w:after="0" w:line="240" w:lineRule="auto"/>
    </w:pPr>
    <w:rPr>
      <w:rFonts w:ascii="Times New Roman" w:eastAsia="SimSun" w:hAnsi="Times New Roman" w:cs="Mangal"/>
      <w:kern w:val="3"/>
      <w:sz w:val="24"/>
      <w:szCs w:val="24"/>
      <w:lang w:eastAsia="zh-CN" w:bidi="hi-IN"/>
    </w:rPr>
  </w:style>
  <w:style w:type="character" w:styleId="Hyperlink">
    <w:name w:val="Hyperlink"/>
    <w:basedOn w:val="DefaultParagraphFont"/>
    <w:uiPriority w:val="99"/>
    <w:unhideWhenUsed/>
    <w:rsid w:val="0020222F"/>
    <w:rPr>
      <w:color w:val="0000FF"/>
      <w:u w:val="single"/>
    </w:rPr>
  </w:style>
  <w:style w:type="character" w:customStyle="1" w:styleId="Heading2Char">
    <w:name w:val="Heading 2 Char"/>
    <w:basedOn w:val="DefaultParagraphFont"/>
    <w:link w:val="Heading2"/>
    <w:uiPriority w:val="9"/>
    <w:rsid w:val="00FA4501"/>
    <w:rPr>
      <w:rFonts w:ascii="Sylfaen" w:eastAsia="SimSun" w:hAnsi="Sylfaen" w:cstheme="majorBidi"/>
      <w:b/>
      <w:bCs/>
      <w:i/>
      <w:iCs/>
      <w:lang w:eastAsia="en-GB"/>
    </w:rPr>
  </w:style>
  <w:style w:type="table" w:customStyle="1" w:styleId="LightShading1">
    <w:name w:val="Light Shading1"/>
    <w:basedOn w:val="TableNormal"/>
    <w:next w:val="LightShading"/>
    <w:uiPriority w:val="60"/>
    <w:rsid w:val="00EB0574"/>
    <w:pPr>
      <w:spacing w:after="0" w:line="240" w:lineRule="auto"/>
    </w:pPr>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
    <w:name w:val="Light Shading"/>
    <w:basedOn w:val="TableNormal"/>
    <w:uiPriority w:val="60"/>
    <w:semiHidden/>
    <w:unhideWhenUsed/>
    <w:rsid w:val="00EB0574"/>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HTMLCite">
    <w:name w:val="HTML Cite"/>
    <w:basedOn w:val="DefaultParagraphFont"/>
    <w:uiPriority w:val="99"/>
    <w:semiHidden/>
    <w:unhideWhenUsed/>
    <w:rsid w:val="005D3746"/>
    <w:rPr>
      <w:i/>
      <w:iCs/>
    </w:rPr>
  </w:style>
  <w:style w:type="paragraph" w:styleId="HTMLPreformatted">
    <w:name w:val="HTML Preformatted"/>
    <w:basedOn w:val="Normal"/>
    <w:link w:val="HTMLPreformattedChar"/>
    <w:uiPriority w:val="99"/>
    <w:semiHidden/>
    <w:unhideWhenUsed/>
    <w:rsid w:val="005D37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GB"/>
    </w:rPr>
  </w:style>
  <w:style w:type="character" w:customStyle="1" w:styleId="HTMLPreformattedChar">
    <w:name w:val="HTML Preformatted Char"/>
    <w:basedOn w:val="DefaultParagraphFont"/>
    <w:link w:val="HTMLPreformatted"/>
    <w:uiPriority w:val="99"/>
    <w:semiHidden/>
    <w:rsid w:val="005D3746"/>
    <w:rPr>
      <w:rFonts w:ascii="Courier New" w:eastAsia="Times New Roman" w:hAnsi="Courier New" w:cs="Courier New"/>
      <w:sz w:val="20"/>
      <w:szCs w:val="20"/>
      <w:lang w:eastAsia="en-GB"/>
    </w:rPr>
  </w:style>
  <w:style w:type="character" w:customStyle="1" w:styleId="itemprop">
    <w:name w:val="itemprop"/>
    <w:basedOn w:val="DefaultParagraphFont"/>
    <w:rsid w:val="005D3746"/>
  </w:style>
  <w:style w:type="character" w:customStyle="1" w:styleId="st">
    <w:name w:val="st"/>
    <w:basedOn w:val="DefaultParagraphFont"/>
    <w:rsid w:val="005D3746"/>
  </w:style>
  <w:style w:type="character" w:customStyle="1" w:styleId="bold">
    <w:name w:val="bold"/>
    <w:basedOn w:val="DefaultParagraphFont"/>
    <w:rsid w:val="005D3746"/>
  </w:style>
  <w:style w:type="character" w:customStyle="1" w:styleId="UnresolvedMention">
    <w:name w:val="Unresolved Mention"/>
    <w:basedOn w:val="DefaultParagraphFont"/>
    <w:uiPriority w:val="99"/>
    <w:semiHidden/>
    <w:unhideWhenUsed/>
    <w:rsid w:val="006D67F4"/>
    <w:rPr>
      <w:color w:val="605E5C"/>
      <w:shd w:val="clear" w:color="auto" w:fill="E1DFDD"/>
    </w:rPr>
  </w:style>
  <w:style w:type="numbering" w:customStyle="1" w:styleId="NoList1">
    <w:name w:val="No List1"/>
    <w:next w:val="NoList"/>
    <w:uiPriority w:val="99"/>
    <w:semiHidden/>
    <w:unhideWhenUsed/>
    <w:rsid w:val="00E837BC"/>
  </w:style>
  <w:style w:type="paragraph" w:styleId="NormalWeb">
    <w:name w:val="Normal (Web)"/>
    <w:basedOn w:val="Normal"/>
    <w:uiPriority w:val="99"/>
    <w:unhideWhenUsed/>
    <w:rsid w:val="00E837B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E837BC"/>
    <w:rPr>
      <w:sz w:val="16"/>
      <w:szCs w:val="16"/>
    </w:rPr>
  </w:style>
  <w:style w:type="paragraph" w:styleId="CommentText">
    <w:name w:val="annotation text"/>
    <w:basedOn w:val="Normal"/>
    <w:link w:val="CommentTextChar"/>
    <w:uiPriority w:val="99"/>
    <w:semiHidden/>
    <w:unhideWhenUsed/>
    <w:rsid w:val="00E837BC"/>
    <w:pPr>
      <w:spacing w:after="160" w:line="240" w:lineRule="auto"/>
    </w:pPr>
    <w:rPr>
      <w:sz w:val="20"/>
      <w:szCs w:val="20"/>
    </w:rPr>
  </w:style>
  <w:style w:type="character" w:customStyle="1" w:styleId="CommentTextChar">
    <w:name w:val="Comment Text Char"/>
    <w:basedOn w:val="DefaultParagraphFont"/>
    <w:link w:val="CommentText"/>
    <w:uiPriority w:val="99"/>
    <w:semiHidden/>
    <w:rsid w:val="00E837BC"/>
    <w:rPr>
      <w:sz w:val="20"/>
      <w:szCs w:val="20"/>
    </w:rPr>
  </w:style>
  <w:style w:type="paragraph" w:styleId="CommentSubject">
    <w:name w:val="annotation subject"/>
    <w:basedOn w:val="CommentText"/>
    <w:next w:val="CommentText"/>
    <w:link w:val="CommentSubjectChar"/>
    <w:uiPriority w:val="99"/>
    <w:semiHidden/>
    <w:unhideWhenUsed/>
    <w:rsid w:val="00E837BC"/>
    <w:rPr>
      <w:b/>
      <w:bCs/>
    </w:rPr>
  </w:style>
  <w:style w:type="character" w:customStyle="1" w:styleId="CommentSubjectChar">
    <w:name w:val="Comment Subject Char"/>
    <w:basedOn w:val="CommentTextChar"/>
    <w:link w:val="CommentSubject"/>
    <w:uiPriority w:val="99"/>
    <w:semiHidden/>
    <w:rsid w:val="00E837BC"/>
    <w:rPr>
      <w:b/>
      <w:bCs/>
      <w:sz w:val="20"/>
      <w:szCs w:val="20"/>
    </w:rPr>
  </w:style>
  <w:style w:type="paragraph" w:styleId="BalloonText">
    <w:name w:val="Balloon Text"/>
    <w:basedOn w:val="Normal"/>
    <w:link w:val="BalloonTextChar"/>
    <w:uiPriority w:val="99"/>
    <w:semiHidden/>
    <w:unhideWhenUsed/>
    <w:rsid w:val="00E837B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837BC"/>
    <w:rPr>
      <w:rFonts w:ascii="Segoe UI" w:hAnsi="Segoe UI" w:cs="Segoe UI"/>
      <w:sz w:val="18"/>
      <w:szCs w:val="18"/>
    </w:rPr>
  </w:style>
  <w:style w:type="paragraph" w:styleId="ListParagraph">
    <w:name w:val="List Paragraph"/>
    <w:basedOn w:val="Normal"/>
    <w:uiPriority w:val="34"/>
    <w:qFormat/>
    <w:rsid w:val="00E837BC"/>
    <w:pPr>
      <w:spacing w:after="160" w:line="259" w:lineRule="auto"/>
      <w:ind w:left="720"/>
      <w:contextualSpacing/>
    </w:pPr>
  </w:style>
  <w:style w:type="character" w:customStyle="1" w:styleId="cit-pub-id-scheme-pmid">
    <w:name w:val="cit-pub-id-scheme-pmid"/>
    <w:basedOn w:val="DefaultParagraphFont"/>
    <w:rsid w:val="00E837BC"/>
  </w:style>
  <w:style w:type="numbering" w:customStyle="1" w:styleId="NoList2">
    <w:name w:val="No List2"/>
    <w:next w:val="NoList"/>
    <w:uiPriority w:val="99"/>
    <w:semiHidden/>
    <w:unhideWhenUsed/>
    <w:rsid w:val="00C73221"/>
  </w:style>
  <w:style w:type="character" w:customStyle="1" w:styleId="apple-converted-space">
    <w:name w:val="apple-converted-space"/>
    <w:basedOn w:val="DefaultParagraphFont"/>
    <w:rsid w:val="00C73221"/>
  </w:style>
  <w:style w:type="character" w:styleId="Strong">
    <w:name w:val="Strong"/>
    <w:uiPriority w:val="22"/>
    <w:qFormat/>
    <w:rsid w:val="00C73221"/>
    <w:rPr>
      <w:b/>
      <w:bCs/>
    </w:rPr>
  </w:style>
  <w:style w:type="table" w:styleId="TableGrid">
    <w:name w:val="Table Grid"/>
    <w:basedOn w:val="TableNormal"/>
    <w:uiPriority w:val="39"/>
    <w:rsid w:val="00FA764B"/>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90BFF"/>
    <w:pPr>
      <w:autoSpaceDE w:val="0"/>
      <w:autoSpaceDN w:val="0"/>
      <w:adjustRightInd w:val="0"/>
      <w:spacing w:after="0" w:line="240" w:lineRule="auto"/>
    </w:pPr>
    <w:rPr>
      <w:rFonts w:ascii="Minion Pro" w:eastAsiaTheme="minorEastAsia" w:hAnsi="Minion Pro" w:cs="Minion Pro"/>
      <w:color w:val="000000"/>
      <w:sz w:val="24"/>
      <w:szCs w:val="24"/>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06251">
      <w:bodyDiv w:val="1"/>
      <w:marLeft w:val="0"/>
      <w:marRight w:val="0"/>
      <w:marTop w:val="0"/>
      <w:marBottom w:val="0"/>
      <w:divBdr>
        <w:top w:val="none" w:sz="0" w:space="0" w:color="auto"/>
        <w:left w:val="none" w:sz="0" w:space="0" w:color="auto"/>
        <w:bottom w:val="none" w:sz="0" w:space="0" w:color="auto"/>
        <w:right w:val="none" w:sz="0" w:space="0" w:color="auto"/>
      </w:divBdr>
    </w:div>
    <w:div w:id="22944251">
      <w:bodyDiv w:val="1"/>
      <w:marLeft w:val="0"/>
      <w:marRight w:val="0"/>
      <w:marTop w:val="0"/>
      <w:marBottom w:val="0"/>
      <w:divBdr>
        <w:top w:val="none" w:sz="0" w:space="0" w:color="auto"/>
        <w:left w:val="none" w:sz="0" w:space="0" w:color="auto"/>
        <w:bottom w:val="none" w:sz="0" w:space="0" w:color="auto"/>
        <w:right w:val="none" w:sz="0" w:space="0" w:color="auto"/>
      </w:divBdr>
    </w:div>
    <w:div w:id="62684990">
      <w:bodyDiv w:val="1"/>
      <w:marLeft w:val="0"/>
      <w:marRight w:val="0"/>
      <w:marTop w:val="0"/>
      <w:marBottom w:val="0"/>
      <w:divBdr>
        <w:top w:val="none" w:sz="0" w:space="0" w:color="auto"/>
        <w:left w:val="none" w:sz="0" w:space="0" w:color="auto"/>
        <w:bottom w:val="none" w:sz="0" w:space="0" w:color="auto"/>
        <w:right w:val="none" w:sz="0" w:space="0" w:color="auto"/>
      </w:divBdr>
    </w:div>
    <w:div w:id="79955305">
      <w:bodyDiv w:val="1"/>
      <w:marLeft w:val="0"/>
      <w:marRight w:val="0"/>
      <w:marTop w:val="0"/>
      <w:marBottom w:val="0"/>
      <w:divBdr>
        <w:top w:val="none" w:sz="0" w:space="0" w:color="auto"/>
        <w:left w:val="none" w:sz="0" w:space="0" w:color="auto"/>
        <w:bottom w:val="none" w:sz="0" w:space="0" w:color="auto"/>
        <w:right w:val="none" w:sz="0" w:space="0" w:color="auto"/>
      </w:divBdr>
    </w:div>
    <w:div w:id="149296668">
      <w:bodyDiv w:val="1"/>
      <w:marLeft w:val="0"/>
      <w:marRight w:val="0"/>
      <w:marTop w:val="0"/>
      <w:marBottom w:val="0"/>
      <w:divBdr>
        <w:top w:val="none" w:sz="0" w:space="0" w:color="auto"/>
        <w:left w:val="none" w:sz="0" w:space="0" w:color="auto"/>
        <w:bottom w:val="none" w:sz="0" w:space="0" w:color="auto"/>
        <w:right w:val="none" w:sz="0" w:space="0" w:color="auto"/>
      </w:divBdr>
    </w:div>
    <w:div w:id="177626429">
      <w:bodyDiv w:val="1"/>
      <w:marLeft w:val="0"/>
      <w:marRight w:val="0"/>
      <w:marTop w:val="0"/>
      <w:marBottom w:val="0"/>
      <w:divBdr>
        <w:top w:val="none" w:sz="0" w:space="0" w:color="auto"/>
        <w:left w:val="none" w:sz="0" w:space="0" w:color="auto"/>
        <w:bottom w:val="none" w:sz="0" w:space="0" w:color="auto"/>
        <w:right w:val="none" w:sz="0" w:space="0" w:color="auto"/>
      </w:divBdr>
    </w:div>
    <w:div w:id="182135814">
      <w:bodyDiv w:val="1"/>
      <w:marLeft w:val="0"/>
      <w:marRight w:val="0"/>
      <w:marTop w:val="0"/>
      <w:marBottom w:val="0"/>
      <w:divBdr>
        <w:top w:val="none" w:sz="0" w:space="0" w:color="auto"/>
        <w:left w:val="none" w:sz="0" w:space="0" w:color="auto"/>
        <w:bottom w:val="none" w:sz="0" w:space="0" w:color="auto"/>
        <w:right w:val="none" w:sz="0" w:space="0" w:color="auto"/>
      </w:divBdr>
    </w:div>
    <w:div w:id="197815101">
      <w:bodyDiv w:val="1"/>
      <w:marLeft w:val="0"/>
      <w:marRight w:val="0"/>
      <w:marTop w:val="0"/>
      <w:marBottom w:val="0"/>
      <w:divBdr>
        <w:top w:val="none" w:sz="0" w:space="0" w:color="auto"/>
        <w:left w:val="none" w:sz="0" w:space="0" w:color="auto"/>
        <w:bottom w:val="none" w:sz="0" w:space="0" w:color="auto"/>
        <w:right w:val="none" w:sz="0" w:space="0" w:color="auto"/>
      </w:divBdr>
    </w:div>
    <w:div w:id="411245257">
      <w:bodyDiv w:val="1"/>
      <w:marLeft w:val="0"/>
      <w:marRight w:val="0"/>
      <w:marTop w:val="0"/>
      <w:marBottom w:val="0"/>
      <w:divBdr>
        <w:top w:val="none" w:sz="0" w:space="0" w:color="auto"/>
        <w:left w:val="none" w:sz="0" w:space="0" w:color="auto"/>
        <w:bottom w:val="none" w:sz="0" w:space="0" w:color="auto"/>
        <w:right w:val="none" w:sz="0" w:space="0" w:color="auto"/>
      </w:divBdr>
    </w:div>
    <w:div w:id="431390215">
      <w:bodyDiv w:val="1"/>
      <w:marLeft w:val="0"/>
      <w:marRight w:val="0"/>
      <w:marTop w:val="0"/>
      <w:marBottom w:val="0"/>
      <w:divBdr>
        <w:top w:val="none" w:sz="0" w:space="0" w:color="auto"/>
        <w:left w:val="none" w:sz="0" w:space="0" w:color="auto"/>
        <w:bottom w:val="none" w:sz="0" w:space="0" w:color="auto"/>
        <w:right w:val="none" w:sz="0" w:space="0" w:color="auto"/>
      </w:divBdr>
    </w:div>
    <w:div w:id="486753363">
      <w:bodyDiv w:val="1"/>
      <w:marLeft w:val="0"/>
      <w:marRight w:val="0"/>
      <w:marTop w:val="0"/>
      <w:marBottom w:val="0"/>
      <w:divBdr>
        <w:top w:val="none" w:sz="0" w:space="0" w:color="auto"/>
        <w:left w:val="none" w:sz="0" w:space="0" w:color="auto"/>
        <w:bottom w:val="none" w:sz="0" w:space="0" w:color="auto"/>
        <w:right w:val="none" w:sz="0" w:space="0" w:color="auto"/>
      </w:divBdr>
    </w:div>
    <w:div w:id="488441890">
      <w:bodyDiv w:val="1"/>
      <w:marLeft w:val="0"/>
      <w:marRight w:val="0"/>
      <w:marTop w:val="0"/>
      <w:marBottom w:val="0"/>
      <w:divBdr>
        <w:top w:val="none" w:sz="0" w:space="0" w:color="auto"/>
        <w:left w:val="none" w:sz="0" w:space="0" w:color="auto"/>
        <w:bottom w:val="none" w:sz="0" w:space="0" w:color="auto"/>
        <w:right w:val="none" w:sz="0" w:space="0" w:color="auto"/>
      </w:divBdr>
    </w:div>
    <w:div w:id="525219623">
      <w:bodyDiv w:val="1"/>
      <w:marLeft w:val="0"/>
      <w:marRight w:val="0"/>
      <w:marTop w:val="0"/>
      <w:marBottom w:val="0"/>
      <w:divBdr>
        <w:top w:val="none" w:sz="0" w:space="0" w:color="auto"/>
        <w:left w:val="none" w:sz="0" w:space="0" w:color="auto"/>
        <w:bottom w:val="none" w:sz="0" w:space="0" w:color="auto"/>
        <w:right w:val="none" w:sz="0" w:space="0" w:color="auto"/>
      </w:divBdr>
    </w:div>
    <w:div w:id="549339625">
      <w:bodyDiv w:val="1"/>
      <w:marLeft w:val="0"/>
      <w:marRight w:val="0"/>
      <w:marTop w:val="0"/>
      <w:marBottom w:val="0"/>
      <w:divBdr>
        <w:top w:val="none" w:sz="0" w:space="0" w:color="auto"/>
        <w:left w:val="none" w:sz="0" w:space="0" w:color="auto"/>
        <w:bottom w:val="none" w:sz="0" w:space="0" w:color="auto"/>
        <w:right w:val="none" w:sz="0" w:space="0" w:color="auto"/>
      </w:divBdr>
    </w:div>
    <w:div w:id="549654175">
      <w:bodyDiv w:val="1"/>
      <w:marLeft w:val="0"/>
      <w:marRight w:val="0"/>
      <w:marTop w:val="0"/>
      <w:marBottom w:val="0"/>
      <w:divBdr>
        <w:top w:val="none" w:sz="0" w:space="0" w:color="auto"/>
        <w:left w:val="none" w:sz="0" w:space="0" w:color="auto"/>
        <w:bottom w:val="none" w:sz="0" w:space="0" w:color="auto"/>
        <w:right w:val="none" w:sz="0" w:space="0" w:color="auto"/>
      </w:divBdr>
    </w:div>
    <w:div w:id="563832012">
      <w:bodyDiv w:val="1"/>
      <w:marLeft w:val="0"/>
      <w:marRight w:val="0"/>
      <w:marTop w:val="0"/>
      <w:marBottom w:val="0"/>
      <w:divBdr>
        <w:top w:val="none" w:sz="0" w:space="0" w:color="auto"/>
        <w:left w:val="none" w:sz="0" w:space="0" w:color="auto"/>
        <w:bottom w:val="none" w:sz="0" w:space="0" w:color="auto"/>
        <w:right w:val="none" w:sz="0" w:space="0" w:color="auto"/>
      </w:divBdr>
    </w:div>
    <w:div w:id="574437322">
      <w:bodyDiv w:val="1"/>
      <w:marLeft w:val="0"/>
      <w:marRight w:val="0"/>
      <w:marTop w:val="0"/>
      <w:marBottom w:val="0"/>
      <w:divBdr>
        <w:top w:val="none" w:sz="0" w:space="0" w:color="auto"/>
        <w:left w:val="none" w:sz="0" w:space="0" w:color="auto"/>
        <w:bottom w:val="none" w:sz="0" w:space="0" w:color="auto"/>
        <w:right w:val="none" w:sz="0" w:space="0" w:color="auto"/>
      </w:divBdr>
    </w:div>
    <w:div w:id="592517885">
      <w:bodyDiv w:val="1"/>
      <w:marLeft w:val="0"/>
      <w:marRight w:val="0"/>
      <w:marTop w:val="0"/>
      <w:marBottom w:val="0"/>
      <w:divBdr>
        <w:top w:val="none" w:sz="0" w:space="0" w:color="auto"/>
        <w:left w:val="none" w:sz="0" w:space="0" w:color="auto"/>
        <w:bottom w:val="none" w:sz="0" w:space="0" w:color="auto"/>
        <w:right w:val="none" w:sz="0" w:space="0" w:color="auto"/>
      </w:divBdr>
    </w:div>
    <w:div w:id="593056412">
      <w:bodyDiv w:val="1"/>
      <w:marLeft w:val="0"/>
      <w:marRight w:val="0"/>
      <w:marTop w:val="0"/>
      <w:marBottom w:val="0"/>
      <w:divBdr>
        <w:top w:val="none" w:sz="0" w:space="0" w:color="auto"/>
        <w:left w:val="none" w:sz="0" w:space="0" w:color="auto"/>
        <w:bottom w:val="none" w:sz="0" w:space="0" w:color="auto"/>
        <w:right w:val="none" w:sz="0" w:space="0" w:color="auto"/>
      </w:divBdr>
    </w:div>
    <w:div w:id="594243246">
      <w:bodyDiv w:val="1"/>
      <w:marLeft w:val="0"/>
      <w:marRight w:val="0"/>
      <w:marTop w:val="0"/>
      <w:marBottom w:val="0"/>
      <w:divBdr>
        <w:top w:val="none" w:sz="0" w:space="0" w:color="auto"/>
        <w:left w:val="none" w:sz="0" w:space="0" w:color="auto"/>
        <w:bottom w:val="none" w:sz="0" w:space="0" w:color="auto"/>
        <w:right w:val="none" w:sz="0" w:space="0" w:color="auto"/>
      </w:divBdr>
    </w:div>
    <w:div w:id="610741131">
      <w:bodyDiv w:val="1"/>
      <w:marLeft w:val="0"/>
      <w:marRight w:val="0"/>
      <w:marTop w:val="0"/>
      <w:marBottom w:val="0"/>
      <w:divBdr>
        <w:top w:val="none" w:sz="0" w:space="0" w:color="auto"/>
        <w:left w:val="none" w:sz="0" w:space="0" w:color="auto"/>
        <w:bottom w:val="none" w:sz="0" w:space="0" w:color="auto"/>
        <w:right w:val="none" w:sz="0" w:space="0" w:color="auto"/>
      </w:divBdr>
    </w:div>
    <w:div w:id="650790340">
      <w:bodyDiv w:val="1"/>
      <w:marLeft w:val="0"/>
      <w:marRight w:val="0"/>
      <w:marTop w:val="0"/>
      <w:marBottom w:val="0"/>
      <w:divBdr>
        <w:top w:val="none" w:sz="0" w:space="0" w:color="auto"/>
        <w:left w:val="none" w:sz="0" w:space="0" w:color="auto"/>
        <w:bottom w:val="none" w:sz="0" w:space="0" w:color="auto"/>
        <w:right w:val="none" w:sz="0" w:space="0" w:color="auto"/>
      </w:divBdr>
    </w:div>
    <w:div w:id="661196903">
      <w:bodyDiv w:val="1"/>
      <w:marLeft w:val="0"/>
      <w:marRight w:val="0"/>
      <w:marTop w:val="0"/>
      <w:marBottom w:val="0"/>
      <w:divBdr>
        <w:top w:val="none" w:sz="0" w:space="0" w:color="auto"/>
        <w:left w:val="none" w:sz="0" w:space="0" w:color="auto"/>
        <w:bottom w:val="none" w:sz="0" w:space="0" w:color="auto"/>
        <w:right w:val="none" w:sz="0" w:space="0" w:color="auto"/>
      </w:divBdr>
    </w:div>
    <w:div w:id="692533928">
      <w:bodyDiv w:val="1"/>
      <w:marLeft w:val="0"/>
      <w:marRight w:val="0"/>
      <w:marTop w:val="0"/>
      <w:marBottom w:val="0"/>
      <w:divBdr>
        <w:top w:val="none" w:sz="0" w:space="0" w:color="auto"/>
        <w:left w:val="none" w:sz="0" w:space="0" w:color="auto"/>
        <w:bottom w:val="none" w:sz="0" w:space="0" w:color="auto"/>
        <w:right w:val="none" w:sz="0" w:space="0" w:color="auto"/>
      </w:divBdr>
    </w:div>
    <w:div w:id="781144085">
      <w:bodyDiv w:val="1"/>
      <w:marLeft w:val="0"/>
      <w:marRight w:val="0"/>
      <w:marTop w:val="0"/>
      <w:marBottom w:val="0"/>
      <w:divBdr>
        <w:top w:val="none" w:sz="0" w:space="0" w:color="auto"/>
        <w:left w:val="none" w:sz="0" w:space="0" w:color="auto"/>
        <w:bottom w:val="none" w:sz="0" w:space="0" w:color="auto"/>
        <w:right w:val="none" w:sz="0" w:space="0" w:color="auto"/>
      </w:divBdr>
    </w:div>
    <w:div w:id="830682026">
      <w:bodyDiv w:val="1"/>
      <w:marLeft w:val="0"/>
      <w:marRight w:val="0"/>
      <w:marTop w:val="0"/>
      <w:marBottom w:val="0"/>
      <w:divBdr>
        <w:top w:val="none" w:sz="0" w:space="0" w:color="auto"/>
        <w:left w:val="none" w:sz="0" w:space="0" w:color="auto"/>
        <w:bottom w:val="none" w:sz="0" w:space="0" w:color="auto"/>
        <w:right w:val="none" w:sz="0" w:space="0" w:color="auto"/>
      </w:divBdr>
    </w:div>
    <w:div w:id="875699930">
      <w:bodyDiv w:val="1"/>
      <w:marLeft w:val="0"/>
      <w:marRight w:val="0"/>
      <w:marTop w:val="0"/>
      <w:marBottom w:val="0"/>
      <w:divBdr>
        <w:top w:val="none" w:sz="0" w:space="0" w:color="auto"/>
        <w:left w:val="none" w:sz="0" w:space="0" w:color="auto"/>
        <w:bottom w:val="none" w:sz="0" w:space="0" w:color="auto"/>
        <w:right w:val="none" w:sz="0" w:space="0" w:color="auto"/>
      </w:divBdr>
    </w:div>
    <w:div w:id="876822131">
      <w:bodyDiv w:val="1"/>
      <w:marLeft w:val="0"/>
      <w:marRight w:val="0"/>
      <w:marTop w:val="0"/>
      <w:marBottom w:val="0"/>
      <w:divBdr>
        <w:top w:val="none" w:sz="0" w:space="0" w:color="auto"/>
        <w:left w:val="none" w:sz="0" w:space="0" w:color="auto"/>
        <w:bottom w:val="none" w:sz="0" w:space="0" w:color="auto"/>
        <w:right w:val="none" w:sz="0" w:space="0" w:color="auto"/>
      </w:divBdr>
    </w:div>
    <w:div w:id="898053045">
      <w:bodyDiv w:val="1"/>
      <w:marLeft w:val="0"/>
      <w:marRight w:val="0"/>
      <w:marTop w:val="0"/>
      <w:marBottom w:val="0"/>
      <w:divBdr>
        <w:top w:val="none" w:sz="0" w:space="0" w:color="auto"/>
        <w:left w:val="none" w:sz="0" w:space="0" w:color="auto"/>
        <w:bottom w:val="none" w:sz="0" w:space="0" w:color="auto"/>
        <w:right w:val="none" w:sz="0" w:space="0" w:color="auto"/>
      </w:divBdr>
    </w:div>
    <w:div w:id="901134346">
      <w:bodyDiv w:val="1"/>
      <w:marLeft w:val="0"/>
      <w:marRight w:val="0"/>
      <w:marTop w:val="0"/>
      <w:marBottom w:val="0"/>
      <w:divBdr>
        <w:top w:val="none" w:sz="0" w:space="0" w:color="auto"/>
        <w:left w:val="none" w:sz="0" w:space="0" w:color="auto"/>
        <w:bottom w:val="none" w:sz="0" w:space="0" w:color="auto"/>
        <w:right w:val="none" w:sz="0" w:space="0" w:color="auto"/>
      </w:divBdr>
    </w:div>
    <w:div w:id="926427274">
      <w:bodyDiv w:val="1"/>
      <w:marLeft w:val="0"/>
      <w:marRight w:val="0"/>
      <w:marTop w:val="0"/>
      <w:marBottom w:val="0"/>
      <w:divBdr>
        <w:top w:val="none" w:sz="0" w:space="0" w:color="auto"/>
        <w:left w:val="none" w:sz="0" w:space="0" w:color="auto"/>
        <w:bottom w:val="none" w:sz="0" w:space="0" w:color="auto"/>
        <w:right w:val="none" w:sz="0" w:space="0" w:color="auto"/>
      </w:divBdr>
    </w:div>
    <w:div w:id="960572174">
      <w:bodyDiv w:val="1"/>
      <w:marLeft w:val="0"/>
      <w:marRight w:val="0"/>
      <w:marTop w:val="0"/>
      <w:marBottom w:val="0"/>
      <w:divBdr>
        <w:top w:val="none" w:sz="0" w:space="0" w:color="auto"/>
        <w:left w:val="none" w:sz="0" w:space="0" w:color="auto"/>
        <w:bottom w:val="none" w:sz="0" w:space="0" w:color="auto"/>
        <w:right w:val="none" w:sz="0" w:space="0" w:color="auto"/>
      </w:divBdr>
    </w:div>
    <w:div w:id="976299795">
      <w:bodyDiv w:val="1"/>
      <w:marLeft w:val="0"/>
      <w:marRight w:val="0"/>
      <w:marTop w:val="0"/>
      <w:marBottom w:val="0"/>
      <w:divBdr>
        <w:top w:val="none" w:sz="0" w:space="0" w:color="auto"/>
        <w:left w:val="none" w:sz="0" w:space="0" w:color="auto"/>
        <w:bottom w:val="none" w:sz="0" w:space="0" w:color="auto"/>
        <w:right w:val="none" w:sz="0" w:space="0" w:color="auto"/>
      </w:divBdr>
    </w:div>
    <w:div w:id="1081026457">
      <w:bodyDiv w:val="1"/>
      <w:marLeft w:val="0"/>
      <w:marRight w:val="0"/>
      <w:marTop w:val="0"/>
      <w:marBottom w:val="0"/>
      <w:divBdr>
        <w:top w:val="none" w:sz="0" w:space="0" w:color="auto"/>
        <w:left w:val="none" w:sz="0" w:space="0" w:color="auto"/>
        <w:bottom w:val="none" w:sz="0" w:space="0" w:color="auto"/>
        <w:right w:val="none" w:sz="0" w:space="0" w:color="auto"/>
      </w:divBdr>
    </w:div>
    <w:div w:id="1143735944">
      <w:bodyDiv w:val="1"/>
      <w:marLeft w:val="0"/>
      <w:marRight w:val="0"/>
      <w:marTop w:val="0"/>
      <w:marBottom w:val="0"/>
      <w:divBdr>
        <w:top w:val="none" w:sz="0" w:space="0" w:color="auto"/>
        <w:left w:val="none" w:sz="0" w:space="0" w:color="auto"/>
        <w:bottom w:val="none" w:sz="0" w:space="0" w:color="auto"/>
        <w:right w:val="none" w:sz="0" w:space="0" w:color="auto"/>
      </w:divBdr>
    </w:div>
    <w:div w:id="1160193292">
      <w:bodyDiv w:val="1"/>
      <w:marLeft w:val="0"/>
      <w:marRight w:val="0"/>
      <w:marTop w:val="0"/>
      <w:marBottom w:val="0"/>
      <w:divBdr>
        <w:top w:val="none" w:sz="0" w:space="0" w:color="auto"/>
        <w:left w:val="none" w:sz="0" w:space="0" w:color="auto"/>
        <w:bottom w:val="none" w:sz="0" w:space="0" w:color="auto"/>
        <w:right w:val="none" w:sz="0" w:space="0" w:color="auto"/>
      </w:divBdr>
    </w:div>
    <w:div w:id="1173303993">
      <w:bodyDiv w:val="1"/>
      <w:marLeft w:val="0"/>
      <w:marRight w:val="0"/>
      <w:marTop w:val="0"/>
      <w:marBottom w:val="0"/>
      <w:divBdr>
        <w:top w:val="none" w:sz="0" w:space="0" w:color="auto"/>
        <w:left w:val="none" w:sz="0" w:space="0" w:color="auto"/>
        <w:bottom w:val="none" w:sz="0" w:space="0" w:color="auto"/>
        <w:right w:val="none" w:sz="0" w:space="0" w:color="auto"/>
      </w:divBdr>
    </w:div>
    <w:div w:id="1199321257">
      <w:bodyDiv w:val="1"/>
      <w:marLeft w:val="0"/>
      <w:marRight w:val="0"/>
      <w:marTop w:val="0"/>
      <w:marBottom w:val="0"/>
      <w:divBdr>
        <w:top w:val="none" w:sz="0" w:space="0" w:color="auto"/>
        <w:left w:val="none" w:sz="0" w:space="0" w:color="auto"/>
        <w:bottom w:val="none" w:sz="0" w:space="0" w:color="auto"/>
        <w:right w:val="none" w:sz="0" w:space="0" w:color="auto"/>
      </w:divBdr>
    </w:div>
    <w:div w:id="1203783075">
      <w:bodyDiv w:val="1"/>
      <w:marLeft w:val="0"/>
      <w:marRight w:val="0"/>
      <w:marTop w:val="0"/>
      <w:marBottom w:val="0"/>
      <w:divBdr>
        <w:top w:val="none" w:sz="0" w:space="0" w:color="auto"/>
        <w:left w:val="none" w:sz="0" w:space="0" w:color="auto"/>
        <w:bottom w:val="none" w:sz="0" w:space="0" w:color="auto"/>
        <w:right w:val="none" w:sz="0" w:space="0" w:color="auto"/>
      </w:divBdr>
    </w:div>
    <w:div w:id="1225415253">
      <w:bodyDiv w:val="1"/>
      <w:marLeft w:val="0"/>
      <w:marRight w:val="0"/>
      <w:marTop w:val="0"/>
      <w:marBottom w:val="0"/>
      <w:divBdr>
        <w:top w:val="none" w:sz="0" w:space="0" w:color="auto"/>
        <w:left w:val="none" w:sz="0" w:space="0" w:color="auto"/>
        <w:bottom w:val="none" w:sz="0" w:space="0" w:color="auto"/>
        <w:right w:val="none" w:sz="0" w:space="0" w:color="auto"/>
      </w:divBdr>
    </w:div>
    <w:div w:id="1246574438">
      <w:bodyDiv w:val="1"/>
      <w:marLeft w:val="0"/>
      <w:marRight w:val="0"/>
      <w:marTop w:val="0"/>
      <w:marBottom w:val="0"/>
      <w:divBdr>
        <w:top w:val="none" w:sz="0" w:space="0" w:color="auto"/>
        <w:left w:val="none" w:sz="0" w:space="0" w:color="auto"/>
        <w:bottom w:val="none" w:sz="0" w:space="0" w:color="auto"/>
        <w:right w:val="none" w:sz="0" w:space="0" w:color="auto"/>
      </w:divBdr>
    </w:div>
    <w:div w:id="1258949432">
      <w:bodyDiv w:val="1"/>
      <w:marLeft w:val="0"/>
      <w:marRight w:val="0"/>
      <w:marTop w:val="0"/>
      <w:marBottom w:val="0"/>
      <w:divBdr>
        <w:top w:val="none" w:sz="0" w:space="0" w:color="auto"/>
        <w:left w:val="none" w:sz="0" w:space="0" w:color="auto"/>
        <w:bottom w:val="none" w:sz="0" w:space="0" w:color="auto"/>
        <w:right w:val="none" w:sz="0" w:space="0" w:color="auto"/>
      </w:divBdr>
    </w:div>
    <w:div w:id="1307780798">
      <w:bodyDiv w:val="1"/>
      <w:marLeft w:val="0"/>
      <w:marRight w:val="0"/>
      <w:marTop w:val="0"/>
      <w:marBottom w:val="0"/>
      <w:divBdr>
        <w:top w:val="none" w:sz="0" w:space="0" w:color="auto"/>
        <w:left w:val="none" w:sz="0" w:space="0" w:color="auto"/>
        <w:bottom w:val="none" w:sz="0" w:space="0" w:color="auto"/>
        <w:right w:val="none" w:sz="0" w:space="0" w:color="auto"/>
      </w:divBdr>
    </w:div>
    <w:div w:id="1377779151">
      <w:bodyDiv w:val="1"/>
      <w:marLeft w:val="0"/>
      <w:marRight w:val="0"/>
      <w:marTop w:val="0"/>
      <w:marBottom w:val="0"/>
      <w:divBdr>
        <w:top w:val="none" w:sz="0" w:space="0" w:color="auto"/>
        <w:left w:val="none" w:sz="0" w:space="0" w:color="auto"/>
        <w:bottom w:val="none" w:sz="0" w:space="0" w:color="auto"/>
        <w:right w:val="none" w:sz="0" w:space="0" w:color="auto"/>
      </w:divBdr>
    </w:div>
    <w:div w:id="1411149695">
      <w:bodyDiv w:val="1"/>
      <w:marLeft w:val="0"/>
      <w:marRight w:val="0"/>
      <w:marTop w:val="0"/>
      <w:marBottom w:val="0"/>
      <w:divBdr>
        <w:top w:val="none" w:sz="0" w:space="0" w:color="auto"/>
        <w:left w:val="none" w:sz="0" w:space="0" w:color="auto"/>
        <w:bottom w:val="none" w:sz="0" w:space="0" w:color="auto"/>
        <w:right w:val="none" w:sz="0" w:space="0" w:color="auto"/>
      </w:divBdr>
    </w:div>
    <w:div w:id="1465612059">
      <w:bodyDiv w:val="1"/>
      <w:marLeft w:val="0"/>
      <w:marRight w:val="0"/>
      <w:marTop w:val="0"/>
      <w:marBottom w:val="0"/>
      <w:divBdr>
        <w:top w:val="none" w:sz="0" w:space="0" w:color="auto"/>
        <w:left w:val="none" w:sz="0" w:space="0" w:color="auto"/>
        <w:bottom w:val="none" w:sz="0" w:space="0" w:color="auto"/>
        <w:right w:val="none" w:sz="0" w:space="0" w:color="auto"/>
      </w:divBdr>
    </w:div>
    <w:div w:id="1482188273">
      <w:bodyDiv w:val="1"/>
      <w:marLeft w:val="0"/>
      <w:marRight w:val="0"/>
      <w:marTop w:val="0"/>
      <w:marBottom w:val="0"/>
      <w:divBdr>
        <w:top w:val="none" w:sz="0" w:space="0" w:color="auto"/>
        <w:left w:val="none" w:sz="0" w:space="0" w:color="auto"/>
        <w:bottom w:val="none" w:sz="0" w:space="0" w:color="auto"/>
        <w:right w:val="none" w:sz="0" w:space="0" w:color="auto"/>
      </w:divBdr>
    </w:div>
    <w:div w:id="1502890165">
      <w:bodyDiv w:val="1"/>
      <w:marLeft w:val="0"/>
      <w:marRight w:val="0"/>
      <w:marTop w:val="0"/>
      <w:marBottom w:val="0"/>
      <w:divBdr>
        <w:top w:val="none" w:sz="0" w:space="0" w:color="auto"/>
        <w:left w:val="none" w:sz="0" w:space="0" w:color="auto"/>
        <w:bottom w:val="none" w:sz="0" w:space="0" w:color="auto"/>
        <w:right w:val="none" w:sz="0" w:space="0" w:color="auto"/>
      </w:divBdr>
    </w:div>
    <w:div w:id="1509976529">
      <w:bodyDiv w:val="1"/>
      <w:marLeft w:val="0"/>
      <w:marRight w:val="0"/>
      <w:marTop w:val="0"/>
      <w:marBottom w:val="0"/>
      <w:divBdr>
        <w:top w:val="none" w:sz="0" w:space="0" w:color="auto"/>
        <w:left w:val="none" w:sz="0" w:space="0" w:color="auto"/>
        <w:bottom w:val="none" w:sz="0" w:space="0" w:color="auto"/>
        <w:right w:val="none" w:sz="0" w:space="0" w:color="auto"/>
      </w:divBdr>
    </w:div>
    <w:div w:id="1586960967">
      <w:bodyDiv w:val="1"/>
      <w:marLeft w:val="0"/>
      <w:marRight w:val="0"/>
      <w:marTop w:val="0"/>
      <w:marBottom w:val="0"/>
      <w:divBdr>
        <w:top w:val="none" w:sz="0" w:space="0" w:color="auto"/>
        <w:left w:val="none" w:sz="0" w:space="0" w:color="auto"/>
        <w:bottom w:val="none" w:sz="0" w:space="0" w:color="auto"/>
        <w:right w:val="none" w:sz="0" w:space="0" w:color="auto"/>
      </w:divBdr>
    </w:div>
    <w:div w:id="1616017270">
      <w:bodyDiv w:val="1"/>
      <w:marLeft w:val="0"/>
      <w:marRight w:val="0"/>
      <w:marTop w:val="0"/>
      <w:marBottom w:val="0"/>
      <w:divBdr>
        <w:top w:val="none" w:sz="0" w:space="0" w:color="auto"/>
        <w:left w:val="none" w:sz="0" w:space="0" w:color="auto"/>
        <w:bottom w:val="none" w:sz="0" w:space="0" w:color="auto"/>
        <w:right w:val="none" w:sz="0" w:space="0" w:color="auto"/>
      </w:divBdr>
    </w:div>
    <w:div w:id="1617712864">
      <w:bodyDiv w:val="1"/>
      <w:marLeft w:val="0"/>
      <w:marRight w:val="0"/>
      <w:marTop w:val="0"/>
      <w:marBottom w:val="0"/>
      <w:divBdr>
        <w:top w:val="none" w:sz="0" w:space="0" w:color="auto"/>
        <w:left w:val="none" w:sz="0" w:space="0" w:color="auto"/>
        <w:bottom w:val="none" w:sz="0" w:space="0" w:color="auto"/>
        <w:right w:val="none" w:sz="0" w:space="0" w:color="auto"/>
      </w:divBdr>
    </w:div>
    <w:div w:id="1630933208">
      <w:bodyDiv w:val="1"/>
      <w:marLeft w:val="0"/>
      <w:marRight w:val="0"/>
      <w:marTop w:val="0"/>
      <w:marBottom w:val="0"/>
      <w:divBdr>
        <w:top w:val="none" w:sz="0" w:space="0" w:color="auto"/>
        <w:left w:val="none" w:sz="0" w:space="0" w:color="auto"/>
        <w:bottom w:val="none" w:sz="0" w:space="0" w:color="auto"/>
        <w:right w:val="none" w:sz="0" w:space="0" w:color="auto"/>
      </w:divBdr>
    </w:div>
    <w:div w:id="1662273416">
      <w:bodyDiv w:val="1"/>
      <w:marLeft w:val="0"/>
      <w:marRight w:val="0"/>
      <w:marTop w:val="0"/>
      <w:marBottom w:val="0"/>
      <w:divBdr>
        <w:top w:val="none" w:sz="0" w:space="0" w:color="auto"/>
        <w:left w:val="none" w:sz="0" w:space="0" w:color="auto"/>
        <w:bottom w:val="none" w:sz="0" w:space="0" w:color="auto"/>
        <w:right w:val="none" w:sz="0" w:space="0" w:color="auto"/>
      </w:divBdr>
    </w:div>
    <w:div w:id="1684357202">
      <w:bodyDiv w:val="1"/>
      <w:marLeft w:val="0"/>
      <w:marRight w:val="0"/>
      <w:marTop w:val="0"/>
      <w:marBottom w:val="0"/>
      <w:divBdr>
        <w:top w:val="none" w:sz="0" w:space="0" w:color="auto"/>
        <w:left w:val="none" w:sz="0" w:space="0" w:color="auto"/>
        <w:bottom w:val="none" w:sz="0" w:space="0" w:color="auto"/>
        <w:right w:val="none" w:sz="0" w:space="0" w:color="auto"/>
      </w:divBdr>
    </w:div>
    <w:div w:id="1713771207">
      <w:bodyDiv w:val="1"/>
      <w:marLeft w:val="0"/>
      <w:marRight w:val="0"/>
      <w:marTop w:val="0"/>
      <w:marBottom w:val="0"/>
      <w:divBdr>
        <w:top w:val="none" w:sz="0" w:space="0" w:color="auto"/>
        <w:left w:val="none" w:sz="0" w:space="0" w:color="auto"/>
        <w:bottom w:val="none" w:sz="0" w:space="0" w:color="auto"/>
        <w:right w:val="none" w:sz="0" w:space="0" w:color="auto"/>
      </w:divBdr>
    </w:div>
    <w:div w:id="1730491089">
      <w:bodyDiv w:val="1"/>
      <w:marLeft w:val="0"/>
      <w:marRight w:val="0"/>
      <w:marTop w:val="0"/>
      <w:marBottom w:val="0"/>
      <w:divBdr>
        <w:top w:val="none" w:sz="0" w:space="0" w:color="auto"/>
        <w:left w:val="none" w:sz="0" w:space="0" w:color="auto"/>
        <w:bottom w:val="none" w:sz="0" w:space="0" w:color="auto"/>
        <w:right w:val="none" w:sz="0" w:space="0" w:color="auto"/>
      </w:divBdr>
    </w:div>
    <w:div w:id="1743723583">
      <w:bodyDiv w:val="1"/>
      <w:marLeft w:val="0"/>
      <w:marRight w:val="0"/>
      <w:marTop w:val="0"/>
      <w:marBottom w:val="0"/>
      <w:divBdr>
        <w:top w:val="none" w:sz="0" w:space="0" w:color="auto"/>
        <w:left w:val="none" w:sz="0" w:space="0" w:color="auto"/>
        <w:bottom w:val="none" w:sz="0" w:space="0" w:color="auto"/>
        <w:right w:val="none" w:sz="0" w:space="0" w:color="auto"/>
      </w:divBdr>
    </w:div>
    <w:div w:id="1744329985">
      <w:bodyDiv w:val="1"/>
      <w:marLeft w:val="0"/>
      <w:marRight w:val="0"/>
      <w:marTop w:val="0"/>
      <w:marBottom w:val="0"/>
      <w:divBdr>
        <w:top w:val="none" w:sz="0" w:space="0" w:color="auto"/>
        <w:left w:val="none" w:sz="0" w:space="0" w:color="auto"/>
        <w:bottom w:val="none" w:sz="0" w:space="0" w:color="auto"/>
        <w:right w:val="none" w:sz="0" w:space="0" w:color="auto"/>
      </w:divBdr>
    </w:div>
    <w:div w:id="1745298192">
      <w:bodyDiv w:val="1"/>
      <w:marLeft w:val="0"/>
      <w:marRight w:val="0"/>
      <w:marTop w:val="0"/>
      <w:marBottom w:val="0"/>
      <w:divBdr>
        <w:top w:val="none" w:sz="0" w:space="0" w:color="auto"/>
        <w:left w:val="none" w:sz="0" w:space="0" w:color="auto"/>
        <w:bottom w:val="none" w:sz="0" w:space="0" w:color="auto"/>
        <w:right w:val="none" w:sz="0" w:space="0" w:color="auto"/>
      </w:divBdr>
    </w:div>
    <w:div w:id="1757707823">
      <w:bodyDiv w:val="1"/>
      <w:marLeft w:val="0"/>
      <w:marRight w:val="0"/>
      <w:marTop w:val="0"/>
      <w:marBottom w:val="0"/>
      <w:divBdr>
        <w:top w:val="none" w:sz="0" w:space="0" w:color="auto"/>
        <w:left w:val="none" w:sz="0" w:space="0" w:color="auto"/>
        <w:bottom w:val="none" w:sz="0" w:space="0" w:color="auto"/>
        <w:right w:val="none" w:sz="0" w:space="0" w:color="auto"/>
      </w:divBdr>
    </w:div>
    <w:div w:id="1784767095">
      <w:bodyDiv w:val="1"/>
      <w:marLeft w:val="0"/>
      <w:marRight w:val="0"/>
      <w:marTop w:val="0"/>
      <w:marBottom w:val="0"/>
      <w:divBdr>
        <w:top w:val="none" w:sz="0" w:space="0" w:color="auto"/>
        <w:left w:val="none" w:sz="0" w:space="0" w:color="auto"/>
        <w:bottom w:val="none" w:sz="0" w:space="0" w:color="auto"/>
        <w:right w:val="none" w:sz="0" w:space="0" w:color="auto"/>
      </w:divBdr>
    </w:div>
    <w:div w:id="1838614417">
      <w:bodyDiv w:val="1"/>
      <w:marLeft w:val="0"/>
      <w:marRight w:val="0"/>
      <w:marTop w:val="0"/>
      <w:marBottom w:val="0"/>
      <w:divBdr>
        <w:top w:val="none" w:sz="0" w:space="0" w:color="auto"/>
        <w:left w:val="none" w:sz="0" w:space="0" w:color="auto"/>
        <w:bottom w:val="none" w:sz="0" w:space="0" w:color="auto"/>
        <w:right w:val="none" w:sz="0" w:space="0" w:color="auto"/>
      </w:divBdr>
    </w:div>
    <w:div w:id="1854568376">
      <w:bodyDiv w:val="1"/>
      <w:marLeft w:val="0"/>
      <w:marRight w:val="0"/>
      <w:marTop w:val="0"/>
      <w:marBottom w:val="0"/>
      <w:divBdr>
        <w:top w:val="none" w:sz="0" w:space="0" w:color="auto"/>
        <w:left w:val="none" w:sz="0" w:space="0" w:color="auto"/>
        <w:bottom w:val="none" w:sz="0" w:space="0" w:color="auto"/>
        <w:right w:val="none" w:sz="0" w:space="0" w:color="auto"/>
      </w:divBdr>
    </w:div>
    <w:div w:id="1977177103">
      <w:bodyDiv w:val="1"/>
      <w:marLeft w:val="0"/>
      <w:marRight w:val="0"/>
      <w:marTop w:val="0"/>
      <w:marBottom w:val="0"/>
      <w:divBdr>
        <w:top w:val="none" w:sz="0" w:space="0" w:color="auto"/>
        <w:left w:val="none" w:sz="0" w:space="0" w:color="auto"/>
        <w:bottom w:val="none" w:sz="0" w:space="0" w:color="auto"/>
        <w:right w:val="none" w:sz="0" w:space="0" w:color="auto"/>
      </w:divBdr>
    </w:div>
    <w:div w:id="2001343072">
      <w:bodyDiv w:val="1"/>
      <w:marLeft w:val="0"/>
      <w:marRight w:val="0"/>
      <w:marTop w:val="0"/>
      <w:marBottom w:val="0"/>
      <w:divBdr>
        <w:top w:val="none" w:sz="0" w:space="0" w:color="auto"/>
        <w:left w:val="none" w:sz="0" w:space="0" w:color="auto"/>
        <w:bottom w:val="none" w:sz="0" w:space="0" w:color="auto"/>
        <w:right w:val="none" w:sz="0" w:space="0" w:color="auto"/>
      </w:divBdr>
    </w:div>
    <w:div w:id="2071921122">
      <w:bodyDiv w:val="1"/>
      <w:marLeft w:val="0"/>
      <w:marRight w:val="0"/>
      <w:marTop w:val="0"/>
      <w:marBottom w:val="0"/>
      <w:divBdr>
        <w:top w:val="none" w:sz="0" w:space="0" w:color="auto"/>
        <w:left w:val="none" w:sz="0" w:space="0" w:color="auto"/>
        <w:bottom w:val="none" w:sz="0" w:space="0" w:color="auto"/>
        <w:right w:val="none" w:sz="0" w:space="0" w:color="auto"/>
      </w:divBdr>
    </w:div>
    <w:div w:id="2084066926">
      <w:bodyDiv w:val="1"/>
      <w:marLeft w:val="0"/>
      <w:marRight w:val="0"/>
      <w:marTop w:val="0"/>
      <w:marBottom w:val="0"/>
      <w:divBdr>
        <w:top w:val="none" w:sz="0" w:space="0" w:color="auto"/>
        <w:left w:val="none" w:sz="0" w:space="0" w:color="auto"/>
        <w:bottom w:val="none" w:sz="0" w:space="0" w:color="auto"/>
        <w:right w:val="none" w:sz="0" w:space="0" w:color="auto"/>
      </w:divBdr>
    </w:div>
    <w:div w:id="2094355214">
      <w:bodyDiv w:val="1"/>
      <w:marLeft w:val="0"/>
      <w:marRight w:val="0"/>
      <w:marTop w:val="0"/>
      <w:marBottom w:val="0"/>
      <w:divBdr>
        <w:top w:val="none" w:sz="0" w:space="0" w:color="auto"/>
        <w:left w:val="none" w:sz="0" w:space="0" w:color="auto"/>
        <w:bottom w:val="none" w:sz="0" w:space="0" w:color="auto"/>
        <w:right w:val="none" w:sz="0" w:space="0" w:color="auto"/>
      </w:divBdr>
    </w:div>
    <w:div w:id="2113277291">
      <w:bodyDiv w:val="1"/>
      <w:marLeft w:val="0"/>
      <w:marRight w:val="0"/>
      <w:marTop w:val="0"/>
      <w:marBottom w:val="0"/>
      <w:divBdr>
        <w:top w:val="none" w:sz="0" w:space="0" w:color="auto"/>
        <w:left w:val="none" w:sz="0" w:space="0" w:color="auto"/>
        <w:bottom w:val="none" w:sz="0" w:space="0" w:color="auto"/>
        <w:right w:val="none" w:sz="0" w:space="0" w:color="auto"/>
      </w:divBdr>
    </w:div>
    <w:div w:id="2140607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ice.org.uk/guidance/ng42"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s://doi.org/10.5526/esj20"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doi.org/10.5526/esj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b:Source>
    <b:Tag>Har13</b:Tag>
    <b:SourceType>Book</b:SourceType>
    <b:Guid>{C8A96471-F506-6A4A-B58C-124AE52D0A62}</b:Guid>
    <b:Author>
      <b:Author>
        <b:NameList>
          <b:Person>
            <b:Last>Hardin</b:Last>
            <b:First>Russel</b:First>
          </b:Person>
        </b:NameList>
      </b:Author>
    </b:Author>
    <b:Title>Collective Action</b:Title>
    <b:Year>2013</b:Year>
    <b:Publisher>Routledge</b:Publisher>
    <b:RefOrder>1</b:RefOrder>
  </b:Source>
  <b:Source>
    <b:Tag>Pau10</b:Tag>
    <b:SourceType>Book</b:SourceType>
    <b:Guid>{02975A48-060C-1948-88CA-72FA2D7DA298}</b:Guid>
    <b:Title>Collective Rationality: Equilibrium in Cooperative Games</b:Title>
    <b:Year>2010</b:Year>
    <b:Author>
      <b:Author>
        <b:NameList>
          <b:Person>
            <b:Last>Welrich</b:Last>
            <b:First>Paul</b:First>
          </b:Person>
        </b:NameList>
      </b:Author>
    </b:Author>
    <b:Publisher>Oxford University Press</b:Publisher>
    <b:RefOrder>2</b:RefOrder>
  </b:Source>
  <b:Source>
    <b:Tag>Rob00</b:Tag>
    <b:SourceType>Book</b:SourceType>
    <b:Guid>{3792C356-65C4-0E47-BF28-45C771503D31}</b:Guid>
    <b:Author>
      <b:Author>
        <b:NameList>
          <b:Person>
            <b:Last>Dahl</b:Last>
            <b:First>Robert</b:First>
            <b:Middle>Alan</b:Middle>
          </b:Person>
        </b:NameList>
      </b:Author>
    </b:Author>
    <b:Title>On Democracy</b:Title>
    <b:Publisher>Yale University Press</b:Publisher>
    <b:Year>2000</b:Year>
    <b:RefOrder>3</b:RefOrder>
  </b:Source>
  <b:Source>
    <b:Tag>Ols71</b:Tag>
    <b:SourceType>Book</b:SourceType>
    <b:Guid>{B563323E-2408-394C-B8A4-38580C3E40EF}</b:Guid>
    <b:Author>
      <b:Author>
        <b:NameList>
          <b:Person>
            <b:Last>Olson</b:Last>
            <b:First>Mancur</b:First>
          </b:Person>
        </b:NameList>
      </b:Author>
    </b:Author>
    <b:Title>The Logic of Collective Action: Public Goods and the Theory of Groups</b:Title>
    <b:City>Cambridge, Mass</b:City>
    <b:Publisher>Harvard University Press</b:Publisher>
    <b:Year>1971</b:Year>
    <b:Pages>143</b:Pages>
    <b:RefOrder>4</b:RefOrder>
  </b:Source>
  <b:Source>
    <b:Tag>Mar052</b:Tag>
    <b:SourceType>Book</b:SourceType>
    <b:Guid>{8A9E6228-63FD-E24D-AA23-672499C7B4DC}</b:Guid>
    <b:Author>
      <b:Author>
        <b:NameList>
          <b:Person>
            <b:Last>Basili</b:Last>
            <b:First>Marcello</b:First>
          </b:Person>
          <b:Person>
            <b:Last>Franzini</b:Last>
            <b:First>Maurizio</b:First>
          </b:Person>
          <b:Person>
            <b:Last>Vercelli</b:Last>
            <b:First>Alessandro</b:First>
          </b:Person>
        </b:NameList>
      </b:Author>
    </b:Author>
    <b:Title>Environment, Inequality and Collective Action</b:Title>
    <b:Publisher>Routledge</b:Publisher>
    <b:Year>2005</b:Year>
    <b:RefOrder>5</b:RefOrder>
  </b:Source>
  <b:Source>
    <b:Tag>Env15</b:Tag>
    <b:SourceType>InternetSite</b:SourceType>
    <b:Guid>{2DC50650-5BA9-844C-B2E7-B93B0A4FD0D9}</b:Guid>
    <b:Title>Environmental Protection UK</b:Title>
    <b:Year>2015</b:Year>
    <b:Author>
      <b:Author>
        <b:Corporate>Environmental Protection UK</b:Corporate>
      </b:Author>
    </b:Author>
    <b:InternetSiteTitle>Car Pollution</b:InternetSiteTitle>
    <b:URL>http://www.environmental-protection.org.uk/committees/air-quality/air-pollution-and-transport/car-pollution/</b:URL>
    <b:Month>?</b:Month>
    <b:Day>?</b:Day>
    <b:YearAccessed>2015</b:YearAccessed>
    <b:MonthAccessed>November</b:MonthAccessed>
    <b:DayAccessed>1</b:DayAccessed>
    <b:RefOrder>6</b:RefOrder>
  </b:Source>
  <b:Source>
    <b:Tag>Gee15</b:Tag>
    <b:SourceType>DocumentFromInternetSite</b:SourceType>
    <b:Guid>{A21D3A44-5A4B-9C41-BB8E-52D6976F2009}</b:Guid>
    <b:Author>
      <b:Author>
        <b:Corporate>Geelmuyden Kiese; Infinitum</b:Corporate>
      </b:Author>
    </b:Author>
    <b:Title>Annual report 2014</b:Title>
    <b:InternetSiteTitle>Infinitum</b:InternetSiteTitle>
    <b:URL>http://infinitum.no/english/about-us</b:URL>
    <b:Year>2015</b:Year>
    <b:Month>January</b:Month>
    <b:YearAccessed>2015</b:YearAccessed>
    <b:MonthAccessed>October</b:MonthAccessed>
    <b:DayAccessed>31</b:DayAccessed>
    <b:RefOrder>7</b:RefOrder>
  </b:Source>
  <b:Source>
    <b:Tag>Dom15</b:Tag>
    <b:SourceType>InternetSite</b:SourceType>
    <b:Guid>{D8DE48F2-14FC-3F48-A7CB-C121F84150E3}</b:Guid>
    <b:Author>
      <b:Author>
        <b:NameList>
          <b:Person>
            <b:Last>Howell</b:Last>
            <b:First>Dominic</b:First>
          </b:Person>
        </b:NameList>
      </b:Author>
    </b:Author>
    <b:Title>The 5p plastic bag charge: All you need to know</b:Title>
    <b:InternetSiteTitle>BBC News</b:InternetSiteTitle>
    <b:URL>http://www.bbc.co.uk/news/uk-34346309</b:URL>
    <b:Year>2015</b:Year>
    <b:Month>October</b:Month>
    <b:Day>5</b:Day>
    <b:YearAccessed>2015</b:YearAccessed>
    <b:MonthAccessed>October </b:MonthAccessed>
    <b:DayAccessed>31</b:DayAccessed>
    <b:RefOrder>8</b:RefOrder>
  </b:Source>
  <b:Source>
    <b:Tag>Dep18</b:Tag>
    <b:SourceType>InternetSite</b:SourceType>
    <b:Guid>{FDA7BEFA-D467-F041-83C5-160ECCAC6205}</b:Guid>
    <b:Title>Carrier bags: why there's a 5p charge</b:Title>
    <b:Year>2018</b:Year>
    <b:Author>
      <b:Author>
        <b:Corporate>Department of Environment, Food and Rural Affairs</b:Corporate>
      </b:Author>
    </b:Author>
    <b:InternetSiteTitle>Department of Enviornment, Food and Rural Affairs</b:InternetSiteTitle>
    <b:URL>https://www.gov.uk/government/publications/single-use-plastic-carrier-bags-why-were-introducing-the-charge/carrier-bags-why-theres-a-5p-charge</b:URL>
    <b:Month>January</b:Month>
    <b:Day>11</b:Day>
    <b:RefOrder>9</b:RefOrder>
  </b:Source>
  <b:Source>
    <b:Tag>Col15</b:Tag>
    <b:SourceType>InternetSite</b:SourceType>
    <b:Guid>{E3FB2B06-FA93-A84F-BC1A-79D65851AE84}</b:Guid>
    <b:Author>
      <b:Author>
        <b:Corporate>Colchester Borough Council</b:Corporate>
      </b:Author>
    </b:Author>
    <b:Title>Fixed Penalty Notice - Environmental Crime</b:Title>
    <b:InternetSiteTitle>Colchester Borough Council</b:InternetSiteTitle>
    <b:URL>http://www.colchester.gov.uk/FPN</b:URL>
    <b:YearAccessed>2015</b:YearAccessed>
    <b:MonthAccessed>October </b:MonthAccessed>
    <b:DayAccessed>31</b:DayAccessed>
    <b:RefOrder>10</b:RefOrder>
  </b:Source>
  <b:Source>
    <b:Tag>Lip96</b:Tag>
    <b:SourceType>Book</b:SourceType>
    <b:Guid>{1A6B46BE-5DEA-9F41-97B7-58D6923520D1}</b:Guid>
    <b:Title>Global Civil Society and Global Environmental Governance: The Politics of Nature from Place to Planet</b:Title>
    <b:Year>1996</b:Year>
    <b:Publisher>SUNY Press</b:Publisher>
    <b:Author>
      <b:Author>
        <b:NameList>
          <b:Person>
            <b:Last>Lipschutz</b:Last>
            <b:First>Ronnie D. </b:First>
          </b:Person>
          <b:Person>
            <b:Last>Mayer</b:Last>
            <b:First>Judith</b:First>
          </b:Person>
        </b:NameList>
      </b:Author>
    </b:Author>
    <b:LCID>en-US</b:LCID>
    <b:RefOrder>11</b:RefOrder>
  </b:Source>
  <b:Source>
    <b:Tag>Tay00</b:Tag>
    <b:SourceType>JournalArticle</b:SourceType>
    <b:Guid>{7AD47E05-C8D0-B747-8403-05CE81F38D40}</b:Guid>
    <b:Author>
      <b:Author>
        <b:NameList>
          <b:Person>
            <b:Last>Taylor</b:Last>
            <b:First>Maureen</b:First>
          </b:Person>
        </b:NameList>
      </b:Author>
    </b:Author>
    <b:Title>Media relations in Bosnia: A role for public relations in building civil society</b:Title>
    <b:Year>2000</b:Year>
    <b:JournalName>Public Relations Review</b:JournalName>
    <b:Pages>1-14</b:Pages>
    <b:Volume>26</b:Volume>
    <b:Issue>1</b:Issue>
    <b:RefOrder>12</b:RefOrder>
  </b:Source>
  <b:Source>
    <b:Tag>Dep17</b:Tag>
    <b:SourceType>InternetSite</b:SourceType>
    <b:Guid>{C3B5A550-A378-2242-87F6-3B9F080C2F2D}</b:Guid>
    <b:Author>
      <b:Author>
        <b:Corporate>Department for Environment, Food &amp; Rural Affairs</b:Corporate>
      </b:Author>
    </b:Author>
    <b:Title>Govenment.uk</b:Title>
    <b:InternetSiteTitle>Announcements</b:InternetSiteTitle>
    <b:URL>https://www.gov.uk/government/news/environment-secretary-pledges-action-on-ocean-plastics</b:URL>
    <b:Year>2017</b:Year>
    <b:Month>July </b:Month>
    <b:Day>21</b:Day>
    <b:YearAccessed>2017</b:YearAccessed>
    <b:MonthAccessed>September</b:MonthAccessed>
    <b:DayAccessed>1</b:DayAccessed>
    <b:RefOrder>13</b:RefOrder>
  </b:Source>
  <b:Source>
    <b:Tag>Tom06</b:Tag>
    <b:SourceType>Book</b:SourceType>
    <b:Guid>{3B2A0B39-ADC2-634F-9D33-77438BA31DF4}</b:Guid>
    <b:Author>
      <b:Author>
        <b:NameList>
          <b:Person>
            <b:Last>Tyler</b:Last>
            <b:First>Tom</b:First>
            <b:Middle>R.</b:Middle>
          </b:Person>
        </b:NameList>
      </b:Author>
    </b:Author>
    <b:Title>Why People Obey the Law </b:Title>
    <b:Publisher>Princton University Press</b:Publisher>
    <b:Year>2006</b:Year>
    <b:RefOrder>14</b:RefOrder>
  </b:Source>
  <b:Source>
    <b:Tag>The14</b:Tag>
    <b:SourceType>InternetSite</b:SourceType>
    <b:Guid>{F22AEC6D-8571-684C-B964-51B1DEFD32DE}</b:Guid>
    <b:Title>Environmental Impacts</b:Title>
    <b:Year>2014</b:Year>
    <b:Author>
      <b:Author>
        <b:Corporate>The Northern Territory Environment Protection Authority</b:Corporate>
      </b:Author>
    </b:Author>
    <b:InternetSiteTitle>The Northern Territory Environment Protection Authority</b:InternetSiteTitle>
    <b:URL>http://www.ntepa.nt.gov.au/waste-pollution/plastic-bag-ban/enviroimpacts</b:URL>
    <b:YearAccessed>2015</b:YearAccessed>
    <b:MonthAccessed>October</b:MonthAccessed>
    <b:DayAccessed>31</b:DayAccessed>
    <b:RefOrder>15</b:RefOrder>
  </b:Source>
  <b:Source>
    <b:Tag>Art49</b:Tag>
    <b:SourceType>Book</b:SourceType>
    <b:Guid>{1ED13EE1-97E1-2F41-A32F-ED9B22A1E644}</b:Guid>
    <b:Author>
      <b:Author>
        <b:NameList>
          <b:Person>
            <b:Last>Bentley</b:Last>
            <b:First>Arthur</b:First>
          </b:Person>
        </b:NameList>
      </b:Author>
    </b:Author>
    <b:Title>The Process of Government </b:Title>
    <b:City>Evanston</b:City>
    <b:Publisher>Principia Press</b:Publisher>
    <b:Year>1949</b:Year>
    <b:Pages>211</b:Pages>
    <b:RefOrder>16</b:RefOrder>
  </b:Source>
  <b:Source>
    <b:Tag>Wor17</b:Tag>
    <b:SourceType>InternetSite</b:SourceType>
    <b:Guid>{5F6231AF-D325-8240-BAD8-04A12B9FA5A7}</b:Guid>
    <b:Author>
      <b:Author>
        <b:Corporate>World Wildelife Fund</b:Corporate>
      </b:Author>
    </b:Author>
    <b:Title>Threats </b:Title>
    <b:InternetSiteTitle>World Wildelife Fund</b:InternetSiteTitle>
    <b:URL>https://www.worldwildlife.org/threats/pollution</b:URL>
    <b:YearAccessed>2017</b:YearAccessed>
    <b:MonthAccessed>August</b:MonthAccessed>
    <b:DayAccessed>25</b:DayAccessed>
    <b:RefOrder>17</b:RefOrder>
  </b:Source>
  <b:Source>
    <b:Tag>Gre17</b:Tag>
    <b:SourceType>InternetSite</b:SourceType>
    <b:Guid>{9854C136-7797-4445-B796-DBBE0A121AA1}</b:Guid>
    <b:Author>
      <b:Author>
        <b:Corporate>Greenpeace </b:Corporate>
      </b:Author>
    </b:Author>
    <b:Title>Greanpece </b:Title>
    <b:URL>https://www.greenpeace.org.uk/microbeads-we-won/</b:URL>
    <b:Year>2017</b:Year>
    <b:Month>July </b:Month>
    <b:Day>21</b:Day>
    <b:YearAccessed>2017</b:YearAccessed>
    <b:MonthAccessed>September </b:MonthAccessed>
    <b:DayAccessed>1</b:DayAccessed>
    <b:RefOrder>18</b:RefOrder>
  </b:Source>
  <b:Source>
    <b:Tag>Kan29</b:Tag>
    <b:SourceType>Book</b:SourceType>
    <b:Guid>{699043E0-68CB-452E-BD5C-A1731AB139DB}</b:Guid>
    <b:Title>Critique of Pure Reason</b:Title>
    <b:Year>1929</b:Year>
    <b:Author>
      <b:Author>
        <b:NameList>
          <b:Person>
            <b:Last>Kant</b:Last>
            <b:First>Immanuel</b:First>
          </b:Person>
        </b:NameList>
      </b:Author>
      <b:Editor>
        <b:NameList>
          <b:Person>
            <b:Last>Caygill</b:Last>
            <b:First>Howard</b:First>
          </b:Person>
        </b:NameList>
      </b:Editor>
      <b:Translator>
        <b:NameList>
          <b:Person>
            <b:Last>Smith</b:Last>
            <b:First>Norman</b:First>
            <b:Middle>Kemp</b:Middle>
          </b:Person>
        </b:NameList>
      </b:Translator>
    </b:Author>
    <b:City>Basingstoke</b:City>
    <b:Publisher>Palgrave MacMillan</b:Publisher>
    <b:CountryRegion>Hampshire</b:CountryRegion>
    <b:Edition>2</b:Edition>
    <b:RefOrder>1</b:RefOrder>
  </b:Source>
  <b:Source>
    <b:Tag>Jan14</b:Tag>
    <b:SourceType>InternetSite</b:SourceType>
    <b:Guid>{F2E2C1C8-F88D-4015-855A-81BE48C5A871}</b:Guid>
    <b:Title>Kant's Views on Space and Time</b:Title>
    <b:Author>
      <b:Author>
        <b:NameList>
          <b:Person>
            <b:Last>Janiak</b:Last>
            <b:First>Andrew</b:First>
          </b:Person>
        </b:NameList>
      </b:Author>
    </b:Author>
    <b:InternetSiteTitle>Stanford Encyclopedia of Philosophy</b:InternetSiteTitle>
    <b:URL>http://plato.stanford.edu/entries/kant-spacetime/#ConOurRepSpa</b:URL>
    <b:YearAccessed>2014</b:YearAccessed>
    <b:MonthAccessed>11</b:MonthAccessed>
    <b:DayAccessed>26</b:DayAccessed>
    <b:Version>Winter 2012</b:Version>
    <b:Year>2012</b:Year>
    <b:Month>11</b:Month>
    <b:Day>13</b:Day>
    <b:RefOrder>2</b:RefOrder>
  </b:Source>
  <b:Source>
    <b:Tag>Ste96</b:Tag>
    <b:SourceType>Book</b:SourceType>
    <b:Guid>{2E44B23B-A039-43A3-A120-2531E5BD5C15}</b:Guid>
    <b:Author>
      <b:Author>
        <b:NameList>
          <b:Person>
            <b:Last>Stenius</b:Last>
            <b:First>Erik</b:First>
          </b:Person>
        </b:NameList>
      </b:Author>
    </b:Author>
    <b:Title>Wittgenstein's 'Tractatus': A Critical Exposition of the Main Lines of Thought</b:Title>
    <b:Year>1996</b:Year>
    <b:City>Bristol</b:City>
    <b:Publisher>Thoemmes Press</b:Publisher>
    <b:CountryRegion>England</b:CountryRegion>
    <b:RefOrder>3</b:RefOrder>
  </b:Source>
  <b:Source>
    <b:Tag>Mic12</b:Tag>
    <b:SourceType>JournalArticle</b:SourceType>
    <b:Guid>{BD3CEA43-091E-4CAF-AFE5-2C7957446981}</b:Guid>
    <b:Title>Kant's Philosophy of Language?</b:Title>
    <b:Year>2012</b:Year>
    <b:JournalName>Tijdschrift voor filosofie</b:JournalName>
    <b:Pages>485-511</b:Pages>
    <b:Author>
      <b:Author>
        <b:NameList>
          <b:Person>
            <b:Last>Forster</b:Last>
            <b:First>Michael</b:First>
            <b:Middle>N.</b:Middle>
          </b:Person>
        </b:NameList>
      </b:Author>
    </b:Author>
    <b:Month>April</b:Month>
    <b:Issue>7</b:Issue>
    <b:RefOrder>4</b:RefOrder>
  </b:Source>
</b:Sources>
</file>

<file path=customXml/itemProps1.xml><?xml version="1.0" encoding="utf-8"?>
<ds:datastoreItem xmlns:ds="http://schemas.openxmlformats.org/officeDocument/2006/customXml" ds:itemID="{5210AAC6-D870-4A1D-ADFD-93AD9BFB99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12</Pages>
  <Words>4016</Words>
  <Characters>22892</Characters>
  <Application>Microsoft Office Word</Application>
  <DocSecurity>0</DocSecurity>
  <Lines>190</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Communication and Swallowing Issues in Patients with Motor Neurone Disease: The Role of Speech and Language Therapy</dc:title>
  <dc:subject/>
  <dc:creator>Sundsbo, Katrine</dc:creator>
  <cp:keywords/>
  <dc:description/>
  <cp:lastModifiedBy>Pyman, Hannah R</cp:lastModifiedBy>
  <cp:revision>5</cp:revision>
  <cp:lastPrinted>2020-04-03T11:54:00Z</cp:lastPrinted>
  <dcterms:created xsi:type="dcterms:W3CDTF">2020-03-19T12:54:00Z</dcterms:created>
  <dcterms:modified xsi:type="dcterms:W3CDTF">2020-04-03T11:54:00Z</dcterms:modified>
</cp:coreProperties>
</file>