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0AF577" w14:textId="636A48CB" w:rsidR="00EF3A2B" w:rsidRPr="002A1A1F" w:rsidRDefault="00A6655A" w:rsidP="002A1A1F">
      <w:pPr>
        <w:pBdr>
          <w:bottom w:val="single" w:sz="4" w:space="1" w:color="auto"/>
        </w:pBdr>
        <w:tabs>
          <w:tab w:val="right" w:pos="9026"/>
        </w:tabs>
        <w:spacing w:before="120" w:after="120" w:line="360" w:lineRule="auto"/>
        <w:jc w:val="both"/>
        <w:rPr>
          <w:rFonts w:ascii="Sylfaen" w:hAnsi="Sylfaen"/>
          <w:i/>
          <w:color w:val="000000" w:themeColor="text1"/>
        </w:rPr>
      </w:pPr>
      <w:r w:rsidRPr="002A1A1F">
        <w:rPr>
          <w:rFonts w:ascii="Sylfaen" w:hAnsi="Sylfaen"/>
          <w:i/>
          <w:color w:val="000000" w:themeColor="text1"/>
        </w:rPr>
        <w:t>Essay</w:t>
      </w:r>
      <w:r w:rsidR="00A538B5" w:rsidRPr="002A1A1F">
        <w:rPr>
          <w:rFonts w:ascii="Sylfaen" w:hAnsi="Sylfaen"/>
          <w:i/>
          <w:color w:val="000000" w:themeColor="text1"/>
        </w:rPr>
        <w:tab/>
      </w:r>
    </w:p>
    <w:p w14:paraId="095087C5" w14:textId="77777777" w:rsidR="00B77A7A" w:rsidRPr="002A1A1F" w:rsidRDefault="00B77A7A" w:rsidP="002A1A1F">
      <w:pPr>
        <w:tabs>
          <w:tab w:val="left" w:pos="6237"/>
        </w:tabs>
        <w:spacing w:before="120" w:after="120" w:line="360" w:lineRule="auto"/>
        <w:jc w:val="both"/>
        <w:rPr>
          <w:rFonts w:ascii="Sylfaen" w:hAnsi="Sylfaen"/>
          <w:b/>
          <w:color w:val="000000" w:themeColor="text1"/>
          <w:sz w:val="48"/>
          <w:szCs w:val="48"/>
        </w:rPr>
      </w:pPr>
      <w:r w:rsidRPr="002A1A1F">
        <w:rPr>
          <w:rFonts w:ascii="Sylfaen" w:hAnsi="Sylfaen"/>
          <w:b/>
          <w:color w:val="000000" w:themeColor="text1"/>
          <w:sz w:val="48"/>
          <w:szCs w:val="48"/>
        </w:rPr>
        <w:t>Enron &amp; Corporate Governance</w:t>
      </w:r>
    </w:p>
    <w:p w14:paraId="1F60613D" w14:textId="58AAD23A" w:rsidR="00974F46" w:rsidRPr="002A1A1F" w:rsidRDefault="00B77A7A" w:rsidP="002A1A1F">
      <w:pPr>
        <w:tabs>
          <w:tab w:val="right" w:pos="9026"/>
        </w:tabs>
        <w:spacing w:before="120" w:after="120" w:line="360" w:lineRule="auto"/>
        <w:jc w:val="both"/>
        <w:rPr>
          <w:rFonts w:ascii="Sylfaen" w:hAnsi="Sylfaen"/>
          <w:color w:val="000000" w:themeColor="text1"/>
        </w:rPr>
      </w:pPr>
      <w:r w:rsidRPr="002A1A1F">
        <w:rPr>
          <w:rFonts w:ascii="Sylfaen" w:hAnsi="Sylfaen"/>
          <w:color w:val="000000" w:themeColor="text1"/>
        </w:rPr>
        <w:t xml:space="preserve">Lindy </w:t>
      </w:r>
      <w:proofErr w:type="spellStart"/>
      <w:r w:rsidRPr="002A1A1F">
        <w:rPr>
          <w:rFonts w:ascii="Sylfaen" w:hAnsi="Sylfaen"/>
          <w:color w:val="000000" w:themeColor="text1"/>
        </w:rPr>
        <w:t>Cuiwan</w:t>
      </w:r>
      <w:proofErr w:type="spellEnd"/>
      <w:r w:rsidRPr="002A1A1F">
        <w:rPr>
          <w:rFonts w:ascii="Sylfaen" w:hAnsi="Sylfaen"/>
          <w:color w:val="000000" w:themeColor="text1"/>
        </w:rPr>
        <w:t xml:space="preserve"> Lim</w:t>
      </w:r>
    </w:p>
    <w:p w14:paraId="2A35EB5D" w14:textId="2FAD1DE3" w:rsidR="002B247D" w:rsidRPr="002A1A1F" w:rsidRDefault="002B247D" w:rsidP="002A1A1F">
      <w:pPr>
        <w:tabs>
          <w:tab w:val="right" w:pos="9026"/>
        </w:tabs>
        <w:spacing w:before="120" w:after="120" w:line="360" w:lineRule="auto"/>
        <w:jc w:val="both"/>
        <w:rPr>
          <w:rFonts w:ascii="Sylfaen" w:hAnsi="Sylfaen"/>
          <w:color w:val="000000" w:themeColor="text1"/>
        </w:rPr>
      </w:pPr>
      <w:r w:rsidRPr="002A1A1F">
        <w:rPr>
          <w:rFonts w:ascii="Sylfaen" w:hAnsi="Sylfaen"/>
          <w:color w:val="000000" w:themeColor="text1"/>
        </w:rPr>
        <w:t>University of Essex</w:t>
      </w:r>
      <w:r w:rsidR="002548F7">
        <w:rPr>
          <w:rFonts w:ascii="Sylfaen" w:hAnsi="Sylfaen"/>
          <w:noProof/>
          <w:color w:val="000000" w:themeColor="text1"/>
        </w:rPr>
        <w:pict w14:anchorId="3822677C">
          <v:rect id="_x0000_i1025" alt="" style="width:451.3pt;height:.05pt;mso-width-percent:0;mso-height-percent:0;mso-width-percent:0;mso-height-percent:0" o:hralign="center" o:hrstd="t" o:hr="t" fillcolor="#a0a0a0" stroked="f"/>
        </w:pict>
      </w:r>
    </w:p>
    <w:p w14:paraId="42AE1F70" w14:textId="5884D670" w:rsidR="00240FC1" w:rsidRPr="002A1A1F" w:rsidRDefault="00331418" w:rsidP="002A1A1F">
      <w:pPr>
        <w:pStyle w:val="Heading1"/>
        <w:tabs>
          <w:tab w:val="right" w:pos="9026"/>
        </w:tabs>
        <w:spacing w:before="120" w:after="120" w:line="360" w:lineRule="auto"/>
        <w:jc w:val="both"/>
        <w:rPr>
          <w:rFonts w:ascii="Sylfaen" w:hAnsi="Sylfaen"/>
          <w:b/>
          <w:color w:val="000000" w:themeColor="text1"/>
          <w:sz w:val="22"/>
          <w:szCs w:val="22"/>
        </w:rPr>
      </w:pPr>
      <w:r w:rsidRPr="002A1A1F">
        <w:rPr>
          <w:rFonts w:ascii="Sylfaen" w:hAnsi="Sylfaen"/>
          <w:b/>
          <w:color w:val="000000" w:themeColor="text1"/>
          <w:sz w:val="22"/>
          <w:szCs w:val="22"/>
        </w:rPr>
        <w:t>Abstract</w:t>
      </w:r>
    </w:p>
    <w:p w14:paraId="784CD544" w14:textId="77777777" w:rsidR="00625C8B" w:rsidRPr="002A1A1F" w:rsidRDefault="00625C8B" w:rsidP="002A1A1F">
      <w:pPr>
        <w:tabs>
          <w:tab w:val="left" w:pos="5954"/>
        </w:tabs>
        <w:spacing w:before="120" w:after="120" w:line="360" w:lineRule="auto"/>
        <w:ind w:right="-46"/>
        <w:jc w:val="both"/>
        <w:rPr>
          <w:rFonts w:ascii="Sylfaen" w:hAnsi="Sylfaen"/>
          <w:color w:val="000000" w:themeColor="text1"/>
        </w:rPr>
      </w:pPr>
      <w:r w:rsidRPr="002A1A1F">
        <w:rPr>
          <w:rFonts w:ascii="Sylfaen" w:hAnsi="Sylfaen"/>
          <w:color w:val="000000" w:themeColor="text1"/>
        </w:rPr>
        <w:t xml:space="preserve">With the emergence of capitalism, companies increasingly appreciated the necessity of external funding for continued growth and expansion. A number of </w:t>
      </w:r>
      <w:proofErr w:type="gramStart"/>
      <w:r w:rsidRPr="002A1A1F">
        <w:rPr>
          <w:rFonts w:ascii="Sylfaen" w:hAnsi="Sylfaen"/>
          <w:color w:val="000000" w:themeColor="text1"/>
        </w:rPr>
        <w:t>high profile</w:t>
      </w:r>
      <w:proofErr w:type="gramEnd"/>
      <w:r w:rsidRPr="002A1A1F">
        <w:rPr>
          <w:rFonts w:ascii="Sylfaen" w:hAnsi="Sylfaen"/>
          <w:color w:val="000000" w:themeColor="text1"/>
        </w:rPr>
        <w:t xml:space="preserve"> corporate collapses, betraying investor’s trust on published reports, arose in the 1980s. The effects of these collapses were felt throughout the world, mortifying the global community. With adaptable decision making, and improved accountability to markets, potential investors are more willing to invest in companies. This paper aims to examine the theoretical principles and limitations of the code of ethics that arose from the largest scandal in corporate America, Enron. The contrast between Enron’s moral mantra and the behaviour of some of their executives is discussed. </w:t>
      </w:r>
    </w:p>
    <w:p w14:paraId="6573D433" w14:textId="2E5A1B97" w:rsidR="00971BE8" w:rsidRPr="002A1A1F" w:rsidRDefault="00C75A94" w:rsidP="002A1A1F">
      <w:pPr>
        <w:tabs>
          <w:tab w:val="right" w:pos="9026"/>
        </w:tabs>
        <w:spacing w:before="120" w:after="120" w:line="360" w:lineRule="auto"/>
        <w:ind w:right="-45"/>
        <w:jc w:val="both"/>
        <w:rPr>
          <w:rFonts w:ascii="Sylfaen" w:hAnsi="Sylfaen"/>
          <w:color w:val="000000" w:themeColor="text1"/>
        </w:rPr>
      </w:pPr>
      <w:r w:rsidRPr="002A1A1F">
        <w:rPr>
          <w:rFonts w:ascii="Sylfaen" w:hAnsi="Sylfaen"/>
          <w:b/>
          <w:bCs/>
          <w:color w:val="000000" w:themeColor="text1"/>
        </w:rPr>
        <w:t>Keywords:</w:t>
      </w:r>
      <w:r w:rsidR="005C13FD" w:rsidRPr="002A1A1F">
        <w:rPr>
          <w:rFonts w:ascii="Sylfaen" w:hAnsi="Sylfaen"/>
          <w:b/>
          <w:bCs/>
          <w:color w:val="000000" w:themeColor="text1"/>
        </w:rPr>
        <w:t xml:space="preserve"> </w:t>
      </w:r>
      <w:r w:rsidR="00625C8B" w:rsidRPr="002A1A1F">
        <w:rPr>
          <w:rFonts w:ascii="Sylfaen" w:hAnsi="Sylfaen"/>
          <w:color w:val="000000" w:themeColor="text1"/>
        </w:rPr>
        <w:t>market accountability; global governance</w:t>
      </w:r>
      <w:r w:rsidR="002A1A1F" w:rsidRPr="002A1A1F">
        <w:rPr>
          <w:rFonts w:ascii="Sylfaen" w:hAnsi="Sylfaen"/>
          <w:color w:val="000000" w:themeColor="text1"/>
        </w:rPr>
        <w:t>; corporate scandal.</w:t>
      </w:r>
    </w:p>
    <w:p w14:paraId="099E960A" w14:textId="77777777" w:rsidR="008848DF" w:rsidRPr="002A1A1F" w:rsidRDefault="008848DF" w:rsidP="002A1A1F">
      <w:pPr>
        <w:tabs>
          <w:tab w:val="right" w:pos="9026"/>
        </w:tabs>
        <w:spacing w:before="120" w:after="120" w:line="360" w:lineRule="auto"/>
        <w:ind w:right="-45"/>
        <w:jc w:val="both"/>
        <w:rPr>
          <w:rFonts w:ascii="Sylfaen" w:hAnsi="Sylfaen"/>
          <w:color w:val="000000" w:themeColor="text1"/>
        </w:rPr>
      </w:pPr>
    </w:p>
    <w:p w14:paraId="48D49E78" w14:textId="6E5A8235" w:rsidR="00DE33E6" w:rsidRPr="002A1A1F" w:rsidRDefault="002A1A1F" w:rsidP="002A1A1F">
      <w:pPr>
        <w:pStyle w:val="Heading1"/>
        <w:tabs>
          <w:tab w:val="right" w:pos="9026"/>
        </w:tabs>
        <w:spacing w:before="120" w:after="120" w:line="360" w:lineRule="auto"/>
        <w:jc w:val="both"/>
        <w:rPr>
          <w:rFonts w:ascii="Sylfaen" w:hAnsi="Sylfaen"/>
          <w:b/>
          <w:bCs/>
          <w:color w:val="000000" w:themeColor="text1"/>
          <w:sz w:val="22"/>
          <w:szCs w:val="22"/>
        </w:rPr>
      </w:pPr>
      <w:r w:rsidRPr="002A1A1F">
        <w:rPr>
          <w:rFonts w:ascii="Sylfaen" w:hAnsi="Sylfaen"/>
          <w:b/>
          <w:bCs/>
          <w:color w:val="000000" w:themeColor="text1"/>
          <w:sz w:val="22"/>
          <w:szCs w:val="22"/>
        </w:rPr>
        <w:t>Introduction</w:t>
      </w:r>
    </w:p>
    <w:p w14:paraId="36BC0EFA" w14:textId="472A52DF" w:rsidR="002A1A1F" w:rsidRPr="002A1A1F" w:rsidRDefault="002A1A1F" w:rsidP="002A1A1F">
      <w:pPr>
        <w:tabs>
          <w:tab w:val="left" w:pos="6237"/>
        </w:tabs>
        <w:spacing w:before="120" w:after="120" w:line="360" w:lineRule="auto"/>
        <w:jc w:val="both"/>
        <w:rPr>
          <w:rFonts w:ascii="Sylfaen" w:hAnsi="Sylfaen"/>
          <w:color w:val="000000" w:themeColor="text1"/>
        </w:rPr>
      </w:pPr>
      <w:r w:rsidRPr="002A1A1F">
        <w:rPr>
          <w:rFonts w:ascii="Sylfaen" w:hAnsi="Sylfaen"/>
          <w:color w:val="000000" w:themeColor="text1"/>
        </w:rPr>
        <w:t>Entering the capitalist era, companies began to appreciate the need to attract external funding in order to grow and expand. Investors wanted to have the necessary information to make sound economic decisions, and to be assured that the company is well managed and would continue to be profitable indefinitely (</w:t>
      </w:r>
      <w:proofErr w:type="spellStart"/>
      <w:r w:rsidRPr="002A1A1F">
        <w:rPr>
          <w:rFonts w:ascii="Sylfaen" w:hAnsi="Sylfaen"/>
          <w:color w:val="000000" w:themeColor="text1"/>
        </w:rPr>
        <w:t>Mallin</w:t>
      </w:r>
      <w:proofErr w:type="spellEnd"/>
      <w:r w:rsidRPr="002A1A1F">
        <w:rPr>
          <w:rFonts w:ascii="Sylfaen" w:hAnsi="Sylfaen"/>
          <w:color w:val="000000" w:themeColor="text1"/>
        </w:rPr>
        <w:t xml:space="preserve">, 2007). </w:t>
      </w:r>
    </w:p>
    <w:p w14:paraId="3763E665" w14:textId="3DBA10F3" w:rsidR="002A1A1F" w:rsidRPr="002A1A1F" w:rsidRDefault="002A1A1F" w:rsidP="002A1A1F">
      <w:pPr>
        <w:tabs>
          <w:tab w:val="left" w:pos="6237"/>
        </w:tabs>
        <w:spacing w:before="120" w:after="120" w:line="360" w:lineRule="auto"/>
        <w:jc w:val="both"/>
        <w:rPr>
          <w:rFonts w:ascii="Sylfaen" w:hAnsi="Sylfaen"/>
          <w:color w:val="000000" w:themeColor="text1"/>
        </w:rPr>
      </w:pPr>
      <w:r w:rsidRPr="002A1A1F">
        <w:rPr>
          <w:rFonts w:ascii="Sylfaen" w:hAnsi="Sylfaen"/>
          <w:color w:val="000000" w:themeColor="text1"/>
        </w:rPr>
        <w:t xml:space="preserve">A number of </w:t>
      </w:r>
      <w:proofErr w:type="gramStart"/>
      <w:r w:rsidRPr="002A1A1F">
        <w:rPr>
          <w:rFonts w:ascii="Sylfaen" w:hAnsi="Sylfaen"/>
          <w:color w:val="000000" w:themeColor="text1"/>
        </w:rPr>
        <w:t>high profile</w:t>
      </w:r>
      <w:proofErr w:type="gramEnd"/>
      <w:r w:rsidRPr="002A1A1F">
        <w:rPr>
          <w:rFonts w:ascii="Sylfaen" w:hAnsi="Sylfaen"/>
          <w:color w:val="000000" w:themeColor="text1"/>
        </w:rPr>
        <w:t xml:space="preserve"> corporate collapses, betraying investor’s trust on published reports, arose in the 1980s. The effects of these collapses were felt throughout the world, mortifying the global community. According to Monks and Minow (1996), good governance is of national importance, promoting commercial competitiveness and boosting the global economy at the same time. With adaptable decision making, and improved accountability to markets, investors are more willing to invest in companies.</w:t>
      </w:r>
    </w:p>
    <w:p w14:paraId="70D7F8C5" w14:textId="1FCF8030" w:rsidR="002A1A1F" w:rsidRDefault="002A1A1F" w:rsidP="002A1A1F">
      <w:pPr>
        <w:tabs>
          <w:tab w:val="left" w:pos="6237"/>
        </w:tabs>
        <w:spacing w:before="120" w:after="120" w:line="360" w:lineRule="auto"/>
        <w:jc w:val="both"/>
        <w:rPr>
          <w:rFonts w:ascii="Sylfaen" w:hAnsi="Sylfaen"/>
          <w:color w:val="000000" w:themeColor="text1"/>
        </w:rPr>
      </w:pPr>
      <w:r w:rsidRPr="002A1A1F">
        <w:rPr>
          <w:rFonts w:ascii="Sylfaen" w:hAnsi="Sylfaen"/>
          <w:color w:val="000000" w:themeColor="text1"/>
        </w:rPr>
        <w:lastRenderedPageBreak/>
        <w:t>This paper aims to examine the theoretical principles and limitations of the code of ethics that arose from the largest scandal in corporate America, Enron. The contrast between Enron’s moral mantra and the behaviour of some Enron executives are discussed. The well-known moral mantra of Enron was denoted by the acronym, R.I.C.E. – respect, integrity, communication, and excellence. It is not the objective of this paper to look into the details of the case, but only to focus on governance issues recommended by the code of ethics.</w:t>
      </w:r>
    </w:p>
    <w:p w14:paraId="767572FF" w14:textId="77777777" w:rsidR="002A1A1F" w:rsidRPr="002A1A1F" w:rsidRDefault="002A1A1F" w:rsidP="002A1A1F">
      <w:pPr>
        <w:tabs>
          <w:tab w:val="left" w:pos="6237"/>
        </w:tabs>
        <w:spacing w:before="120" w:after="120" w:line="360" w:lineRule="auto"/>
        <w:jc w:val="both"/>
        <w:rPr>
          <w:rFonts w:ascii="Sylfaen" w:hAnsi="Sylfaen"/>
          <w:color w:val="000000" w:themeColor="text1"/>
        </w:rPr>
      </w:pPr>
    </w:p>
    <w:p w14:paraId="5AEDB85E" w14:textId="12C99E5F" w:rsidR="002A1A1F" w:rsidRPr="002A1A1F" w:rsidRDefault="002A1A1F" w:rsidP="002A1A1F">
      <w:pPr>
        <w:pStyle w:val="Heading1"/>
        <w:spacing w:before="120" w:after="120" w:line="360" w:lineRule="auto"/>
        <w:rPr>
          <w:rFonts w:ascii="Sylfaen" w:hAnsi="Sylfaen"/>
          <w:b/>
          <w:bCs/>
          <w:color w:val="000000" w:themeColor="text1"/>
          <w:sz w:val="22"/>
          <w:szCs w:val="22"/>
        </w:rPr>
      </w:pPr>
      <w:r w:rsidRPr="002A1A1F">
        <w:rPr>
          <w:rFonts w:ascii="Sylfaen" w:hAnsi="Sylfaen"/>
          <w:b/>
          <w:bCs/>
          <w:color w:val="000000" w:themeColor="text1"/>
          <w:sz w:val="22"/>
          <w:szCs w:val="22"/>
        </w:rPr>
        <w:t>Corporate Governance</w:t>
      </w:r>
    </w:p>
    <w:p w14:paraId="21D05CA0" w14:textId="5BCD4E32" w:rsidR="002A1A1F" w:rsidRPr="002A1A1F" w:rsidRDefault="002A1A1F" w:rsidP="002A1A1F">
      <w:pPr>
        <w:tabs>
          <w:tab w:val="left" w:pos="6237"/>
        </w:tabs>
        <w:spacing w:before="120" w:after="120" w:line="360" w:lineRule="auto"/>
        <w:jc w:val="both"/>
        <w:rPr>
          <w:rFonts w:ascii="Sylfaen" w:hAnsi="Sylfaen"/>
          <w:color w:val="000000" w:themeColor="text1"/>
        </w:rPr>
      </w:pPr>
      <w:r w:rsidRPr="002A1A1F">
        <w:rPr>
          <w:rFonts w:ascii="Sylfaen" w:hAnsi="Sylfaen"/>
          <w:color w:val="000000" w:themeColor="text1"/>
        </w:rPr>
        <w:t>The term “corporate governance” has become one of the most commonly used phases in the current business industry (Solomon, 2007). The fall of Enron had brought about international attention on corporate failures, and the preventive role played by corporate governance. Enactment of the Sarbanes Oxley Act and timely review of best practice codes are the result of corporate failures. What exactly is corporate governance?</w:t>
      </w:r>
    </w:p>
    <w:p w14:paraId="71CACB06" w14:textId="6E3DAA08" w:rsidR="002A1A1F" w:rsidRPr="002A1A1F" w:rsidRDefault="002A1A1F" w:rsidP="002A1A1F">
      <w:pPr>
        <w:tabs>
          <w:tab w:val="left" w:pos="6237"/>
        </w:tabs>
        <w:spacing w:before="120" w:after="120" w:line="360" w:lineRule="auto"/>
        <w:jc w:val="both"/>
        <w:rPr>
          <w:rFonts w:ascii="Sylfaen" w:hAnsi="Sylfaen"/>
          <w:color w:val="000000" w:themeColor="text1"/>
        </w:rPr>
      </w:pPr>
      <w:r w:rsidRPr="002A1A1F">
        <w:rPr>
          <w:rFonts w:ascii="Sylfaen" w:hAnsi="Sylfaen"/>
          <w:color w:val="000000" w:themeColor="text1"/>
        </w:rPr>
        <w:t>There is no single definition of corporate governance. Some interpret corporate governance as a tool that creates an ethical environment to promote responsible trading (</w:t>
      </w:r>
      <w:proofErr w:type="spellStart"/>
      <w:r w:rsidRPr="002A1A1F">
        <w:rPr>
          <w:rFonts w:ascii="Sylfaen" w:hAnsi="Sylfaen"/>
          <w:color w:val="000000" w:themeColor="text1"/>
        </w:rPr>
        <w:t>Premeaux</w:t>
      </w:r>
      <w:proofErr w:type="spellEnd"/>
      <w:r w:rsidRPr="002A1A1F">
        <w:rPr>
          <w:rFonts w:ascii="Sylfaen" w:hAnsi="Sylfaen"/>
          <w:color w:val="000000" w:themeColor="text1"/>
        </w:rPr>
        <w:t xml:space="preserve">, 2008). The Cadbury Report (1992) defined corporate governance as a “system by which organizations are directed and controlled” (Cadbury Report, 1992, Paragraph 2.5). Conversely, the Organization for Economic Co-operation and Development sees corporate governance as “a set of relationships between a company’s directors, its shareholders and other stakeholders” (OECD, 2004, Preamble). </w:t>
      </w:r>
    </w:p>
    <w:p w14:paraId="0BDB908E" w14:textId="77777777" w:rsidR="002A1A1F" w:rsidRPr="002A1A1F" w:rsidRDefault="002A1A1F" w:rsidP="002A1A1F">
      <w:pPr>
        <w:tabs>
          <w:tab w:val="left" w:pos="6237"/>
        </w:tabs>
        <w:spacing w:before="120" w:after="120" w:line="360" w:lineRule="auto"/>
        <w:jc w:val="both"/>
        <w:rPr>
          <w:rFonts w:ascii="Sylfaen" w:hAnsi="Sylfaen"/>
          <w:color w:val="000000" w:themeColor="text1"/>
        </w:rPr>
      </w:pPr>
      <w:r w:rsidRPr="002A1A1F">
        <w:rPr>
          <w:rFonts w:ascii="Sylfaen" w:hAnsi="Sylfaen"/>
          <w:color w:val="000000" w:themeColor="text1"/>
        </w:rPr>
        <w:t>Despite the many interpretations, it is certain that corporate governance is only one of the many pieces in the jigsaw, which contribute to effective and sustainable corporate practice (Dawson, 2004). The following corporate governance issues will be discussed in later sections: agency theory, corporate environment, board structure, managerial hegemony, and accountability and audit.</w:t>
      </w:r>
    </w:p>
    <w:p w14:paraId="0145564E" w14:textId="77777777" w:rsidR="002A1A1F" w:rsidRPr="002A1A1F" w:rsidRDefault="002A1A1F" w:rsidP="002A1A1F">
      <w:pPr>
        <w:tabs>
          <w:tab w:val="left" w:pos="6237"/>
        </w:tabs>
        <w:spacing w:before="120" w:after="120" w:line="360" w:lineRule="auto"/>
        <w:jc w:val="both"/>
        <w:rPr>
          <w:rFonts w:ascii="Sylfaen" w:hAnsi="Sylfaen"/>
          <w:color w:val="000000" w:themeColor="text1"/>
        </w:rPr>
      </w:pPr>
    </w:p>
    <w:p w14:paraId="5C0CA316" w14:textId="77777777" w:rsidR="002A1A1F" w:rsidRPr="002A1A1F" w:rsidRDefault="002A1A1F" w:rsidP="002A1A1F">
      <w:pPr>
        <w:pStyle w:val="Heading1"/>
        <w:spacing w:before="120" w:after="120" w:line="360" w:lineRule="auto"/>
        <w:rPr>
          <w:rFonts w:ascii="Sylfaen" w:hAnsi="Sylfaen"/>
          <w:b/>
          <w:bCs/>
          <w:color w:val="000000" w:themeColor="text1"/>
          <w:sz w:val="22"/>
          <w:szCs w:val="22"/>
        </w:rPr>
      </w:pPr>
      <w:r w:rsidRPr="002A1A1F">
        <w:rPr>
          <w:rFonts w:ascii="Sylfaen" w:hAnsi="Sylfaen"/>
          <w:b/>
          <w:bCs/>
          <w:color w:val="000000" w:themeColor="text1"/>
          <w:sz w:val="22"/>
          <w:szCs w:val="22"/>
        </w:rPr>
        <w:t>Agency Theory</w:t>
      </w:r>
    </w:p>
    <w:p w14:paraId="0C133CCC" w14:textId="4EB0D4E4" w:rsidR="002A1A1F" w:rsidRPr="002A1A1F" w:rsidRDefault="002A1A1F" w:rsidP="002A1A1F">
      <w:pPr>
        <w:tabs>
          <w:tab w:val="left" w:pos="6237"/>
        </w:tabs>
        <w:spacing w:before="120" w:after="120" w:line="360" w:lineRule="auto"/>
        <w:jc w:val="both"/>
        <w:rPr>
          <w:rFonts w:ascii="Sylfaen" w:hAnsi="Sylfaen"/>
          <w:color w:val="000000" w:themeColor="text1"/>
        </w:rPr>
      </w:pPr>
      <w:r w:rsidRPr="002A1A1F">
        <w:rPr>
          <w:rFonts w:ascii="Sylfaen" w:hAnsi="Sylfaen"/>
          <w:color w:val="000000" w:themeColor="text1"/>
        </w:rPr>
        <w:t>Separation of ownership and control arose from Salomon v. Salomon &amp; Co. Ltd. in 1897 and is an example of the notorious ‘agency problem’ (Farrar &amp; Hannigan, 1998). This case gave rise to the ideology of management acting as ‘agents’, working in the interests of the ‘</w:t>
      </w:r>
      <w:proofErr w:type="gramStart"/>
      <w:r w:rsidRPr="002A1A1F">
        <w:rPr>
          <w:rFonts w:ascii="Sylfaen" w:hAnsi="Sylfaen"/>
          <w:color w:val="000000" w:themeColor="text1"/>
        </w:rPr>
        <w:t>principals’</w:t>
      </w:r>
      <w:proofErr w:type="gramEnd"/>
      <w:r w:rsidRPr="002A1A1F">
        <w:rPr>
          <w:rFonts w:ascii="Sylfaen" w:hAnsi="Sylfaen"/>
          <w:color w:val="000000" w:themeColor="text1"/>
        </w:rPr>
        <w:t>. Ross (1973) was the first to explore the detailed theoretical exposition of agency theory.</w:t>
      </w:r>
    </w:p>
    <w:p w14:paraId="56858FED" w14:textId="70E3FC87" w:rsidR="002A1A1F" w:rsidRPr="002A1A1F" w:rsidRDefault="002A1A1F" w:rsidP="002A1A1F">
      <w:pPr>
        <w:tabs>
          <w:tab w:val="left" w:pos="6237"/>
        </w:tabs>
        <w:spacing w:before="120" w:after="120" w:line="360" w:lineRule="auto"/>
        <w:jc w:val="both"/>
        <w:rPr>
          <w:rFonts w:ascii="Sylfaen" w:hAnsi="Sylfaen"/>
          <w:color w:val="000000" w:themeColor="text1"/>
        </w:rPr>
      </w:pPr>
      <w:r w:rsidRPr="002A1A1F">
        <w:rPr>
          <w:rFonts w:ascii="Sylfaen" w:hAnsi="Sylfaen"/>
          <w:color w:val="000000" w:themeColor="text1"/>
        </w:rPr>
        <w:lastRenderedPageBreak/>
        <w:t xml:space="preserve">Later developed by Solomon (2007) who described how management act in the interest of the shareholders, making decisions that would maximize shareholders wealth. This assumption, however, proved to be problematic in the enterprising environment. Management </w:t>
      </w:r>
      <w:proofErr w:type="gramStart"/>
      <w:r w:rsidRPr="002A1A1F">
        <w:rPr>
          <w:rFonts w:ascii="Sylfaen" w:hAnsi="Sylfaen"/>
          <w:color w:val="000000" w:themeColor="text1"/>
        </w:rPr>
        <w:t>has a tendency to</w:t>
      </w:r>
      <w:proofErr w:type="gramEnd"/>
      <w:r w:rsidRPr="002A1A1F">
        <w:rPr>
          <w:rFonts w:ascii="Sylfaen" w:hAnsi="Sylfaen"/>
          <w:color w:val="000000" w:themeColor="text1"/>
        </w:rPr>
        <w:t xml:space="preserve"> act in their own interests, maximising their personal objectives at the expense of the shareholders, for example, Eurotunnel’s financial problems were, in part, a result of such practices (Wearing, 2005).</w:t>
      </w:r>
    </w:p>
    <w:p w14:paraId="63659FD7" w14:textId="755BAEBE" w:rsidR="002A1A1F" w:rsidRPr="002A1A1F" w:rsidRDefault="002A1A1F" w:rsidP="002A1A1F">
      <w:pPr>
        <w:tabs>
          <w:tab w:val="left" w:pos="6237"/>
        </w:tabs>
        <w:spacing w:before="120" w:after="120" w:line="360" w:lineRule="auto"/>
        <w:jc w:val="both"/>
        <w:rPr>
          <w:rFonts w:ascii="Sylfaen" w:hAnsi="Sylfaen"/>
          <w:color w:val="000000" w:themeColor="text1"/>
        </w:rPr>
      </w:pPr>
      <w:r w:rsidRPr="002A1A1F">
        <w:rPr>
          <w:rFonts w:ascii="Sylfaen" w:hAnsi="Sylfaen"/>
          <w:color w:val="000000" w:themeColor="text1"/>
        </w:rPr>
        <w:t>Management of Enron obviously exploited shareholders’ trust, acting to satisfy their own ego and self-interest. Unlawful transactions with special purpose vehicles were utilized and fictitious figures were disclosed which were derived from ‘market-to-market’ accounting to mislead shareholders. As their misdeeds were brought to light, management was punished severely by the law and market.</w:t>
      </w:r>
    </w:p>
    <w:p w14:paraId="4CB1F337" w14:textId="77777777" w:rsidR="002A1A1F" w:rsidRPr="002A1A1F" w:rsidRDefault="002A1A1F" w:rsidP="002A1A1F">
      <w:pPr>
        <w:tabs>
          <w:tab w:val="left" w:pos="6237"/>
        </w:tabs>
        <w:spacing w:before="120" w:after="120" w:line="360" w:lineRule="auto"/>
        <w:jc w:val="both"/>
        <w:rPr>
          <w:rFonts w:ascii="Sylfaen" w:hAnsi="Sylfaen"/>
          <w:color w:val="000000" w:themeColor="text1"/>
        </w:rPr>
      </w:pPr>
      <w:r w:rsidRPr="002A1A1F">
        <w:rPr>
          <w:rFonts w:ascii="Sylfaen" w:hAnsi="Sylfaen"/>
          <w:color w:val="000000" w:themeColor="text1"/>
        </w:rPr>
        <w:t xml:space="preserve">Arguably, the blame for the collapse of Enron should be shared with the shareholders as well. If shareholders uphold their rights as owners and exercise direct influence on the company and board, fundamental problems could have been identified and remedied at an earlier stage. Nonetheless, shareholders were not penalised in any aspect, other than losing their initial investment. Is it fair that only management is punished for Enron’s collapse? Is it justifiable that shareholders are not penalised for the role they played in the downfall of Enron? It may be argued that, in the eyes of the public at least, the price paid by both management and shareholders is fair. </w:t>
      </w:r>
    </w:p>
    <w:p w14:paraId="61CC6556" w14:textId="77777777" w:rsidR="002A1A1F" w:rsidRPr="002A1A1F" w:rsidRDefault="002A1A1F" w:rsidP="002A1A1F">
      <w:pPr>
        <w:tabs>
          <w:tab w:val="left" w:pos="6237"/>
        </w:tabs>
        <w:spacing w:before="120" w:after="120" w:line="360" w:lineRule="auto"/>
        <w:jc w:val="both"/>
        <w:rPr>
          <w:rFonts w:ascii="Sylfaen" w:hAnsi="Sylfaen"/>
          <w:color w:val="000000" w:themeColor="text1"/>
        </w:rPr>
      </w:pPr>
    </w:p>
    <w:p w14:paraId="795884B5" w14:textId="77777777" w:rsidR="002A1A1F" w:rsidRPr="002A1A1F" w:rsidRDefault="002A1A1F" w:rsidP="002A1A1F">
      <w:pPr>
        <w:pStyle w:val="Heading1"/>
        <w:spacing w:before="120" w:after="120" w:line="360" w:lineRule="auto"/>
        <w:rPr>
          <w:rFonts w:ascii="Sylfaen" w:hAnsi="Sylfaen"/>
          <w:b/>
          <w:bCs/>
          <w:color w:val="000000" w:themeColor="text1"/>
          <w:sz w:val="22"/>
          <w:szCs w:val="22"/>
        </w:rPr>
      </w:pPr>
      <w:r w:rsidRPr="002A1A1F">
        <w:rPr>
          <w:rFonts w:ascii="Sylfaen" w:hAnsi="Sylfaen"/>
          <w:b/>
          <w:bCs/>
          <w:color w:val="000000" w:themeColor="text1"/>
          <w:sz w:val="22"/>
          <w:szCs w:val="22"/>
        </w:rPr>
        <w:t>Ethical Corporate Climates</w:t>
      </w:r>
    </w:p>
    <w:p w14:paraId="663D673E" w14:textId="440D3E2B" w:rsidR="002A1A1F" w:rsidRPr="002A1A1F" w:rsidRDefault="002A1A1F" w:rsidP="002A1A1F">
      <w:pPr>
        <w:tabs>
          <w:tab w:val="left" w:pos="6237"/>
        </w:tabs>
        <w:spacing w:before="120" w:after="120" w:line="360" w:lineRule="auto"/>
        <w:jc w:val="both"/>
        <w:rPr>
          <w:rFonts w:ascii="Sylfaen" w:hAnsi="Sylfaen"/>
          <w:color w:val="000000" w:themeColor="text1"/>
        </w:rPr>
      </w:pPr>
      <w:r w:rsidRPr="002A1A1F">
        <w:rPr>
          <w:rFonts w:ascii="Sylfaen" w:hAnsi="Sylfaen"/>
          <w:color w:val="000000" w:themeColor="text1"/>
        </w:rPr>
        <w:t xml:space="preserve">Corporate culture is defined as a company’s set of common beliefs and expectations based on a common collection of values, </w:t>
      </w:r>
      <w:proofErr w:type="gramStart"/>
      <w:r w:rsidRPr="002A1A1F">
        <w:rPr>
          <w:rFonts w:ascii="Sylfaen" w:hAnsi="Sylfaen"/>
          <w:color w:val="000000" w:themeColor="text1"/>
        </w:rPr>
        <w:t>assumptions</w:t>
      </w:r>
      <w:proofErr w:type="gramEnd"/>
      <w:r w:rsidRPr="002A1A1F">
        <w:rPr>
          <w:rFonts w:ascii="Sylfaen" w:hAnsi="Sylfaen"/>
          <w:color w:val="000000" w:themeColor="text1"/>
        </w:rPr>
        <w:t xml:space="preserve"> and attitudes (Arnold &amp; Lampe, 1999). Ethical climate refers to ethical values held by management to lead subordinates with the use of policies, </w:t>
      </w:r>
      <w:proofErr w:type="gramStart"/>
      <w:r w:rsidRPr="002A1A1F">
        <w:rPr>
          <w:rFonts w:ascii="Sylfaen" w:hAnsi="Sylfaen"/>
          <w:color w:val="000000" w:themeColor="text1"/>
        </w:rPr>
        <w:t>practices</w:t>
      </w:r>
      <w:proofErr w:type="gramEnd"/>
      <w:r w:rsidRPr="002A1A1F">
        <w:rPr>
          <w:rFonts w:ascii="Sylfaen" w:hAnsi="Sylfaen"/>
          <w:color w:val="000000" w:themeColor="text1"/>
        </w:rPr>
        <w:t xml:space="preserve"> and procedures (Dallas, 2004). These values act as guidance, influencing moral awareness in the process of making decisions.</w:t>
      </w:r>
    </w:p>
    <w:p w14:paraId="5CAEB247" w14:textId="77777777" w:rsidR="002A1A1F" w:rsidRPr="002A1A1F" w:rsidRDefault="002A1A1F" w:rsidP="002A1A1F">
      <w:pPr>
        <w:tabs>
          <w:tab w:val="left" w:pos="6237"/>
        </w:tabs>
        <w:spacing w:before="120" w:after="120" w:line="360" w:lineRule="auto"/>
        <w:jc w:val="both"/>
        <w:rPr>
          <w:rFonts w:ascii="Sylfaen" w:hAnsi="Sylfaen"/>
          <w:color w:val="000000" w:themeColor="text1"/>
        </w:rPr>
      </w:pPr>
      <w:r w:rsidRPr="002A1A1F">
        <w:rPr>
          <w:rFonts w:ascii="Sylfaen" w:hAnsi="Sylfaen"/>
          <w:color w:val="000000" w:themeColor="text1"/>
        </w:rPr>
        <w:t xml:space="preserve">Rest (1984) identified four components in ethical decision-making: moral awareness, moral decision-making, moral intent, and moral behavior. It was posited that with these elements, companies would be guided to make the ‘right’ choices. </w:t>
      </w:r>
    </w:p>
    <w:p w14:paraId="0C27AEE9" w14:textId="4B16C565" w:rsidR="002A1A1F" w:rsidRPr="002A1A1F" w:rsidRDefault="002A1A1F" w:rsidP="002A1A1F">
      <w:pPr>
        <w:tabs>
          <w:tab w:val="left" w:pos="6237"/>
        </w:tabs>
        <w:spacing w:before="120" w:after="120" w:line="360" w:lineRule="auto"/>
        <w:jc w:val="both"/>
        <w:rPr>
          <w:rFonts w:ascii="Sylfaen" w:hAnsi="Sylfaen"/>
          <w:color w:val="000000" w:themeColor="text1"/>
        </w:rPr>
      </w:pPr>
      <w:r w:rsidRPr="002A1A1F">
        <w:rPr>
          <w:rFonts w:ascii="Sylfaen" w:hAnsi="Sylfaen"/>
          <w:color w:val="000000" w:themeColor="text1"/>
        </w:rPr>
        <w:t xml:space="preserve">In practice, factors, such as reward systems, compensation systems, and appraisal also have an impact on the ethical climates in a company. Empirical evidence suggests that once management is </w:t>
      </w:r>
      <w:r w:rsidRPr="002A1A1F">
        <w:rPr>
          <w:rFonts w:ascii="Sylfaen" w:hAnsi="Sylfaen"/>
          <w:color w:val="000000" w:themeColor="text1"/>
        </w:rPr>
        <w:lastRenderedPageBreak/>
        <w:t>willing to conduct fraudulent activities, their actions would also encourage subordinates to engage in similar activities (</w:t>
      </w:r>
      <w:proofErr w:type="spellStart"/>
      <w:r w:rsidRPr="002A1A1F">
        <w:rPr>
          <w:rFonts w:ascii="Sylfaen" w:hAnsi="Sylfaen"/>
          <w:color w:val="000000" w:themeColor="text1"/>
        </w:rPr>
        <w:t>Premeaux</w:t>
      </w:r>
      <w:proofErr w:type="spellEnd"/>
      <w:r w:rsidRPr="002A1A1F">
        <w:rPr>
          <w:rFonts w:ascii="Sylfaen" w:hAnsi="Sylfaen"/>
          <w:color w:val="000000" w:themeColor="text1"/>
        </w:rPr>
        <w:t>, 2008). Before long, the immoral culture would ‘infect’ the whole company, retaining only employees with poor moral character.</w:t>
      </w:r>
    </w:p>
    <w:p w14:paraId="34A0843F" w14:textId="439FA25C" w:rsidR="002A1A1F" w:rsidRPr="002A1A1F" w:rsidRDefault="002A1A1F" w:rsidP="002A1A1F">
      <w:pPr>
        <w:tabs>
          <w:tab w:val="left" w:pos="6237"/>
        </w:tabs>
        <w:spacing w:before="120" w:after="120" w:line="360" w:lineRule="auto"/>
        <w:jc w:val="both"/>
        <w:rPr>
          <w:rFonts w:ascii="Sylfaen" w:hAnsi="Sylfaen"/>
          <w:color w:val="000000" w:themeColor="text1"/>
        </w:rPr>
      </w:pPr>
      <w:r w:rsidRPr="002A1A1F">
        <w:rPr>
          <w:rFonts w:ascii="Sylfaen" w:hAnsi="Sylfaen"/>
          <w:color w:val="000000" w:themeColor="text1"/>
        </w:rPr>
        <w:t xml:space="preserve">Enron’s ‘R.I.C.E.’ principles fooled the public for many years (Markham, 2006). Resulting from Enron’s actions, it may be argued </w:t>
      </w:r>
      <w:proofErr w:type="gramStart"/>
      <w:r w:rsidRPr="002A1A1F">
        <w:rPr>
          <w:rFonts w:ascii="Sylfaen" w:hAnsi="Sylfaen"/>
          <w:color w:val="000000" w:themeColor="text1"/>
        </w:rPr>
        <w:t>that,</w:t>
      </w:r>
      <w:proofErr w:type="gramEnd"/>
      <w:r w:rsidRPr="002A1A1F">
        <w:rPr>
          <w:rFonts w:ascii="Sylfaen" w:hAnsi="Sylfaen"/>
          <w:color w:val="000000" w:themeColor="text1"/>
        </w:rPr>
        <w:t xml:space="preserve"> their values should more appropriately be risk-taking, individualism, contempt and exploitation. Outsiders were kept in the dark regarding Enron’s corporate culture, they had no idea concerning how the company was governed, other than that they had ‘innovatively’ created value for shareholders. In fact, even financial institutes accepted Enron’s business proposals without asking questions (Elkind &amp; Mclean, 2003).</w:t>
      </w:r>
    </w:p>
    <w:p w14:paraId="0CFE3417" w14:textId="77777777" w:rsidR="002A1A1F" w:rsidRPr="002A1A1F" w:rsidRDefault="002A1A1F" w:rsidP="002A1A1F">
      <w:pPr>
        <w:tabs>
          <w:tab w:val="left" w:pos="6237"/>
        </w:tabs>
        <w:spacing w:before="120" w:after="120" w:line="360" w:lineRule="auto"/>
        <w:jc w:val="both"/>
        <w:rPr>
          <w:rFonts w:ascii="Sylfaen" w:hAnsi="Sylfaen"/>
          <w:color w:val="000000" w:themeColor="text1"/>
        </w:rPr>
      </w:pPr>
      <w:r w:rsidRPr="002A1A1F">
        <w:rPr>
          <w:rFonts w:ascii="Sylfaen" w:hAnsi="Sylfaen"/>
          <w:color w:val="000000" w:themeColor="text1"/>
        </w:rPr>
        <w:t xml:space="preserve">In addition, Enron put in place the harshest employee-ranking system in corporate America, replacing 15% of its workforce annually. Those who contributed to the appreciation of stock price were rewarded handsomely, while those who were unwilling to fabricate ‘profitable’ deals were laid off (Elkind &amp; Mclean, 2003). With this system, employees were forced to use unscrupulous methods to survive in the </w:t>
      </w:r>
      <w:proofErr w:type="gramStart"/>
      <w:r w:rsidRPr="002A1A1F">
        <w:rPr>
          <w:rFonts w:ascii="Sylfaen" w:hAnsi="Sylfaen"/>
          <w:color w:val="000000" w:themeColor="text1"/>
        </w:rPr>
        <w:t>highly-competitive</w:t>
      </w:r>
      <w:proofErr w:type="gramEnd"/>
      <w:r w:rsidRPr="002A1A1F">
        <w:rPr>
          <w:rFonts w:ascii="Sylfaen" w:hAnsi="Sylfaen"/>
          <w:color w:val="000000" w:themeColor="text1"/>
        </w:rPr>
        <w:t xml:space="preserve"> environment. In short, Enron is characterised by “individual and collective greed born in an atmosphere of market euphoria and arrogance” (Thomas, 2002, pp 41). Without an ethical environment, management would act irrationally and immorally. Selfishness would brew into a monster that would ‘murder’ a company of any size and industry. </w:t>
      </w:r>
    </w:p>
    <w:p w14:paraId="0F21099C" w14:textId="77777777" w:rsidR="002A1A1F" w:rsidRPr="002A1A1F" w:rsidRDefault="002A1A1F" w:rsidP="002A1A1F">
      <w:pPr>
        <w:tabs>
          <w:tab w:val="left" w:pos="6237"/>
        </w:tabs>
        <w:spacing w:before="120" w:after="120" w:line="360" w:lineRule="auto"/>
        <w:jc w:val="both"/>
        <w:rPr>
          <w:rFonts w:ascii="Sylfaen" w:hAnsi="Sylfaen"/>
          <w:color w:val="000000" w:themeColor="text1"/>
        </w:rPr>
      </w:pPr>
    </w:p>
    <w:p w14:paraId="017A6271" w14:textId="77777777" w:rsidR="002A1A1F" w:rsidRPr="002A1A1F" w:rsidRDefault="002A1A1F" w:rsidP="002A1A1F">
      <w:pPr>
        <w:pStyle w:val="Heading1"/>
        <w:spacing w:before="120" w:after="120" w:line="360" w:lineRule="auto"/>
        <w:rPr>
          <w:rFonts w:ascii="Sylfaen" w:hAnsi="Sylfaen"/>
          <w:b/>
          <w:bCs/>
          <w:color w:val="000000" w:themeColor="text1"/>
          <w:sz w:val="22"/>
          <w:szCs w:val="22"/>
        </w:rPr>
      </w:pPr>
      <w:r w:rsidRPr="002A1A1F">
        <w:rPr>
          <w:rFonts w:ascii="Sylfaen" w:hAnsi="Sylfaen"/>
          <w:b/>
          <w:bCs/>
          <w:color w:val="000000" w:themeColor="text1"/>
          <w:sz w:val="22"/>
          <w:szCs w:val="22"/>
        </w:rPr>
        <w:t xml:space="preserve">Role of Boards in Corporate Governance </w:t>
      </w:r>
    </w:p>
    <w:p w14:paraId="4F1F4871" w14:textId="77777777" w:rsidR="002A1A1F" w:rsidRPr="002A1A1F" w:rsidRDefault="002A1A1F" w:rsidP="002A1A1F">
      <w:pPr>
        <w:tabs>
          <w:tab w:val="left" w:pos="6237"/>
        </w:tabs>
        <w:spacing w:before="120" w:after="120" w:line="360" w:lineRule="auto"/>
        <w:jc w:val="both"/>
        <w:rPr>
          <w:rFonts w:ascii="Sylfaen" w:hAnsi="Sylfaen"/>
          <w:color w:val="000000" w:themeColor="text1"/>
        </w:rPr>
      </w:pPr>
      <w:r w:rsidRPr="002A1A1F">
        <w:rPr>
          <w:rFonts w:ascii="Sylfaen" w:hAnsi="Sylfaen"/>
          <w:color w:val="000000" w:themeColor="text1"/>
        </w:rPr>
        <w:t>Empirical evidence showed that well-governed companies tend to be more successful (Conger, Finegold &amp; Lawler, 2000). Well-functioning and effective boards protect the interests of shareholders without undermining the operations and strategies of the companies.</w:t>
      </w:r>
    </w:p>
    <w:p w14:paraId="7E2AE426" w14:textId="77777777" w:rsidR="002A1A1F" w:rsidRPr="002A1A1F" w:rsidRDefault="002A1A1F" w:rsidP="002A1A1F">
      <w:pPr>
        <w:tabs>
          <w:tab w:val="left" w:pos="6237"/>
        </w:tabs>
        <w:spacing w:before="120" w:after="120" w:line="360" w:lineRule="auto"/>
        <w:jc w:val="both"/>
        <w:rPr>
          <w:rFonts w:ascii="Sylfaen" w:hAnsi="Sylfaen"/>
          <w:color w:val="000000" w:themeColor="text1"/>
        </w:rPr>
      </w:pPr>
    </w:p>
    <w:p w14:paraId="4E7F8DF3" w14:textId="77777777" w:rsidR="002A1A1F" w:rsidRPr="002A1A1F" w:rsidRDefault="002A1A1F" w:rsidP="002A1A1F">
      <w:pPr>
        <w:pStyle w:val="Heading1"/>
        <w:spacing w:before="120" w:after="120" w:line="360" w:lineRule="auto"/>
        <w:rPr>
          <w:rFonts w:ascii="Sylfaen" w:hAnsi="Sylfaen"/>
          <w:b/>
          <w:bCs/>
          <w:color w:val="000000" w:themeColor="text1"/>
          <w:sz w:val="22"/>
          <w:szCs w:val="22"/>
        </w:rPr>
      </w:pPr>
      <w:r w:rsidRPr="002A1A1F">
        <w:rPr>
          <w:rFonts w:ascii="Sylfaen" w:hAnsi="Sylfaen"/>
          <w:b/>
          <w:bCs/>
          <w:color w:val="000000" w:themeColor="text1"/>
          <w:sz w:val="22"/>
          <w:szCs w:val="22"/>
        </w:rPr>
        <w:t>Board Structure</w:t>
      </w:r>
    </w:p>
    <w:p w14:paraId="4C8CF6BA" w14:textId="5E248820" w:rsidR="002A1A1F" w:rsidRPr="002A1A1F" w:rsidRDefault="002A1A1F" w:rsidP="002A1A1F">
      <w:pPr>
        <w:tabs>
          <w:tab w:val="left" w:pos="6237"/>
        </w:tabs>
        <w:spacing w:before="120" w:after="120" w:line="360" w:lineRule="auto"/>
        <w:jc w:val="both"/>
        <w:rPr>
          <w:rFonts w:ascii="Sylfaen" w:hAnsi="Sylfaen"/>
          <w:color w:val="000000" w:themeColor="text1"/>
        </w:rPr>
      </w:pPr>
      <w:r w:rsidRPr="002A1A1F">
        <w:rPr>
          <w:rFonts w:ascii="Sylfaen" w:hAnsi="Sylfaen"/>
          <w:color w:val="000000" w:themeColor="text1"/>
        </w:rPr>
        <w:t>In an Anglo-Saxon environment, companies such as Enron operate a unitary board. Its structure is characterised by one single board comprising both executive and non-executive directors (</w:t>
      </w:r>
      <w:proofErr w:type="spellStart"/>
      <w:r w:rsidRPr="002A1A1F">
        <w:rPr>
          <w:rFonts w:ascii="Sylfaen" w:hAnsi="Sylfaen"/>
          <w:color w:val="000000" w:themeColor="text1"/>
        </w:rPr>
        <w:t>Mallin</w:t>
      </w:r>
      <w:proofErr w:type="spellEnd"/>
      <w:r w:rsidRPr="002A1A1F">
        <w:rPr>
          <w:rFonts w:ascii="Sylfaen" w:hAnsi="Sylfaen"/>
          <w:color w:val="000000" w:themeColor="text1"/>
        </w:rPr>
        <w:t xml:space="preserve">, 2007). The board makes decisions in a unified manner, and work towards a common goal. In theory, board members are appointed by shareholders during the Annual General Meeting. However, in </w:t>
      </w:r>
      <w:r w:rsidRPr="002A1A1F">
        <w:rPr>
          <w:rFonts w:ascii="Sylfaen" w:hAnsi="Sylfaen"/>
          <w:color w:val="000000" w:themeColor="text1"/>
        </w:rPr>
        <w:lastRenderedPageBreak/>
        <w:t>practice, the duty of nominating members is delegated to management, who often “select directors they ‘can count on’ rather than individuals who constructively examine important issues” (Salmon, 2000: 10). Would an independence-deprived board be able to function properly? This does not seem to be the case at Enron.</w:t>
      </w:r>
    </w:p>
    <w:p w14:paraId="56E20906" w14:textId="77777777" w:rsidR="002A1A1F" w:rsidRPr="002A1A1F" w:rsidRDefault="002A1A1F" w:rsidP="002A1A1F">
      <w:pPr>
        <w:tabs>
          <w:tab w:val="left" w:pos="6237"/>
        </w:tabs>
        <w:spacing w:before="120" w:after="120" w:line="360" w:lineRule="auto"/>
        <w:jc w:val="both"/>
        <w:rPr>
          <w:rFonts w:ascii="Sylfaen" w:hAnsi="Sylfaen"/>
          <w:color w:val="000000" w:themeColor="text1"/>
        </w:rPr>
      </w:pPr>
      <w:r w:rsidRPr="002A1A1F">
        <w:rPr>
          <w:rFonts w:ascii="Sylfaen" w:hAnsi="Sylfaen"/>
          <w:color w:val="000000" w:themeColor="text1"/>
        </w:rPr>
        <w:t xml:space="preserve">An investigation was conducted on the impact of ineffective non-executive </w:t>
      </w:r>
      <w:proofErr w:type="gramStart"/>
      <w:r w:rsidRPr="002A1A1F">
        <w:rPr>
          <w:rFonts w:ascii="Sylfaen" w:hAnsi="Sylfaen"/>
          <w:color w:val="000000" w:themeColor="text1"/>
        </w:rPr>
        <w:t>directors, and</w:t>
      </w:r>
      <w:proofErr w:type="gramEnd"/>
      <w:r w:rsidRPr="002A1A1F">
        <w:rPr>
          <w:rFonts w:ascii="Sylfaen" w:hAnsi="Sylfaen"/>
          <w:color w:val="000000" w:themeColor="text1"/>
        </w:rPr>
        <w:t xml:space="preserve"> published in the Higgs Report. From an agency theory perspective, it is believed that the presence of non-executive directors on the board would reduce conflict of interest between shareholders and management (Solomon, 2007). However, duties of non-executive directors were completely breached in the cases of Enron. It has been suggested that, in practice, boards do not consult nor criticise management’s decisions, as they are unwilling to strain the relationship with management.</w:t>
      </w:r>
    </w:p>
    <w:p w14:paraId="388101A6" w14:textId="77777777" w:rsidR="002A1A1F" w:rsidRPr="002A1A1F" w:rsidRDefault="002A1A1F" w:rsidP="002A1A1F">
      <w:pPr>
        <w:pStyle w:val="Heading1"/>
        <w:spacing w:before="120" w:after="120" w:line="360" w:lineRule="auto"/>
        <w:rPr>
          <w:rFonts w:ascii="Sylfaen" w:hAnsi="Sylfaen"/>
          <w:b/>
          <w:color w:val="000000" w:themeColor="text1"/>
          <w:sz w:val="22"/>
          <w:szCs w:val="22"/>
        </w:rPr>
      </w:pPr>
    </w:p>
    <w:p w14:paraId="4829084F" w14:textId="77777777" w:rsidR="002A1A1F" w:rsidRPr="002A1A1F" w:rsidRDefault="002A1A1F" w:rsidP="002A1A1F">
      <w:pPr>
        <w:pStyle w:val="Heading1"/>
        <w:spacing w:before="120" w:after="120" w:line="360" w:lineRule="auto"/>
        <w:rPr>
          <w:rFonts w:ascii="Sylfaen" w:hAnsi="Sylfaen"/>
          <w:b/>
          <w:color w:val="000000" w:themeColor="text1"/>
          <w:sz w:val="22"/>
          <w:szCs w:val="22"/>
        </w:rPr>
      </w:pPr>
      <w:r w:rsidRPr="002A1A1F">
        <w:rPr>
          <w:rFonts w:ascii="Sylfaen" w:hAnsi="Sylfaen"/>
          <w:b/>
          <w:color w:val="000000" w:themeColor="text1"/>
          <w:sz w:val="22"/>
          <w:szCs w:val="22"/>
        </w:rPr>
        <w:t>Managerial Hegemony</w:t>
      </w:r>
    </w:p>
    <w:p w14:paraId="07532394" w14:textId="3A871243" w:rsidR="002A1A1F" w:rsidRPr="002A1A1F" w:rsidRDefault="002A1A1F" w:rsidP="002A1A1F">
      <w:pPr>
        <w:tabs>
          <w:tab w:val="left" w:pos="6237"/>
        </w:tabs>
        <w:spacing w:before="120" w:after="120" w:line="360" w:lineRule="auto"/>
        <w:jc w:val="both"/>
        <w:rPr>
          <w:rFonts w:ascii="Sylfaen" w:hAnsi="Sylfaen"/>
          <w:color w:val="000000" w:themeColor="text1"/>
        </w:rPr>
      </w:pPr>
      <w:r w:rsidRPr="002A1A1F">
        <w:rPr>
          <w:rFonts w:ascii="Sylfaen" w:hAnsi="Sylfaen"/>
          <w:color w:val="000000" w:themeColor="text1"/>
        </w:rPr>
        <w:t xml:space="preserve">While boards do not see themselves as pawns of management, they acknowledge an increasing number of restrictions imposed to hinder them from discharging their duties effectively (Lorsch &amp; </w:t>
      </w:r>
      <w:proofErr w:type="spellStart"/>
      <w:r w:rsidRPr="002A1A1F">
        <w:rPr>
          <w:rFonts w:ascii="Sylfaen" w:hAnsi="Sylfaen"/>
          <w:color w:val="000000" w:themeColor="text1"/>
        </w:rPr>
        <w:t>Maclver</w:t>
      </w:r>
      <w:proofErr w:type="spellEnd"/>
      <w:r w:rsidRPr="002A1A1F">
        <w:rPr>
          <w:rFonts w:ascii="Sylfaen" w:hAnsi="Sylfaen"/>
          <w:color w:val="000000" w:themeColor="text1"/>
        </w:rPr>
        <w:t>, 1989). According to Mace (1971), ineffective performances of boards suggest that they were incapable of adequately representing any interest.  Consequently, the role of the board in reducing the effect of agency problems is made ineffective to some extent. The wide gap between what the board is supposed to do, and what they are actually allowed to do in practice has caused a breach in the fundamental reasons for creating a board in the first place.</w:t>
      </w:r>
    </w:p>
    <w:p w14:paraId="60E983D8" w14:textId="6AD457A0" w:rsidR="002A1A1F" w:rsidRPr="002A1A1F" w:rsidRDefault="002A1A1F" w:rsidP="002A1A1F">
      <w:pPr>
        <w:tabs>
          <w:tab w:val="left" w:pos="6237"/>
        </w:tabs>
        <w:spacing w:before="120" w:after="120" w:line="360" w:lineRule="auto"/>
        <w:jc w:val="both"/>
        <w:rPr>
          <w:rFonts w:ascii="Sylfaen" w:hAnsi="Sylfaen"/>
          <w:color w:val="000000" w:themeColor="text1"/>
        </w:rPr>
      </w:pPr>
      <w:r w:rsidRPr="002A1A1F">
        <w:rPr>
          <w:rFonts w:ascii="Sylfaen" w:hAnsi="Sylfaen"/>
          <w:color w:val="000000" w:themeColor="text1"/>
        </w:rPr>
        <w:t>Managerial hegemony could also occur when separation between duties of the chairman and Chief Executive Officer – “CEO” is blurred. Conflict of interest is detrimental to the role of boards as watchdogs for shareholders (Lorsch &amp; Salmon, 2000). Combined Code of ethics (2008) recommends that there “must be a clear division of responsibilities at the head of the company between the running of the board and the executive” (Paragraph A.2). Corporate failures, such as Polly Peck and Parmalat, had caused the professional body to believe that separation of duties should resolve the issue on conflict of interest. Is that really the case?</w:t>
      </w:r>
    </w:p>
    <w:p w14:paraId="7973CEC8" w14:textId="77777777" w:rsidR="002A1A1F" w:rsidRPr="002A1A1F" w:rsidRDefault="002A1A1F" w:rsidP="002A1A1F">
      <w:pPr>
        <w:tabs>
          <w:tab w:val="left" w:pos="6237"/>
        </w:tabs>
        <w:spacing w:before="120" w:after="120" w:line="360" w:lineRule="auto"/>
        <w:jc w:val="both"/>
        <w:rPr>
          <w:rFonts w:ascii="Sylfaen" w:hAnsi="Sylfaen"/>
          <w:color w:val="000000" w:themeColor="text1"/>
        </w:rPr>
      </w:pPr>
      <w:r w:rsidRPr="002A1A1F">
        <w:rPr>
          <w:rFonts w:ascii="Sylfaen" w:hAnsi="Sylfaen"/>
          <w:color w:val="000000" w:themeColor="text1"/>
        </w:rPr>
        <w:t>In the case of Enron, duties of the chairman and CEO were dominated by Ken Lay (</w:t>
      </w:r>
      <w:proofErr w:type="spellStart"/>
      <w:r w:rsidRPr="002A1A1F">
        <w:rPr>
          <w:rFonts w:ascii="Sylfaen" w:hAnsi="Sylfaen"/>
          <w:color w:val="000000" w:themeColor="text1"/>
        </w:rPr>
        <w:t>Fusaro</w:t>
      </w:r>
      <w:proofErr w:type="spellEnd"/>
      <w:r w:rsidRPr="002A1A1F">
        <w:rPr>
          <w:rFonts w:ascii="Sylfaen" w:hAnsi="Sylfaen"/>
          <w:color w:val="000000" w:themeColor="text1"/>
        </w:rPr>
        <w:t xml:space="preserve"> &amp; Miller, 2002). As a charismatic character in the company, he could influence the board to perform ‘rubber-stamping’, approving all proposals without being subject to questioning.  His influence was so great </w:t>
      </w:r>
      <w:r w:rsidRPr="002A1A1F">
        <w:rPr>
          <w:rFonts w:ascii="Sylfaen" w:hAnsi="Sylfaen"/>
          <w:color w:val="000000" w:themeColor="text1"/>
        </w:rPr>
        <w:lastRenderedPageBreak/>
        <w:t xml:space="preserve">that the board ignored all warning signs of fundamental problems, depriving any chance of taking remedial actions (Hamilton &amp; Micklethwait, 2006). It appears that the cause of failure of Enron’s board is consistent with the professional recommendations.  Nevertheless, separating duties would not have wholly removed any conflict of interest, only mitigated it.  If the CEO dominates the board, it </w:t>
      </w:r>
      <w:proofErr w:type="gramStart"/>
      <w:r w:rsidRPr="002A1A1F">
        <w:rPr>
          <w:rFonts w:ascii="Sylfaen" w:hAnsi="Sylfaen"/>
          <w:color w:val="000000" w:themeColor="text1"/>
        </w:rPr>
        <w:t>would</w:t>
      </w:r>
      <w:proofErr w:type="gramEnd"/>
      <w:r w:rsidRPr="002A1A1F">
        <w:rPr>
          <w:rFonts w:ascii="Sylfaen" w:hAnsi="Sylfaen"/>
          <w:color w:val="000000" w:themeColor="text1"/>
        </w:rPr>
        <w:t xml:space="preserve"> not matter whether there is a separation of duties. The board would still be obligated to agree with management, even if it is at the expense of shareholders.</w:t>
      </w:r>
    </w:p>
    <w:p w14:paraId="6AD0BC46" w14:textId="77777777" w:rsidR="002A1A1F" w:rsidRPr="002A1A1F" w:rsidRDefault="002A1A1F" w:rsidP="002A1A1F">
      <w:pPr>
        <w:tabs>
          <w:tab w:val="left" w:pos="6237"/>
        </w:tabs>
        <w:spacing w:before="120" w:after="120" w:line="360" w:lineRule="auto"/>
        <w:jc w:val="both"/>
        <w:rPr>
          <w:rFonts w:ascii="Sylfaen" w:hAnsi="Sylfaen"/>
          <w:color w:val="000000" w:themeColor="text1"/>
        </w:rPr>
      </w:pPr>
    </w:p>
    <w:p w14:paraId="64D3BFBD" w14:textId="77777777" w:rsidR="002A1A1F" w:rsidRPr="002A1A1F" w:rsidRDefault="002A1A1F" w:rsidP="002A1A1F">
      <w:pPr>
        <w:pStyle w:val="Heading1"/>
        <w:spacing w:before="120" w:after="120" w:line="360" w:lineRule="auto"/>
        <w:rPr>
          <w:rFonts w:ascii="Sylfaen" w:hAnsi="Sylfaen"/>
          <w:b/>
          <w:bCs/>
          <w:color w:val="000000" w:themeColor="text1"/>
          <w:sz w:val="22"/>
          <w:szCs w:val="22"/>
        </w:rPr>
      </w:pPr>
      <w:r w:rsidRPr="002A1A1F">
        <w:rPr>
          <w:rFonts w:ascii="Sylfaen" w:hAnsi="Sylfaen"/>
          <w:b/>
          <w:bCs/>
          <w:color w:val="000000" w:themeColor="text1"/>
          <w:sz w:val="22"/>
          <w:szCs w:val="22"/>
        </w:rPr>
        <w:t>Accountability and Audit</w:t>
      </w:r>
    </w:p>
    <w:p w14:paraId="198CBD60" w14:textId="6F32734F" w:rsidR="002A1A1F" w:rsidRPr="002A1A1F" w:rsidRDefault="002A1A1F" w:rsidP="002A1A1F">
      <w:pPr>
        <w:tabs>
          <w:tab w:val="left" w:pos="6237"/>
        </w:tabs>
        <w:spacing w:before="120" w:after="120" w:line="360" w:lineRule="auto"/>
        <w:jc w:val="both"/>
        <w:rPr>
          <w:rFonts w:ascii="Sylfaen" w:hAnsi="Sylfaen"/>
          <w:color w:val="000000" w:themeColor="text1"/>
        </w:rPr>
      </w:pPr>
      <w:r w:rsidRPr="002A1A1F">
        <w:rPr>
          <w:rFonts w:ascii="Sylfaen" w:hAnsi="Sylfaen"/>
          <w:color w:val="000000" w:themeColor="text1"/>
        </w:rPr>
        <w:t>Independent auditing is becoming an essential element of today’s corporate governance. As ownership and control is separate, shareholders depend on independent scrutiny to ensure that management is acting in their interest (</w:t>
      </w:r>
      <w:proofErr w:type="spellStart"/>
      <w:r w:rsidRPr="002A1A1F">
        <w:rPr>
          <w:rFonts w:ascii="Sylfaen" w:hAnsi="Sylfaen"/>
          <w:color w:val="000000" w:themeColor="text1"/>
        </w:rPr>
        <w:t>Kurihama</w:t>
      </w:r>
      <w:proofErr w:type="spellEnd"/>
      <w:r w:rsidRPr="002A1A1F">
        <w:rPr>
          <w:rFonts w:ascii="Sylfaen" w:hAnsi="Sylfaen"/>
          <w:color w:val="000000" w:themeColor="text1"/>
        </w:rPr>
        <w:t>, 2007). Checks are usually carried out by independent auditors, who, in theory, act in the interest of shareholders. This is not always true in practice as an auditor’s independence is often threatened by factors such as a close relationship with management, conflicts of interest and power of auditor (Gray &amp; Manson, 2008).</w:t>
      </w:r>
    </w:p>
    <w:p w14:paraId="74F95D73" w14:textId="7D7E83F9" w:rsidR="002A1A1F" w:rsidRPr="002A1A1F" w:rsidRDefault="002A1A1F" w:rsidP="002A1A1F">
      <w:pPr>
        <w:tabs>
          <w:tab w:val="left" w:pos="6237"/>
        </w:tabs>
        <w:spacing w:before="120" w:after="120" w:line="360" w:lineRule="auto"/>
        <w:jc w:val="both"/>
        <w:rPr>
          <w:rFonts w:ascii="Sylfaen" w:hAnsi="Sylfaen"/>
          <w:color w:val="000000" w:themeColor="text1"/>
        </w:rPr>
      </w:pPr>
      <w:r w:rsidRPr="002A1A1F">
        <w:rPr>
          <w:rFonts w:ascii="Sylfaen" w:hAnsi="Sylfaen"/>
          <w:color w:val="000000" w:themeColor="text1"/>
        </w:rPr>
        <w:t>In their attempt to ensure shareholders of perceived independence, the audit committee was formed, acting as a barrier between management and the auditors. Responsibilities of the audit committee generally include “responsibility for the reliability of financial reporting, the effectiveness of the internal control structure over financial reporting, and the external and internal audit functions” (</w:t>
      </w:r>
      <w:proofErr w:type="spellStart"/>
      <w:r w:rsidRPr="002A1A1F">
        <w:rPr>
          <w:rFonts w:ascii="Sylfaen" w:hAnsi="Sylfaen"/>
          <w:color w:val="000000" w:themeColor="text1"/>
        </w:rPr>
        <w:t>Semenza</w:t>
      </w:r>
      <w:proofErr w:type="spellEnd"/>
      <w:r w:rsidRPr="002A1A1F">
        <w:rPr>
          <w:rFonts w:ascii="Sylfaen" w:hAnsi="Sylfaen"/>
          <w:color w:val="000000" w:themeColor="text1"/>
        </w:rPr>
        <w:t xml:space="preserve">, 2002: 131). </w:t>
      </w:r>
    </w:p>
    <w:p w14:paraId="433287A9" w14:textId="7999E569" w:rsidR="002A1A1F" w:rsidRPr="002A1A1F" w:rsidRDefault="002A1A1F" w:rsidP="002A1A1F">
      <w:pPr>
        <w:tabs>
          <w:tab w:val="left" w:pos="6237"/>
        </w:tabs>
        <w:spacing w:before="120" w:after="120" w:line="360" w:lineRule="auto"/>
        <w:jc w:val="both"/>
        <w:rPr>
          <w:rFonts w:ascii="Sylfaen" w:hAnsi="Sylfaen"/>
          <w:color w:val="000000" w:themeColor="text1"/>
        </w:rPr>
      </w:pPr>
      <w:r w:rsidRPr="002A1A1F">
        <w:rPr>
          <w:rFonts w:ascii="Sylfaen" w:hAnsi="Sylfaen"/>
          <w:color w:val="000000" w:themeColor="text1"/>
        </w:rPr>
        <w:t>Dye (1991) suggests that if audit fees are disclosed to shareholders, auditor’s independence would improve as there are no quasi-rents to influence the company’s audit opinion. Lai (2009) provided empirical evidence that disclosure of audit fees improves auditor independence. It is evident that with adequate disclosure of audit fees and improved transparency, shareholders confidence in the accuracy of an auditor’s report would improve.</w:t>
      </w:r>
    </w:p>
    <w:p w14:paraId="048B2BE0" w14:textId="77777777" w:rsidR="002A1A1F" w:rsidRPr="002A1A1F" w:rsidRDefault="002A1A1F" w:rsidP="002A1A1F">
      <w:pPr>
        <w:tabs>
          <w:tab w:val="left" w:pos="6237"/>
        </w:tabs>
        <w:spacing w:before="120" w:after="120" w:line="360" w:lineRule="auto"/>
        <w:jc w:val="both"/>
        <w:rPr>
          <w:rFonts w:ascii="Sylfaen" w:hAnsi="Sylfaen"/>
          <w:color w:val="000000" w:themeColor="text1"/>
        </w:rPr>
      </w:pPr>
      <w:r w:rsidRPr="002A1A1F">
        <w:rPr>
          <w:rFonts w:ascii="Sylfaen" w:hAnsi="Sylfaen"/>
          <w:color w:val="000000" w:themeColor="text1"/>
        </w:rPr>
        <w:t xml:space="preserve">A study conducted by </w:t>
      </w:r>
      <w:proofErr w:type="spellStart"/>
      <w:r w:rsidRPr="002A1A1F">
        <w:rPr>
          <w:rFonts w:ascii="Sylfaen" w:hAnsi="Sylfaen"/>
          <w:color w:val="000000" w:themeColor="text1"/>
        </w:rPr>
        <w:t>Antle</w:t>
      </w:r>
      <w:proofErr w:type="spellEnd"/>
      <w:r w:rsidRPr="002A1A1F">
        <w:rPr>
          <w:rFonts w:ascii="Sylfaen" w:hAnsi="Sylfaen"/>
          <w:color w:val="000000" w:themeColor="text1"/>
        </w:rPr>
        <w:t xml:space="preserve"> </w:t>
      </w:r>
      <w:r w:rsidRPr="002A1A1F">
        <w:rPr>
          <w:rFonts w:ascii="Sylfaen" w:hAnsi="Sylfaen"/>
          <w:i/>
          <w:color w:val="000000" w:themeColor="text1"/>
        </w:rPr>
        <w:t xml:space="preserve">et.al. </w:t>
      </w:r>
      <w:r w:rsidRPr="002A1A1F">
        <w:rPr>
          <w:rFonts w:ascii="Sylfaen" w:hAnsi="Sylfaen"/>
          <w:color w:val="000000" w:themeColor="text1"/>
        </w:rPr>
        <w:t>(2006)</w:t>
      </w:r>
      <w:r w:rsidRPr="002A1A1F">
        <w:rPr>
          <w:rFonts w:ascii="Sylfaen" w:hAnsi="Sylfaen"/>
          <w:i/>
          <w:color w:val="000000" w:themeColor="text1"/>
        </w:rPr>
        <w:t xml:space="preserve"> </w:t>
      </w:r>
      <w:r w:rsidRPr="002A1A1F">
        <w:rPr>
          <w:rFonts w:ascii="Sylfaen" w:hAnsi="Sylfaen"/>
          <w:color w:val="000000" w:themeColor="text1"/>
        </w:rPr>
        <w:t xml:space="preserve">suggested that by paying higher audit fees, auditors are more consenting to higher abnormal accruals. This was proven in the case of Arthur Andersen, who earned $25 million pertaining to audit work and $27 million pertaining to consultant work, from Enron in 2000 (Markham, 2006). Considering the financial dependence of Arthur Andersen on Enron, the motive of assisting in masking Enron’s massive losses in the financial statements is </w:t>
      </w:r>
      <w:r w:rsidRPr="002A1A1F">
        <w:rPr>
          <w:rFonts w:ascii="Sylfaen" w:hAnsi="Sylfaen"/>
          <w:color w:val="000000" w:themeColor="text1"/>
        </w:rPr>
        <w:lastRenderedPageBreak/>
        <w:t>apparent. It is only natural that Arthur Andersen does not want to risk losing their client, whose fees make up a major portion of their total revenue. Undue pressure had affected not only Arthur Andersen’s independence in appearance, but also their independence in fact.</w:t>
      </w:r>
    </w:p>
    <w:p w14:paraId="6A1EDCCE" w14:textId="77777777" w:rsidR="002A1A1F" w:rsidRPr="002A1A1F" w:rsidRDefault="002A1A1F" w:rsidP="002A1A1F">
      <w:pPr>
        <w:tabs>
          <w:tab w:val="left" w:pos="6237"/>
        </w:tabs>
        <w:spacing w:before="120" w:after="120" w:line="360" w:lineRule="auto"/>
        <w:jc w:val="both"/>
        <w:rPr>
          <w:rFonts w:ascii="Sylfaen" w:hAnsi="Sylfaen"/>
          <w:color w:val="000000" w:themeColor="text1"/>
        </w:rPr>
      </w:pPr>
    </w:p>
    <w:p w14:paraId="3D09C006" w14:textId="77777777" w:rsidR="002A1A1F" w:rsidRPr="002A1A1F" w:rsidRDefault="002A1A1F" w:rsidP="002A1A1F">
      <w:pPr>
        <w:pStyle w:val="Heading1"/>
        <w:spacing w:before="120" w:after="120" w:line="360" w:lineRule="auto"/>
        <w:rPr>
          <w:rFonts w:ascii="Sylfaen" w:hAnsi="Sylfaen"/>
          <w:b/>
          <w:bCs/>
          <w:color w:val="000000" w:themeColor="text1"/>
          <w:sz w:val="22"/>
          <w:szCs w:val="22"/>
        </w:rPr>
      </w:pPr>
      <w:r w:rsidRPr="002A1A1F">
        <w:rPr>
          <w:rFonts w:ascii="Sylfaen" w:hAnsi="Sylfaen"/>
          <w:b/>
          <w:bCs/>
          <w:color w:val="000000" w:themeColor="text1"/>
          <w:sz w:val="22"/>
          <w:szCs w:val="22"/>
        </w:rPr>
        <w:t>Conclusion</w:t>
      </w:r>
    </w:p>
    <w:p w14:paraId="3A188351" w14:textId="77777777" w:rsidR="002A1A1F" w:rsidRPr="002A1A1F" w:rsidRDefault="002A1A1F" w:rsidP="002A1A1F">
      <w:pPr>
        <w:tabs>
          <w:tab w:val="left" w:pos="6237"/>
        </w:tabs>
        <w:spacing w:before="120" w:after="120" w:line="360" w:lineRule="auto"/>
        <w:jc w:val="both"/>
        <w:rPr>
          <w:rFonts w:ascii="Sylfaen" w:hAnsi="Sylfaen"/>
          <w:color w:val="000000" w:themeColor="text1"/>
        </w:rPr>
      </w:pPr>
      <w:r w:rsidRPr="002A1A1F">
        <w:rPr>
          <w:rFonts w:ascii="Sylfaen" w:hAnsi="Sylfaen"/>
          <w:color w:val="000000" w:themeColor="text1"/>
        </w:rPr>
        <w:t xml:space="preserve">The Enron saga had brought to light many weaknesses in the accounting, auditing, and corporate governance of various firms.  Other corporate governance issues, such as director’s remuneration and internal auditors, arose from the Enron case. Furthermore, principles such as stakeholder theory and corporate social responsibility were greatly influenced by the case. The impact of Enron’s collapse could be felt throughout the global economy, devastating the whole financial industry.  Professional bodies have subsequently sought to develop approaches to plug loopholes, impose new controls, and prevent the emergence of other, similar companies. Efforts of the professional bodies, however, have yet to materialise, and there is much work to be done to keep pace with changes in the business environment and uphold good governance. </w:t>
      </w:r>
    </w:p>
    <w:p w14:paraId="56143EF0" w14:textId="77777777" w:rsidR="005C13FD" w:rsidRPr="002A1A1F" w:rsidRDefault="005C13FD" w:rsidP="002A1A1F">
      <w:pPr>
        <w:spacing w:before="120" w:after="120" w:line="360" w:lineRule="auto"/>
        <w:rPr>
          <w:rFonts w:ascii="Sylfaen" w:hAnsi="Sylfaen"/>
          <w:color w:val="000000" w:themeColor="text1"/>
        </w:rPr>
      </w:pPr>
    </w:p>
    <w:p w14:paraId="59A3613C" w14:textId="4AFB3556" w:rsidR="00AE1087" w:rsidRPr="002A1A1F" w:rsidRDefault="00AE1087" w:rsidP="002A1A1F">
      <w:pPr>
        <w:pStyle w:val="Heading1"/>
        <w:spacing w:before="120" w:after="120" w:line="360" w:lineRule="auto"/>
        <w:rPr>
          <w:rFonts w:ascii="Sylfaen" w:hAnsi="Sylfaen"/>
          <w:b/>
          <w:bCs/>
          <w:color w:val="000000" w:themeColor="text1"/>
          <w:sz w:val="22"/>
          <w:szCs w:val="22"/>
        </w:rPr>
      </w:pPr>
      <w:r w:rsidRPr="002A1A1F">
        <w:rPr>
          <w:rFonts w:ascii="Sylfaen" w:hAnsi="Sylfaen"/>
          <w:b/>
          <w:bCs/>
          <w:color w:val="000000" w:themeColor="text1"/>
          <w:sz w:val="22"/>
          <w:szCs w:val="22"/>
        </w:rPr>
        <w:t>Bibliography</w:t>
      </w:r>
    </w:p>
    <w:p w14:paraId="135AE420" w14:textId="77777777" w:rsidR="002A1A1F" w:rsidRPr="002A1A1F" w:rsidRDefault="002A1A1F" w:rsidP="002A1A1F">
      <w:pPr>
        <w:pStyle w:val="ListParagraph"/>
        <w:tabs>
          <w:tab w:val="left" w:pos="6237"/>
        </w:tabs>
        <w:ind w:left="0"/>
        <w:jc w:val="both"/>
        <w:rPr>
          <w:rFonts w:ascii="Sylfaen" w:hAnsi="Sylfaen"/>
          <w:sz w:val="22"/>
          <w:szCs w:val="22"/>
        </w:rPr>
      </w:pPr>
      <w:r w:rsidRPr="002A1A1F">
        <w:rPr>
          <w:rFonts w:ascii="Sylfaen" w:hAnsi="Sylfaen"/>
          <w:sz w:val="22"/>
          <w:szCs w:val="22"/>
        </w:rPr>
        <w:t xml:space="preserve">Ammons, J.L. &amp; Brazelton, J.K., 2002. The Enron saga: Key players, dates, and events. In Ammons, J.L. &amp; Brazelton, J.K., ed. </w:t>
      </w:r>
      <w:r w:rsidRPr="002A1A1F">
        <w:rPr>
          <w:rFonts w:ascii="Sylfaen" w:hAnsi="Sylfaen"/>
          <w:i/>
          <w:sz w:val="22"/>
          <w:szCs w:val="22"/>
        </w:rPr>
        <w:t>Enron and beyond: Technical analysis of accounting, corporate governance and securities issues</w:t>
      </w:r>
      <w:r w:rsidRPr="002A1A1F">
        <w:rPr>
          <w:rFonts w:ascii="Sylfaen" w:hAnsi="Sylfaen"/>
          <w:sz w:val="22"/>
          <w:szCs w:val="22"/>
        </w:rPr>
        <w:t>. United States of America: CCH Incorporated.</w:t>
      </w:r>
    </w:p>
    <w:p w14:paraId="20EE4D42" w14:textId="77777777" w:rsidR="002A1A1F" w:rsidRPr="002A1A1F" w:rsidRDefault="002A1A1F" w:rsidP="002A1A1F">
      <w:pPr>
        <w:pStyle w:val="ListParagraph"/>
        <w:tabs>
          <w:tab w:val="left" w:pos="6237"/>
        </w:tabs>
        <w:ind w:left="0"/>
        <w:jc w:val="both"/>
        <w:rPr>
          <w:rFonts w:ascii="Sylfaen" w:hAnsi="Sylfaen"/>
          <w:sz w:val="22"/>
          <w:szCs w:val="22"/>
        </w:rPr>
      </w:pPr>
    </w:p>
    <w:p w14:paraId="7116A834" w14:textId="77777777" w:rsidR="002A1A1F" w:rsidRPr="002A1A1F" w:rsidRDefault="002A1A1F" w:rsidP="002A1A1F">
      <w:pPr>
        <w:pStyle w:val="ListParagraph"/>
        <w:tabs>
          <w:tab w:val="left" w:pos="6237"/>
        </w:tabs>
        <w:ind w:left="0"/>
        <w:jc w:val="both"/>
        <w:rPr>
          <w:rFonts w:ascii="Sylfaen" w:hAnsi="Sylfaen"/>
          <w:sz w:val="22"/>
          <w:szCs w:val="22"/>
        </w:rPr>
      </w:pPr>
      <w:r w:rsidRPr="002A1A1F">
        <w:rPr>
          <w:rFonts w:ascii="Sylfaen" w:hAnsi="Sylfaen"/>
          <w:sz w:val="22"/>
          <w:szCs w:val="22"/>
        </w:rPr>
        <w:t xml:space="preserve">Arnold, V. &amp; Lampe, J.C., 1999. Understanding the factors underlying ethical organizations: Enabling continuous ethical improvement. </w:t>
      </w:r>
      <w:r w:rsidRPr="002A1A1F">
        <w:rPr>
          <w:rFonts w:ascii="Sylfaen" w:hAnsi="Sylfaen"/>
          <w:i/>
          <w:sz w:val="22"/>
          <w:szCs w:val="22"/>
        </w:rPr>
        <w:t>Journal of Applied Business Research</w:t>
      </w:r>
      <w:r w:rsidRPr="002A1A1F">
        <w:rPr>
          <w:rFonts w:ascii="Sylfaen" w:hAnsi="Sylfaen"/>
          <w:sz w:val="22"/>
          <w:szCs w:val="22"/>
        </w:rPr>
        <w:t>, 15(3), pp 1 – 20.</w:t>
      </w:r>
    </w:p>
    <w:p w14:paraId="0D3FBAD2" w14:textId="77777777" w:rsidR="002A1A1F" w:rsidRPr="002A1A1F" w:rsidRDefault="002A1A1F" w:rsidP="002A1A1F">
      <w:pPr>
        <w:pStyle w:val="ListParagraph"/>
        <w:tabs>
          <w:tab w:val="left" w:pos="6237"/>
        </w:tabs>
        <w:ind w:left="0"/>
        <w:jc w:val="both"/>
        <w:rPr>
          <w:rFonts w:ascii="Sylfaen" w:hAnsi="Sylfaen"/>
          <w:sz w:val="22"/>
          <w:szCs w:val="22"/>
        </w:rPr>
      </w:pPr>
    </w:p>
    <w:p w14:paraId="60EEBB5E" w14:textId="77777777" w:rsidR="002A1A1F" w:rsidRPr="002A1A1F" w:rsidRDefault="002A1A1F" w:rsidP="002A1A1F">
      <w:pPr>
        <w:pStyle w:val="ListParagraph"/>
        <w:tabs>
          <w:tab w:val="left" w:pos="6237"/>
        </w:tabs>
        <w:ind w:left="0"/>
        <w:jc w:val="both"/>
        <w:rPr>
          <w:rFonts w:ascii="Sylfaen" w:hAnsi="Sylfaen"/>
          <w:sz w:val="22"/>
          <w:szCs w:val="22"/>
        </w:rPr>
      </w:pPr>
      <w:proofErr w:type="spellStart"/>
      <w:r w:rsidRPr="002A1A1F">
        <w:rPr>
          <w:rFonts w:ascii="Sylfaen" w:hAnsi="Sylfaen"/>
          <w:sz w:val="22"/>
          <w:szCs w:val="22"/>
        </w:rPr>
        <w:t>Antle</w:t>
      </w:r>
      <w:proofErr w:type="spellEnd"/>
      <w:r w:rsidRPr="002A1A1F">
        <w:rPr>
          <w:rFonts w:ascii="Sylfaen" w:hAnsi="Sylfaen"/>
          <w:sz w:val="22"/>
          <w:szCs w:val="22"/>
        </w:rPr>
        <w:t xml:space="preserve">, R., Gordon, E., </w:t>
      </w:r>
      <w:proofErr w:type="spellStart"/>
      <w:r w:rsidRPr="002A1A1F">
        <w:rPr>
          <w:rFonts w:ascii="Sylfaen" w:hAnsi="Sylfaen"/>
          <w:sz w:val="22"/>
          <w:szCs w:val="22"/>
        </w:rPr>
        <w:t>Narayanamoorthy</w:t>
      </w:r>
      <w:proofErr w:type="spellEnd"/>
      <w:r w:rsidRPr="002A1A1F">
        <w:rPr>
          <w:rFonts w:ascii="Sylfaen" w:hAnsi="Sylfaen"/>
          <w:sz w:val="22"/>
          <w:szCs w:val="22"/>
        </w:rPr>
        <w:t xml:space="preserve">, G. &amp; Zhou, L., 2006. The joint determination of audit fees, non-audit fees, and abnormal accruals. </w:t>
      </w:r>
      <w:r w:rsidRPr="002A1A1F">
        <w:rPr>
          <w:rFonts w:ascii="Sylfaen" w:hAnsi="Sylfaen"/>
          <w:i/>
          <w:sz w:val="22"/>
          <w:szCs w:val="22"/>
        </w:rPr>
        <w:t>Review of Quantitative Finance &amp; Accounting</w:t>
      </w:r>
      <w:r w:rsidRPr="002A1A1F">
        <w:rPr>
          <w:rFonts w:ascii="Sylfaen" w:hAnsi="Sylfaen"/>
          <w:sz w:val="22"/>
          <w:szCs w:val="22"/>
        </w:rPr>
        <w:t>, 27, pp 235 – 266.</w:t>
      </w:r>
    </w:p>
    <w:p w14:paraId="4196DE03" w14:textId="77777777" w:rsidR="002A1A1F" w:rsidRPr="002A1A1F" w:rsidRDefault="002A1A1F" w:rsidP="002A1A1F">
      <w:pPr>
        <w:pStyle w:val="ListParagraph"/>
        <w:tabs>
          <w:tab w:val="left" w:pos="6237"/>
        </w:tabs>
        <w:ind w:left="0"/>
        <w:jc w:val="both"/>
        <w:rPr>
          <w:rFonts w:ascii="Sylfaen" w:hAnsi="Sylfaen"/>
          <w:sz w:val="22"/>
          <w:szCs w:val="22"/>
        </w:rPr>
      </w:pPr>
    </w:p>
    <w:p w14:paraId="53D00343" w14:textId="77777777" w:rsidR="002A1A1F" w:rsidRPr="002A1A1F" w:rsidRDefault="002A1A1F" w:rsidP="002A1A1F">
      <w:pPr>
        <w:pStyle w:val="ListParagraph"/>
        <w:tabs>
          <w:tab w:val="left" w:pos="6237"/>
        </w:tabs>
        <w:ind w:left="0"/>
        <w:jc w:val="both"/>
        <w:rPr>
          <w:rFonts w:ascii="Sylfaen" w:hAnsi="Sylfaen"/>
          <w:sz w:val="22"/>
          <w:szCs w:val="22"/>
        </w:rPr>
      </w:pPr>
      <w:r w:rsidRPr="002A1A1F">
        <w:rPr>
          <w:rFonts w:ascii="Sylfaen" w:hAnsi="Sylfaen"/>
          <w:sz w:val="22"/>
          <w:szCs w:val="22"/>
        </w:rPr>
        <w:t xml:space="preserve">Conger, J.A., Finegold, D. &amp; Lawler, E.E., 2000. Appraising boardroom performance. In Lorsch, J.W. &amp; Salmon, W.J., ed. </w:t>
      </w:r>
      <w:r w:rsidRPr="002A1A1F">
        <w:rPr>
          <w:rFonts w:ascii="Sylfaen" w:hAnsi="Sylfaen"/>
          <w:i/>
          <w:sz w:val="22"/>
          <w:szCs w:val="22"/>
        </w:rPr>
        <w:t>Harvard Business Review on Corporate Governance</w:t>
      </w:r>
      <w:r w:rsidRPr="002A1A1F">
        <w:rPr>
          <w:rFonts w:ascii="Sylfaen" w:hAnsi="Sylfaen"/>
          <w:sz w:val="22"/>
          <w:szCs w:val="22"/>
        </w:rPr>
        <w:t>. United States of America: Harvard Business Review.</w:t>
      </w:r>
    </w:p>
    <w:p w14:paraId="6E1A09F0" w14:textId="77777777" w:rsidR="002A1A1F" w:rsidRPr="002A1A1F" w:rsidRDefault="002A1A1F" w:rsidP="002A1A1F">
      <w:pPr>
        <w:pStyle w:val="ListParagraph"/>
        <w:tabs>
          <w:tab w:val="left" w:pos="6237"/>
        </w:tabs>
        <w:ind w:left="0"/>
        <w:jc w:val="both"/>
        <w:rPr>
          <w:rFonts w:ascii="Sylfaen" w:hAnsi="Sylfaen"/>
          <w:sz w:val="22"/>
          <w:szCs w:val="22"/>
        </w:rPr>
      </w:pPr>
    </w:p>
    <w:p w14:paraId="77FC2BE7" w14:textId="77777777" w:rsidR="002A1A1F" w:rsidRPr="002A1A1F" w:rsidRDefault="002A1A1F" w:rsidP="002A1A1F">
      <w:pPr>
        <w:pStyle w:val="ListParagraph"/>
        <w:tabs>
          <w:tab w:val="left" w:pos="6237"/>
        </w:tabs>
        <w:ind w:left="0"/>
        <w:jc w:val="both"/>
        <w:rPr>
          <w:rFonts w:ascii="Sylfaen" w:hAnsi="Sylfaen"/>
          <w:sz w:val="22"/>
          <w:szCs w:val="22"/>
        </w:rPr>
      </w:pPr>
      <w:proofErr w:type="spellStart"/>
      <w:r w:rsidRPr="002A1A1F">
        <w:rPr>
          <w:rFonts w:ascii="Sylfaen" w:hAnsi="Sylfaen"/>
          <w:sz w:val="22"/>
          <w:szCs w:val="22"/>
        </w:rPr>
        <w:t>Cruver</w:t>
      </w:r>
      <w:proofErr w:type="spellEnd"/>
      <w:r w:rsidRPr="002A1A1F">
        <w:rPr>
          <w:rFonts w:ascii="Sylfaen" w:hAnsi="Sylfaen"/>
          <w:sz w:val="22"/>
          <w:szCs w:val="22"/>
        </w:rPr>
        <w:t xml:space="preserve">, B., 2002. </w:t>
      </w:r>
      <w:r w:rsidRPr="002A1A1F">
        <w:rPr>
          <w:rFonts w:ascii="Sylfaen" w:hAnsi="Sylfaen"/>
          <w:i/>
          <w:sz w:val="22"/>
          <w:szCs w:val="22"/>
        </w:rPr>
        <w:t>Enron: Anatomy of Greed</w:t>
      </w:r>
      <w:r w:rsidRPr="002A1A1F">
        <w:rPr>
          <w:rFonts w:ascii="Sylfaen" w:hAnsi="Sylfaen"/>
          <w:sz w:val="22"/>
          <w:szCs w:val="22"/>
        </w:rPr>
        <w:t>. United States of America: Carroll &amp; Graf Publishers.</w:t>
      </w:r>
    </w:p>
    <w:p w14:paraId="202D3687" w14:textId="77777777" w:rsidR="002A1A1F" w:rsidRPr="002A1A1F" w:rsidRDefault="002A1A1F" w:rsidP="002A1A1F">
      <w:pPr>
        <w:pStyle w:val="ListParagraph"/>
        <w:tabs>
          <w:tab w:val="left" w:pos="6237"/>
        </w:tabs>
        <w:ind w:left="0"/>
        <w:jc w:val="both"/>
        <w:rPr>
          <w:rFonts w:ascii="Sylfaen" w:hAnsi="Sylfaen"/>
          <w:sz w:val="22"/>
          <w:szCs w:val="22"/>
        </w:rPr>
      </w:pPr>
    </w:p>
    <w:p w14:paraId="0191AB65" w14:textId="77777777" w:rsidR="002A1A1F" w:rsidRPr="002A1A1F" w:rsidRDefault="002A1A1F" w:rsidP="002A1A1F">
      <w:pPr>
        <w:pStyle w:val="ListParagraph"/>
        <w:tabs>
          <w:tab w:val="left" w:pos="6237"/>
        </w:tabs>
        <w:ind w:left="0"/>
        <w:jc w:val="both"/>
        <w:rPr>
          <w:rFonts w:ascii="Sylfaen" w:hAnsi="Sylfaen"/>
          <w:sz w:val="22"/>
          <w:szCs w:val="22"/>
        </w:rPr>
      </w:pPr>
      <w:r w:rsidRPr="002A1A1F">
        <w:rPr>
          <w:rFonts w:ascii="Sylfaen" w:hAnsi="Sylfaen"/>
          <w:sz w:val="22"/>
          <w:szCs w:val="22"/>
        </w:rPr>
        <w:t xml:space="preserve">Dallas, L.L., 2004. Enron and Ethical Corporate Climates. In Rapoport, N.B. &amp; Dharan, B.G., ed. </w:t>
      </w:r>
      <w:r w:rsidRPr="002A1A1F">
        <w:rPr>
          <w:rFonts w:ascii="Sylfaen" w:hAnsi="Sylfaen"/>
          <w:i/>
          <w:sz w:val="22"/>
          <w:szCs w:val="22"/>
        </w:rPr>
        <w:t>Enron: Corporate fiascos and their implication</w:t>
      </w:r>
      <w:r w:rsidRPr="002A1A1F">
        <w:rPr>
          <w:rFonts w:ascii="Sylfaen" w:hAnsi="Sylfaen"/>
          <w:sz w:val="22"/>
          <w:szCs w:val="22"/>
        </w:rPr>
        <w:t>. United States of America: Foundation Press.</w:t>
      </w:r>
    </w:p>
    <w:p w14:paraId="4C68E6B5" w14:textId="77777777" w:rsidR="002A1A1F" w:rsidRPr="002A1A1F" w:rsidRDefault="002A1A1F" w:rsidP="002A1A1F">
      <w:pPr>
        <w:pStyle w:val="ListParagraph"/>
        <w:tabs>
          <w:tab w:val="left" w:pos="6237"/>
        </w:tabs>
        <w:ind w:left="0"/>
        <w:jc w:val="both"/>
        <w:rPr>
          <w:rFonts w:ascii="Sylfaen" w:hAnsi="Sylfaen"/>
          <w:sz w:val="22"/>
          <w:szCs w:val="22"/>
        </w:rPr>
      </w:pPr>
    </w:p>
    <w:p w14:paraId="6F677D40" w14:textId="77777777" w:rsidR="002A1A1F" w:rsidRPr="002A1A1F" w:rsidRDefault="002A1A1F" w:rsidP="002A1A1F">
      <w:pPr>
        <w:pStyle w:val="ListParagraph"/>
        <w:tabs>
          <w:tab w:val="left" w:pos="6237"/>
        </w:tabs>
        <w:ind w:left="0"/>
        <w:jc w:val="both"/>
        <w:rPr>
          <w:rFonts w:ascii="Sylfaen" w:hAnsi="Sylfaen"/>
          <w:sz w:val="22"/>
          <w:szCs w:val="22"/>
        </w:rPr>
      </w:pPr>
      <w:r w:rsidRPr="002A1A1F">
        <w:rPr>
          <w:rFonts w:ascii="Sylfaen" w:hAnsi="Sylfaen"/>
          <w:sz w:val="22"/>
          <w:szCs w:val="22"/>
        </w:rPr>
        <w:lastRenderedPageBreak/>
        <w:t xml:space="preserve">Dawson, S., 2004. Balancing self-interest and altruism: Corporate governance alone is not enough. </w:t>
      </w:r>
      <w:r w:rsidRPr="002A1A1F">
        <w:rPr>
          <w:rFonts w:ascii="Sylfaen" w:hAnsi="Sylfaen"/>
          <w:i/>
          <w:sz w:val="22"/>
          <w:szCs w:val="22"/>
        </w:rPr>
        <w:t>Corporate Governance</w:t>
      </w:r>
      <w:r w:rsidRPr="002A1A1F">
        <w:rPr>
          <w:rFonts w:ascii="Sylfaen" w:hAnsi="Sylfaen"/>
          <w:sz w:val="22"/>
          <w:szCs w:val="22"/>
        </w:rPr>
        <w:t>, 12(2), pp 130 – 133.</w:t>
      </w:r>
    </w:p>
    <w:p w14:paraId="703D0133" w14:textId="77777777" w:rsidR="002A1A1F" w:rsidRPr="002A1A1F" w:rsidRDefault="002A1A1F" w:rsidP="002A1A1F">
      <w:pPr>
        <w:pStyle w:val="ListParagraph"/>
        <w:tabs>
          <w:tab w:val="left" w:pos="6237"/>
        </w:tabs>
        <w:ind w:left="0"/>
        <w:jc w:val="both"/>
        <w:rPr>
          <w:rFonts w:ascii="Sylfaen" w:hAnsi="Sylfaen"/>
          <w:sz w:val="22"/>
          <w:szCs w:val="22"/>
        </w:rPr>
      </w:pPr>
    </w:p>
    <w:p w14:paraId="6F63F297" w14:textId="77777777" w:rsidR="002A1A1F" w:rsidRPr="002A1A1F" w:rsidRDefault="002A1A1F" w:rsidP="002A1A1F">
      <w:pPr>
        <w:pStyle w:val="ListParagraph"/>
        <w:tabs>
          <w:tab w:val="left" w:pos="6237"/>
        </w:tabs>
        <w:ind w:left="0"/>
        <w:jc w:val="both"/>
        <w:rPr>
          <w:rFonts w:ascii="Sylfaen" w:hAnsi="Sylfaen"/>
          <w:sz w:val="22"/>
          <w:szCs w:val="22"/>
        </w:rPr>
      </w:pPr>
      <w:r w:rsidRPr="002A1A1F">
        <w:rPr>
          <w:rFonts w:ascii="Sylfaen" w:hAnsi="Sylfaen"/>
          <w:sz w:val="22"/>
          <w:szCs w:val="22"/>
        </w:rPr>
        <w:t xml:space="preserve">Dobson, J., 2006. Enron: The collapse of corporate culture. In </w:t>
      </w:r>
      <w:proofErr w:type="spellStart"/>
      <w:r w:rsidRPr="002A1A1F">
        <w:rPr>
          <w:rFonts w:ascii="Sylfaen" w:hAnsi="Sylfaen"/>
          <w:sz w:val="22"/>
          <w:szCs w:val="22"/>
        </w:rPr>
        <w:t>Bonvin</w:t>
      </w:r>
      <w:proofErr w:type="spellEnd"/>
      <w:r w:rsidRPr="002A1A1F">
        <w:rPr>
          <w:rFonts w:ascii="Sylfaen" w:hAnsi="Sylfaen"/>
          <w:sz w:val="22"/>
          <w:szCs w:val="22"/>
        </w:rPr>
        <w:t xml:space="preserve">, J.M., Cornford, A., </w:t>
      </w:r>
      <w:proofErr w:type="spellStart"/>
      <w:r w:rsidRPr="002A1A1F">
        <w:rPr>
          <w:rFonts w:ascii="Sylfaen" w:hAnsi="Sylfaen"/>
          <w:sz w:val="22"/>
          <w:szCs w:val="22"/>
        </w:rPr>
        <w:t>Dembinski</w:t>
      </w:r>
      <w:proofErr w:type="spellEnd"/>
      <w:r w:rsidRPr="002A1A1F">
        <w:rPr>
          <w:rFonts w:ascii="Sylfaen" w:hAnsi="Sylfaen"/>
          <w:sz w:val="22"/>
          <w:szCs w:val="22"/>
        </w:rPr>
        <w:t xml:space="preserve">, P.H. &amp; Lager, C., ed. </w:t>
      </w:r>
      <w:r w:rsidRPr="002A1A1F">
        <w:rPr>
          <w:rFonts w:ascii="Sylfaen" w:hAnsi="Sylfaen"/>
          <w:i/>
          <w:sz w:val="22"/>
          <w:szCs w:val="22"/>
        </w:rPr>
        <w:t>Enron and world finance: A Case Study in Ethics</w:t>
      </w:r>
      <w:r w:rsidRPr="002A1A1F">
        <w:rPr>
          <w:rFonts w:ascii="Sylfaen" w:hAnsi="Sylfaen"/>
          <w:sz w:val="22"/>
          <w:szCs w:val="22"/>
        </w:rPr>
        <w:t>. United States of America: Palgrave Macmillan.</w:t>
      </w:r>
    </w:p>
    <w:p w14:paraId="685E8ECD" w14:textId="77777777" w:rsidR="002A1A1F" w:rsidRPr="002A1A1F" w:rsidRDefault="002A1A1F" w:rsidP="002A1A1F">
      <w:pPr>
        <w:pStyle w:val="ListParagraph"/>
        <w:tabs>
          <w:tab w:val="left" w:pos="6237"/>
        </w:tabs>
        <w:ind w:left="0"/>
        <w:jc w:val="both"/>
        <w:rPr>
          <w:rFonts w:ascii="Sylfaen" w:hAnsi="Sylfaen"/>
          <w:sz w:val="22"/>
          <w:szCs w:val="22"/>
        </w:rPr>
      </w:pPr>
    </w:p>
    <w:p w14:paraId="0E9949BC" w14:textId="77777777" w:rsidR="002A1A1F" w:rsidRPr="002A1A1F" w:rsidRDefault="002A1A1F" w:rsidP="002A1A1F">
      <w:pPr>
        <w:pStyle w:val="ListParagraph"/>
        <w:tabs>
          <w:tab w:val="left" w:pos="6237"/>
        </w:tabs>
        <w:ind w:left="0"/>
        <w:jc w:val="both"/>
        <w:rPr>
          <w:rFonts w:ascii="Sylfaen" w:hAnsi="Sylfaen"/>
          <w:sz w:val="22"/>
          <w:szCs w:val="22"/>
        </w:rPr>
      </w:pPr>
      <w:r w:rsidRPr="002A1A1F">
        <w:rPr>
          <w:rFonts w:ascii="Sylfaen" w:hAnsi="Sylfaen"/>
          <w:sz w:val="22"/>
          <w:szCs w:val="22"/>
        </w:rPr>
        <w:t xml:space="preserve">Dye, R.A., 1991. Informationally motivated auditor replacement. </w:t>
      </w:r>
      <w:r w:rsidRPr="002A1A1F">
        <w:rPr>
          <w:rFonts w:ascii="Sylfaen" w:hAnsi="Sylfaen"/>
          <w:i/>
          <w:sz w:val="22"/>
          <w:szCs w:val="22"/>
        </w:rPr>
        <w:t>Journal of Accounting and Economics</w:t>
      </w:r>
      <w:r w:rsidRPr="002A1A1F">
        <w:rPr>
          <w:rFonts w:ascii="Sylfaen" w:hAnsi="Sylfaen"/>
          <w:sz w:val="22"/>
          <w:szCs w:val="22"/>
        </w:rPr>
        <w:t>, 14, pp 347 – 374.</w:t>
      </w:r>
    </w:p>
    <w:p w14:paraId="29AE5D0F" w14:textId="77777777" w:rsidR="002A1A1F" w:rsidRPr="002A1A1F" w:rsidRDefault="002A1A1F" w:rsidP="002A1A1F">
      <w:pPr>
        <w:pStyle w:val="ListParagraph"/>
        <w:tabs>
          <w:tab w:val="left" w:pos="6237"/>
        </w:tabs>
        <w:ind w:left="0"/>
        <w:jc w:val="both"/>
        <w:rPr>
          <w:rFonts w:ascii="Sylfaen" w:hAnsi="Sylfaen"/>
          <w:sz w:val="22"/>
          <w:szCs w:val="22"/>
        </w:rPr>
      </w:pPr>
    </w:p>
    <w:p w14:paraId="2134BEED" w14:textId="77777777" w:rsidR="002A1A1F" w:rsidRPr="002A1A1F" w:rsidRDefault="002A1A1F" w:rsidP="002A1A1F">
      <w:pPr>
        <w:pStyle w:val="ListParagraph"/>
        <w:tabs>
          <w:tab w:val="left" w:pos="6237"/>
        </w:tabs>
        <w:ind w:left="0"/>
        <w:jc w:val="both"/>
        <w:rPr>
          <w:rFonts w:ascii="Sylfaen" w:hAnsi="Sylfaen"/>
          <w:sz w:val="22"/>
          <w:szCs w:val="22"/>
        </w:rPr>
      </w:pPr>
      <w:r w:rsidRPr="002A1A1F">
        <w:rPr>
          <w:rFonts w:ascii="Sylfaen" w:hAnsi="Sylfaen"/>
          <w:sz w:val="22"/>
          <w:szCs w:val="22"/>
        </w:rPr>
        <w:t xml:space="preserve">Elkind, P. &amp; Mclean, B., 2003. </w:t>
      </w:r>
      <w:r w:rsidRPr="002A1A1F">
        <w:rPr>
          <w:rFonts w:ascii="Sylfaen" w:hAnsi="Sylfaen"/>
          <w:i/>
          <w:sz w:val="22"/>
          <w:szCs w:val="22"/>
        </w:rPr>
        <w:t>The smartest guys in the room: The amazing rise and scandalous fall of Enron</w:t>
      </w:r>
      <w:r w:rsidRPr="002A1A1F">
        <w:rPr>
          <w:rFonts w:ascii="Sylfaen" w:hAnsi="Sylfaen"/>
          <w:sz w:val="22"/>
          <w:szCs w:val="22"/>
        </w:rPr>
        <w:t>. United States of America: Penguin Group.</w:t>
      </w:r>
    </w:p>
    <w:p w14:paraId="7F8D3F98" w14:textId="77777777" w:rsidR="002A1A1F" w:rsidRPr="002A1A1F" w:rsidRDefault="002A1A1F" w:rsidP="002A1A1F">
      <w:pPr>
        <w:pStyle w:val="ListParagraph"/>
        <w:tabs>
          <w:tab w:val="left" w:pos="6237"/>
        </w:tabs>
        <w:ind w:left="0"/>
        <w:jc w:val="both"/>
        <w:rPr>
          <w:rFonts w:ascii="Sylfaen" w:hAnsi="Sylfaen"/>
          <w:sz w:val="22"/>
          <w:szCs w:val="22"/>
        </w:rPr>
      </w:pPr>
      <w:r w:rsidRPr="002A1A1F">
        <w:rPr>
          <w:rFonts w:ascii="Sylfaen" w:hAnsi="Sylfaen"/>
          <w:sz w:val="22"/>
          <w:szCs w:val="22"/>
        </w:rPr>
        <w:t xml:space="preserve">European Corporate Governance Institute, 1992. </w:t>
      </w:r>
      <w:r w:rsidRPr="002A1A1F">
        <w:rPr>
          <w:rFonts w:ascii="Sylfaen" w:hAnsi="Sylfaen"/>
          <w:i/>
          <w:sz w:val="22"/>
          <w:szCs w:val="22"/>
        </w:rPr>
        <w:t>Cadbury Report (The Financial Aspects of Corporate Governance)</w:t>
      </w:r>
      <w:r w:rsidRPr="002A1A1F">
        <w:rPr>
          <w:rFonts w:ascii="Sylfaen" w:hAnsi="Sylfaen"/>
          <w:sz w:val="22"/>
          <w:szCs w:val="22"/>
        </w:rPr>
        <w:t>. United Kingdom: Financial Reporting Council.</w:t>
      </w:r>
    </w:p>
    <w:p w14:paraId="68CD9E95" w14:textId="77777777" w:rsidR="002A1A1F" w:rsidRPr="002A1A1F" w:rsidRDefault="002A1A1F" w:rsidP="002A1A1F">
      <w:pPr>
        <w:pStyle w:val="ListParagraph"/>
        <w:tabs>
          <w:tab w:val="left" w:pos="6237"/>
        </w:tabs>
        <w:ind w:left="0"/>
        <w:jc w:val="both"/>
        <w:rPr>
          <w:rFonts w:ascii="Sylfaen" w:hAnsi="Sylfaen"/>
          <w:sz w:val="22"/>
          <w:szCs w:val="22"/>
        </w:rPr>
      </w:pPr>
    </w:p>
    <w:p w14:paraId="3349976A" w14:textId="77777777" w:rsidR="002A1A1F" w:rsidRPr="002A1A1F" w:rsidRDefault="002A1A1F" w:rsidP="002A1A1F">
      <w:pPr>
        <w:pStyle w:val="ListParagraph"/>
        <w:tabs>
          <w:tab w:val="left" w:pos="6237"/>
        </w:tabs>
        <w:ind w:left="0"/>
        <w:jc w:val="both"/>
        <w:rPr>
          <w:rFonts w:ascii="Sylfaen" w:hAnsi="Sylfaen"/>
          <w:sz w:val="22"/>
          <w:szCs w:val="22"/>
        </w:rPr>
      </w:pPr>
      <w:r w:rsidRPr="002A1A1F">
        <w:rPr>
          <w:rFonts w:ascii="Sylfaen" w:hAnsi="Sylfaen"/>
          <w:sz w:val="22"/>
          <w:szCs w:val="22"/>
        </w:rPr>
        <w:t xml:space="preserve">European Corporate Governance Institute, 2008, </w:t>
      </w:r>
      <w:r w:rsidRPr="002A1A1F">
        <w:rPr>
          <w:rFonts w:ascii="Sylfaen" w:hAnsi="Sylfaen"/>
          <w:i/>
          <w:sz w:val="22"/>
          <w:szCs w:val="22"/>
        </w:rPr>
        <w:t>The Combined Code on Corporate Governance (Revised June 2008)</w:t>
      </w:r>
      <w:r w:rsidRPr="002A1A1F">
        <w:rPr>
          <w:rFonts w:ascii="Sylfaen" w:hAnsi="Sylfaen"/>
          <w:sz w:val="22"/>
          <w:szCs w:val="22"/>
        </w:rPr>
        <w:t>. United Kingdom: Financial Reporting Council.</w:t>
      </w:r>
    </w:p>
    <w:p w14:paraId="29429CD1" w14:textId="77777777" w:rsidR="002A1A1F" w:rsidRPr="002A1A1F" w:rsidRDefault="002A1A1F" w:rsidP="002A1A1F">
      <w:pPr>
        <w:pStyle w:val="ListParagraph"/>
        <w:tabs>
          <w:tab w:val="left" w:pos="6237"/>
        </w:tabs>
        <w:ind w:left="0"/>
        <w:jc w:val="both"/>
        <w:rPr>
          <w:rFonts w:ascii="Sylfaen" w:hAnsi="Sylfaen"/>
          <w:sz w:val="22"/>
          <w:szCs w:val="22"/>
        </w:rPr>
      </w:pPr>
    </w:p>
    <w:p w14:paraId="7B86D98F" w14:textId="77777777" w:rsidR="002A1A1F" w:rsidRPr="002A1A1F" w:rsidRDefault="002A1A1F" w:rsidP="002A1A1F">
      <w:pPr>
        <w:pStyle w:val="ListParagraph"/>
        <w:tabs>
          <w:tab w:val="left" w:pos="6237"/>
        </w:tabs>
        <w:ind w:left="0"/>
        <w:jc w:val="both"/>
        <w:rPr>
          <w:rFonts w:ascii="Sylfaen" w:hAnsi="Sylfaen"/>
          <w:sz w:val="22"/>
          <w:szCs w:val="22"/>
        </w:rPr>
      </w:pPr>
      <w:r w:rsidRPr="002A1A1F">
        <w:rPr>
          <w:rFonts w:ascii="Sylfaen" w:hAnsi="Sylfaen"/>
          <w:sz w:val="22"/>
          <w:szCs w:val="22"/>
        </w:rPr>
        <w:t xml:space="preserve">Farrar, J.H. &amp; </w:t>
      </w:r>
      <w:proofErr w:type="spellStart"/>
      <w:r w:rsidRPr="002A1A1F">
        <w:rPr>
          <w:rFonts w:ascii="Sylfaen" w:hAnsi="Sylfaen"/>
          <w:sz w:val="22"/>
          <w:szCs w:val="22"/>
        </w:rPr>
        <w:t>Hammigan</w:t>
      </w:r>
      <w:proofErr w:type="spellEnd"/>
      <w:r w:rsidRPr="002A1A1F">
        <w:rPr>
          <w:rFonts w:ascii="Sylfaen" w:hAnsi="Sylfaen"/>
          <w:sz w:val="22"/>
          <w:szCs w:val="22"/>
        </w:rPr>
        <w:t xml:space="preserve">, B.M., 1998. </w:t>
      </w:r>
      <w:r w:rsidRPr="002A1A1F">
        <w:rPr>
          <w:rFonts w:ascii="Sylfaen" w:hAnsi="Sylfaen"/>
          <w:i/>
          <w:sz w:val="22"/>
          <w:szCs w:val="22"/>
        </w:rPr>
        <w:t>Farrar’s company law</w:t>
      </w:r>
      <w:r w:rsidRPr="002A1A1F">
        <w:rPr>
          <w:rFonts w:ascii="Sylfaen" w:hAnsi="Sylfaen"/>
          <w:sz w:val="22"/>
          <w:szCs w:val="22"/>
        </w:rPr>
        <w:t>, 4</w:t>
      </w:r>
      <w:r w:rsidRPr="002A1A1F">
        <w:rPr>
          <w:rFonts w:ascii="Sylfaen" w:hAnsi="Sylfaen"/>
          <w:sz w:val="22"/>
          <w:szCs w:val="22"/>
          <w:vertAlign w:val="superscript"/>
        </w:rPr>
        <w:t>th</w:t>
      </w:r>
      <w:r w:rsidRPr="002A1A1F">
        <w:rPr>
          <w:rFonts w:ascii="Sylfaen" w:hAnsi="Sylfaen"/>
          <w:sz w:val="22"/>
          <w:szCs w:val="22"/>
        </w:rPr>
        <w:t xml:space="preserve"> ed. United Kingdom: Butterworths.</w:t>
      </w:r>
    </w:p>
    <w:p w14:paraId="7F5548C5" w14:textId="77777777" w:rsidR="002A1A1F" w:rsidRPr="002A1A1F" w:rsidRDefault="002A1A1F" w:rsidP="002A1A1F">
      <w:pPr>
        <w:pStyle w:val="ListParagraph"/>
        <w:tabs>
          <w:tab w:val="left" w:pos="6237"/>
        </w:tabs>
        <w:ind w:left="0"/>
        <w:jc w:val="both"/>
        <w:rPr>
          <w:rFonts w:ascii="Sylfaen" w:hAnsi="Sylfaen"/>
          <w:sz w:val="22"/>
          <w:szCs w:val="22"/>
        </w:rPr>
      </w:pPr>
    </w:p>
    <w:p w14:paraId="05D5974B" w14:textId="77777777" w:rsidR="002A1A1F" w:rsidRPr="002A1A1F" w:rsidRDefault="002A1A1F" w:rsidP="002A1A1F">
      <w:pPr>
        <w:pStyle w:val="ListParagraph"/>
        <w:tabs>
          <w:tab w:val="left" w:pos="6237"/>
        </w:tabs>
        <w:ind w:left="0"/>
        <w:jc w:val="both"/>
        <w:rPr>
          <w:rFonts w:ascii="Sylfaen" w:hAnsi="Sylfaen"/>
          <w:sz w:val="22"/>
          <w:szCs w:val="22"/>
        </w:rPr>
      </w:pPr>
      <w:proofErr w:type="spellStart"/>
      <w:r w:rsidRPr="002A1A1F">
        <w:rPr>
          <w:rFonts w:ascii="Sylfaen" w:hAnsi="Sylfaen"/>
          <w:sz w:val="22"/>
          <w:szCs w:val="22"/>
        </w:rPr>
        <w:t>Fusaro</w:t>
      </w:r>
      <w:proofErr w:type="spellEnd"/>
      <w:r w:rsidRPr="002A1A1F">
        <w:rPr>
          <w:rFonts w:ascii="Sylfaen" w:hAnsi="Sylfaen"/>
          <w:sz w:val="22"/>
          <w:szCs w:val="22"/>
        </w:rPr>
        <w:t xml:space="preserve">, P.C. &amp; Miller, R.M., 2002. </w:t>
      </w:r>
      <w:r w:rsidRPr="002A1A1F">
        <w:rPr>
          <w:rFonts w:ascii="Sylfaen" w:hAnsi="Sylfaen"/>
          <w:i/>
          <w:sz w:val="22"/>
          <w:szCs w:val="22"/>
        </w:rPr>
        <w:t>What went wrong at Enron</w:t>
      </w:r>
      <w:r w:rsidRPr="002A1A1F">
        <w:rPr>
          <w:rFonts w:ascii="Sylfaen" w:hAnsi="Sylfaen"/>
          <w:sz w:val="22"/>
          <w:szCs w:val="22"/>
        </w:rPr>
        <w:t>. United States of America: john Wiley &amp; Sons, Inc.</w:t>
      </w:r>
    </w:p>
    <w:p w14:paraId="6E19D71C" w14:textId="77777777" w:rsidR="002A1A1F" w:rsidRPr="002A1A1F" w:rsidRDefault="002A1A1F" w:rsidP="002A1A1F">
      <w:pPr>
        <w:pStyle w:val="ListParagraph"/>
        <w:tabs>
          <w:tab w:val="left" w:pos="6237"/>
        </w:tabs>
        <w:ind w:left="0"/>
        <w:jc w:val="both"/>
        <w:rPr>
          <w:rFonts w:ascii="Sylfaen" w:hAnsi="Sylfaen"/>
          <w:sz w:val="22"/>
          <w:szCs w:val="22"/>
        </w:rPr>
      </w:pPr>
    </w:p>
    <w:p w14:paraId="705E3638" w14:textId="77777777" w:rsidR="002A1A1F" w:rsidRPr="002A1A1F" w:rsidRDefault="002A1A1F" w:rsidP="002A1A1F">
      <w:pPr>
        <w:pStyle w:val="ListParagraph"/>
        <w:tabs>
          <w:tab w:val="left" w:pos="6237"/>
        </w:tabs>
        <w:ind w:left="0"/>
        <w:jc w:val="both"/>
        <w:rPr>
          <w:rFonts w:ascii="Sylfaen" w:hAnsi="Sylfaen"/>
          <w:sz w:val="22"/>
          <w:szCs w:val="22"/>
        </w:rPr>
      </w:pPr>
      <w:r w:rsidRPr="002A1A1F">
        <w:rPr>
          <w:rFonts w:ascii="Sylfaen" w:hAnsi="Sylfaen"/>
          <w:sz w:val="22"/>
          <w:szCs w:val="22"/>
        </w:rPr>
        <w:t xml:space="preserve">Gray, I. &amp; Manson, S., 2008. </w:t>
      </w:r>
      <w:r w:rsidRPr="002A1A1F">
        <w:rPr>
          <w:rFonts w:ascii="Sylfaen" w:hAnsi="Sylfaen"/>
          <w:i/>
          <w:sz w:val="22"/>
          <w:szCs w:val="22"/>
        </w:rPr>
        <w:t>The audit process</w:t>
      </w:r>
      <w:r w:rsidRPr="002A1A1F">
        <w:rPr>
          <w:rFonts w:ascii="Sylfaen" w:hAnsi="Sylfaen"/>
          <w:sz w:val="22"/>
          <w:szCs w:val="22"/>
        </w:rPr>
        <w:t>, 4</w:t>
      </w:r>
      <w:r w:rsidRPr="002A1A1F">
        <w:rPr>
          <w:rFonts w:ascii="Sylfaen" w:hAnsi="Sylfaen"/>
          <w:sz w:val="22"/>
          <w:szCs w:val="22"/>
          <w:vertAlign w:val="superscript"/>
        </w:rPr>
        <w:t>th</w:t>
      </w:r>
      <w:r w:rsidRPr="002A1A1F">
        <w:rPr>
          <w:rFonts w:ascii="Sylfaen" w:hAnsi="Sylfaen"/>
          <w:sz w:val="22"/>
          <w:szCs w:val="22"/>
        </w:rPr>
        <w:t xml:space="preserve"> ed. United Kingdom: Thomson Learning.</w:t>
      </w:r>
    </w:p>
    <w:p w14:paraId="6952F5A8" w14:textId="77777777" w:rsidR="002A1A1F" w:rsidRPr="002A1A1F" w:rsidRDefault="002A1A1F" w:rsidP="002A1A1F">
      <w:pPr>
        <w:pStyle w:val="ListParagraph"/>
        <w:tabs>
          <w:tab w:val="left" w:pos="6237"/>
        </w:tabs>
        <w:ind w:left="0"/>
        <w:jc w:val="both"/>
        <w:rPr>
          <w:rFonts w:ascii="Sylfaen" w:hAnsi="Sylfaen"/>
          <w:sz w:val="22"/>
          <w:szCs w:val="22"/>
        </w:rPr>
      </w:pPr>
    </w:p>
    <w:p w14:paraId="2EA71CDA" w14:textId="77777777" w:rsidR="002A1A1F" w:rsidRPr="002A1A1F" w:rsidRDefault="002A1A1F" w:rsidP="002A1A1F">
      <w:pPr>
        <w:pStyle w:val="ListParagraph"/>
        <w:tabs>
          <w:tab w:val="left" w:pos="6237"/>
        </w:tabs>
        <w:ind w:left="0"/>
        <w:jc w:val="both"/>
        <w:rPr>
          <w:rFonts w:ascii="Sylfaen" w:hAnsi="Sylfaen"/>
          <w:sz w:val="22"/>
          <w:szCs w:val="22"/>
        </w:rPr>
      </w:pPr>
      <w:r w:rsidRPr="002A1A1F">
        <w:rPr>
          <w:rFonts w:ascii="Sylfaen" w:hAnsi="Sylfaen"/>
          <w:sz w:val="22"/>
          <w:szCs w:val="22"/>
        </w:rPr>
        <w:t xml:space="preserve">Hamilton, S. &amp; Micklethwait, A., 2006. </w:t>
      </w:r>
      <w:r w:rsidRPr="002A1A1F">
        <w:rPr>
          <w:rFonts w:ascii="Sylfaen" w:hAnsi="Sylfaen"/>
          <w:i/>
          <w:sz w:val="22"/>
          <w:szCs w:val="22"/>
        </w:rPr>
        <w:t>Greed and corporate failure: The lesson from recent disasters</w:t>
      </w:r>
      <w:r w:rsidRPr="002A1A1F">
        <w:rPr>
          <w:rFonts w:ascii="Sylfaen" w:hAnsi="Sylfaen"/>
          <w:sz w:val="22"/>
          <w:szCs w:val="22"/>
        </w:rPr>
        <w:t>. United Kingdom: Palgrave Macmillan.</w:t>
      </w:r>
    </w:p>
    <w:p w14:paraId="5C0AA379" w14:textId="77777777" w:rsidR="002A1A1F" w:rsidRPr="002A1A1F" w:rsidRDefault="002A1A1F" w:rsidP="002A1A1F">
      <w:pPr>
        <w:pStyle w:val="ListParagraph"/>
        <w:tabs>
          <w:tab w:val="left" w:pos="6237"/>
        </w:tabs>
        <w:ind w:left="0"/>
        <w:jc w:val="both"/>
        <w:rPr>
          <w:rFonts w:ascii="Sylfaen" w:hAnsi="Sylfaen"/>
          <w:sz w:val="22"/>
          <w:szCs w:val="22"/>
        </w:rPr>
      </w:pPr>
    </w:p>
    <w:p w14:paraId="1F2E2F5A" w14:textId="77777777" w:rsidR="002A1A1F" w:rsidRPr="002A1A1F" w:rsidRDefault="002A1A1F" w:rsidP="002A1A1F">
      <w:pPr>
        <w:pStyle w:val="ListParagraph"/>
        <w:tabs>
          <w:tab w:val="left" w:pos="6237"/>
        </w:tabs>
        <w:ind w:left="0"/>
        <w:jc w:val="both"/>
        <w:rPr>
          <w:rFonts w:ascii="Sylfaen" w:hAnsi="Sylfaen"/>
          <w:sz w:val="22"/>
          <w:szCs w:val="22"/>
        </w:rPr>
      </w:pPr>
      <w:proofErr w:type="spellStart"/>
      <w:r w:rsidRPr="002A1A1F">
        <w:rPr>
          <w:rFonts w:ascii="Sylfaen" w:hAnsi="Sylfaen"/>
          <w:sz w:val="22"/>
          <w:szCs w:val="22"/>
        </w:rPr>
        <w:t>Kurihama</w:t>
      </w:r>
      <w:proofErr w:type="spellEnd"/>
      <w:r w:rsidRPr="002A1A1F">
        <w:rPr>
          <w:rFonts w:ascii="Sylfaen" w:hAnsi="Sylfaen"/>
          <w:sz w:val="22"/>
          <w:szCs w:val="22"/>
        </w:rPr>
        <w:t xml:space="preserve">, R., 2007. A new perspective on relationship between corporate governance and auditing. </w:t>
      </w:r>
      <w:r w:rsidRPr="002A1A1F">
        <w:rPr>
          <w:rFonts w:ascii="Sylfaen" w:hAnsi="Sylfaen"/>
          <w:i/>
          <w:sz w:val="22"/>
          <w:szCs w:val="22"/>
        </w:rPr>
        <w:t>Issues in social and environmental accounting</w:t>
      </w:r>
      <w:r w:rsidRPr="002A1A1F">
        <w:rPr>
          <w:rFonts w:ascii="Sylfaen" w:hAnsi="Sylfaen"/>
          <w:sz w:val="22"/>
          <w:szCs w:val="22"/>
        </w:rPr>
        <w:t>, 1(2), pp 258 – 275.</w:t>
      </w:r>
    </w:p>
    <w:p w14:paraId="49DB53BB" w14:textId="77777777" w:rsidR="002A1A1F" w:rsidRPr="002A1A1F" w:rsidRDefault="002A1A1F" w:rsidP="002A1A1F">
      <w:pPr>
        <w:pStyle w:val="ListParagraph"/>
        <w:tabs>
          <w:tab w:val="left" w:pos="6237"/>
        </w:tabs>
        <w:ind w:left="0"/>
        <w:jc w:val="both"/>
        <w:rPr>
          <w:rFonts w:ascii="Sylfaen" w:hAnsi="Sylfaen"/>
          <w:sz w:val="22"/>
          <w:szCs w:val="22"/>
        </w:rPr>
      </w:pPr>
    </w:p>
    <w:p w14:paraId="7E280412" w14:textId="77777777" w:rsidR="002A1A1F" w:rsidRPr="002A1A1F" w:rsidRDefault="002A1A1F" w:rsidP="002A1A1F">
      <w:pPr>
        <w:pStyle w:val="ListParagraph"/>
        <w:tabs>
          <w:tab w:val="left" w:pos="6237"/>
        </w:tabs>
        <w:ind w:left="0"/>
        <w:jc w:val="both"/>
        <w:rPr>
          <w:rFonts w:ascii="Sylfaen" w:hAnsi="Sylfaen"/>
          <w:sz w:val="22"/>
          <w:szCs w:val="22"/>
        </w:rPr>
      </w:pPr>
      <w:r w:rsidRPr="002A1A1F">
        <w:rPr>
          <w:rFonts w:ascii="Sylfaen" w:hAnsi="Sylfaen"/>
          <w:sz w:val="22"/>
          <w:szCs w:val="22"/>
        </w:rPr>
        <w:t xml:space="preserve">Lai, K.W., 2009. Audit opinion and disclosure of audit fees. </w:t>
      </w:r>
      <w:r w:rsidRPr="002A1A1F">
        <w:rPr>
          <w:rFonts w:ascii="Sylfaen" w:hAnsi="Sylfaen"/>
          <w:i/>
          <w:sz w:val="22"/>
          <w:szCs w:val="22"/>
        </w:rPr>
        <w:t>Journal of Accounting, Auditing &amp; Finance</w:t>
      </w:r>
      <w:r w:rsidRPr="002A1A1F">
        <w:rPr>
          <w:rFonts w:ascii="Sylfaen" w:hAnsi="Sylfaen"/>
          <w:sz w:val="22"/>
          <w:szCs w:val="22"/>
        </w:rPr>
        <w:t>, 24(1), pp 91 – 114.</w:t>
      </w:r>
    </w:p>
    <w:p w14:paraId="60313041" w14:textId="77777777" w:rsidR="002A1A1F" w:rsidRPr="002A1A1F" w:rsidRDefault="002A1A1F" w:rsidP="002A1A1F">
      <w:pPr>
        <w:pStyle w:val="ListParagraph"/>
        <w:tabs>
          <w:tab w:val="left" w:pos="6237"/>
        </w:tabs>
        <w:ind w:left="0"/>
        <w:jc w:val="both"/>
        <w:rPr>
          <w:rFonts w:ascii="Sylfaen" w:hAnsi="Sylfaen"/>
          <w:sz w:val="22"/>
          <w:szCs w:val="22"/>
        </w:rPr>
      </w:pPr>
    </w:p>
    <w:p w14:paraId="5A15286B" w14:textId="77777777" w:rsidR="002A1A1F" w:rsidRPr="002A1A1F" w:rsidRDefault="002A1A1F" w:rsidP="002A1A1F">
      <w:pPr>
        <w:pStyle w:val="ListParagraph"/>
        <w:tabs>
          <w:tab w:val="left" w:pos="6237"/>
        </w:tabs>
        <w:ind w:left="0"/>
        <w:jc w:val="both"/>
        <w:rPr>
          <w:rFonts w:ascii="Sylfaen" w:hAnsi="Sylfaen"/>
          <w:sz w:val="22"/>
          <w:szCs w:val="22"/>
        </w:rPr>
      </w:pPr>
      <w:r w:rsidRPr="002A1A1F">
        <w:rPr>
          <w:rFonts w:ascii="Sylfaen" w:hAnsi="Sylfaen"/>
          <w:sz w:val="22"/>
          <w:szCs w:val="22"/>
        </w:rPr>
        <w:t xml:space="preserve">Lorsch, J.W. &amp; </w:t>
      </w:r>
      <w:proofErr w:type="spellStart"/>
      <w:r w:rsidRPr="002A1A1F">
        <w:rPr>
          <w:rFonts w:ascii="Sylfaen" w:hAnsi="Sylfaen"/>
          <w:sz w:val="22"/>
          <w:szCs w:val="22"/>
        </w:rPr>
        <w:t>Maclver</w:t>
      </w:r>
      <w:proofErr w:type="spellEnd"/>
      <w:r w:rsidRPr="002A1A1F">
        <w:rPr>
          <w:rFonts w:ascii="Sylfaen" w:hAnsi="Sylfaen"/>
          <w:sz w:val="22"/>
          <w:szCs w:val="22"/>
        </w:rPr>
        <w:t xml:space="preserve">, E., 1989. Pawns or potentates: The reality of America’s corporate boards. In Clarke, T., ed. </w:t>
      </w:r>
      <w:r w:rsidRPr="002A1A1F">
        <w:rPr>
          <w:rFonts w:ascii="Sylfaen" w:hAnsi="Sylfaen"/>
          <w:i/>
          <w:sz w:val="22"/>
          <w:szCs w:val="22"/>
        </w:rPr>
        <w:t>Theories of corporate governance</w:t>
      </w:r>
      <w:r w:rsidRPr="002A1A1F">
        <w:rPr>
          <w:rFonts w:ascii="Sylfaen" w:hAnsi="Sylfaen"/>
          <w:sz w:val="22"/>
          <w:szCs w:val="22"/>
        </w:rPr>
        <w:t>. United Kingdom: Routledge.</w:t>
      </w:r>
    </w:p>
    <w:p w14:paraId="78BC85E8" w14:textId="77777777" w:rsidR="002A1A1F" w:rsidRPr="002A1A1F" w:rsidRDefault="002A1A1F" w:rsidP="002A1A1F">
      <w:pPr>
        <w:pStyle w:val="ListParagraph"/>
        <w:tabs>
          <w:tab w:val="left" w:pos="6237"/>
        </w:tabs>
        <w:ind w:left="0"/>
        <w:jc w:val="both"/>
        <w:rPr>
          <w:rFonts w:ascii="Sylfaen" w:hAnsi="Sylfaen"/>
          <w:sz w:val="22"/>
          <w:szCs w:val="22"/>
        </w:rPr>
      </w:pPr>
    </w:p>
    <w:p w14:paraId="736A0AD7" w14:textId="77777777" w:rsidR="002A1A1F" w:rsidRPr="002A1A1F" w:rsidRDefault="002A1A1F" w:rsidP="002A1A1F">
      <w:pPr>
        <w:pStyle w:val="ListParagraph"/>
        <w:tabs>
          <w:tab w:val="left" w:pos="6237"/>
        </w:tabs>
        <w:ind w:left="0"/>
        <w:jc w:val="both"/>
        <w:rPr>
          <w:rFonts w:ascii="Sylfaen" w:hAnsi="Sylfaen"/>
          <w:sz w:val="22"/>
          <w:szCs w:val="22"/>
        </w:rPr>
      </w:pPr>
      <w:r w:rsidRPr="002A1A1F">
        <w:rPr>
          <w:rFonts w:ascii="Sylfaen" w:hAnsi="Sylfaen"/>
          <w:sz w:val="22"/>
          <w:szCs w:val="22"/>
        </w:rPr>
        <w:t xml:space="preserve">Lorsch, J.W. &amp; Salmon, W.J., 2000. Redraw the line between the board and the CEO. In Lorsch, J.W. &amp; Salmon, W.J., ed. </w:t>
      </w:r>
      <w:r w:rsidRPr="002A1A1F">
        <w:rPr>
          <w:rFonts w:ascii="Sylfaen" w:hAnsi="Sylfaen"/>
          <w:i/>
          <w:sz w:val="22"/>
          <w:szCs w:val="22"/>
        </w:rPr>
        <w:t>Harvard Business Review on Corporate Governance</w:t>
      </w:r>
      <w:r w:rsidRPr="002A1A1F">
        <w:rPr>
          <w:rFonts w:ascii="Sylfaen" w:hAnsi="Sylfaen"/>
          <w:sz w:val="22"/>
          <w:szCs w:val="22"/>
        </w:rPr>
        <w:t>. United States of America: Harvard Business Review.</w:t>
      </w:r>
    </w:p>
    <w:p w14:paraId="462EDA28" w14:textId="77777777" w:rsidR="002A1A1F" w:rsidRPr="002A1A1F" w:rsidRDefault="002A1A1F" w:rsidP="002A1A1F">
      <w:pPr>
        <w:pStyle w:val="ListParagraph"/>
        <w:tabs>
          <w:tab w:val="left" w:pos="6237"/>
        </w:tabs>
        <w:ind w:left="0"/>
        <w:jc w:val="both"/>
        <w:rPr>
          <w:rFonts w:ascii="Sylfaen" w:hAnsi="Sylfaen"/>
          <w:sz w:val="22"/>
          <w:szCs w:val="22"/>
        </w:rPr>
      </w:pPr>
      <w:r w:rsidRPr="002A1A1F">
        <w:rPr>
          <w:rFonts w:ascii="Sylfaen" w:hAnsi="Sylfaen"/>
          <w:sz w:val="22"/>
          <w:szCs w:val="22"/>
        </w:rPr>
        <w:t xml:space="preserve">Mace, M.L., 1971. Directors: Myth and reality. In Clarke, T., ed. </w:t>
      </w:r>
      <w:r w:rsidRPr="002A1A1F">
        <w:rPr>
          <w:rFonts w:ascii="Sylfaen" w:hAnsi="Sylfaen"/>
          <w:i/>
          <w:sz w:val="22"/>
          <w:szCs w:val="22"/>
        </w:rPr>
        <w:t>Theories of corporate governance</w:t>
      </w:r>
      <w:r w:rsidRPr="002A1A1F">
        <w:rPr>
          <w:rFonts w:ascii="Sylfaen" w:hAnsi="Sylfaen"/>
          <w:sz w:val="22"/>
          <w:szCs w:val="22"/>
        </w:rPr>
        <w:t>. United Kingdom: Routledge.</w:t>
      </w:r>
    </w:p>
    <w:p w14:paraId="0E741AB5" w14:textId="77777777" w:rsidR="002A1A1F" w:rsidRPr="002A1A1F" w:rsidRDefault="002A1A1F" w:rsidP="002A1A1F">
      <w:pPr>
        <w:pStyle w:val="ListParagraph"/>
        <w:tabs>
          <w:tab w:val="left" w:pos="6237"/>
        </w:tabs>
        <w:ind w:left="0"/>
        <w:jc w:val="both"/>
        <w:rPr>
          <w:rFonts w:ascii="Sylfaen" w:hAnsi="Sylfaen"/>
          <w:sz w:val="22"/>
          <w:szCs w:val="22"/>
        </w:rPr>
      </w:pPr>
    </w:p>
    <w:p w14:paraId="173153FE" w14:textId="77777777" w:rsidR="002A1A1F" w:rsidRPr="002A1A1F" w:rsidRDefault="002A1A1F" w:rsidP="002A1A1F">
      <w:pPr>
        <w:pStyle w:val="ListParagraph"/>
        <w:tabs>
          <w:tab w:val="left" w:pos="6237"/>
        </w:tabs>
        <w:ind w:left="0"/>
        <w:jc w:val="both"/>
        <w:rPr>
          <w:rFonts w:ascii="Sylfaen" w:hAnsi="Sylfaen"/>
          <w:sz w:val="22"/>
          <w:szCs w:val="22"/>
        </w:rPr>
      </w:pPr>
      <w:proofErr w:type="spellStart"/>
      <w:r w:rsidRPr="002A1A1F">
        <w:rPr>
          <w:rFonts w:ascii="Sylfaen" w:hAnsi="Sylfaen"/>
          <w:sz w:val="22"/>
          <w:szCs w:val="22"/>
        </w:rPr>
        <w:t>Mallin</w:t>
      </w:r>
      <w:proofErr w:type="spellEnd"/>
      <w:r w:rsidRPr="002A1A1F">
        <w:rPr>
          <w:rFonts w:ascii="Sylfaen" w:hAnsi="Sylfaen"/>
          <w:sz w:val="22"/>
          <w:szCs w:val="22"/>
        </w:rPr>
        <w:t xml:space="preserve">, C.A., 2007. </w:t>
      </w:r>
      <w:r w:rsidRPr="002A1A1F">
        <w:rPr>
          <w:rFonts w:ascii="Sylfaen" w:hAnsi="Sylfaen"/>
          <w:i/>
          <w:sz w:val="22"/>
          <w:szCs w:val="22"/>
        </w:rPr>
        <w:t>Corporate governance</w:t>
      </w:r>
      <w:r w:rsidRPr="002A1A1F">
        <w:rPr>
          <w:rFonts w:ascii="Sylfaen" w:hAnsi="Sylfaen"/>
          <w:sz w:val="22"/>
          <w:szCs w:val="22"/>
        </w:rPr>
        <w:t>, 2</w:t>
      </w:r>
      <w:r w:rsidRPr="002A1A1F">
        <w:rPr>
          <w:rFonts w:ascii="Sylfaen" w:hAnsi="Sylfaen"/>
          <w:sz w:val="22"/>
          <w:szCs w:val="22"/>
          <w:vertAlign w:val="superscript"/>
        </w:rPr>
        <w:t>nd</w:t>
      </w:r>
      <w:r w:rsidRPr="002A1A1F">
        <w:rPr>
          <w:rFonts w:ascii="Sylfaen" w:hAnsi="Sylfaen"/>
          <w:sz w:val="22"/>
          <w:szCs w:val="22"/>
        </w:rPr>
        <w:t xml:space="preserve"> ed. United Kingdom: Oxford University Press.</w:t>
      </w:r>
    </w:p>
    <w:p w14:paraId="5A7000A0" w14:textId="77777777" w:rsidR="002A1A1F" w:rsidRPr="002A1A1F" w:rsidRDefault="002A1A1F" w:rsidP="002A1A1F">
      <w:pPr>
        <w:pStyle w:val="ListParagraph"/>
        <w:tabs>
          <w:tab w:val="left" w:pos="6237"/>
        </w:tabs>
        <w:ind w:left="0"/>
        <w:jc w:val="both"/>
        <w:rPr>
          <w:rFonts w:ascii="Sylfaen" w:hAnsi="Sylfaen"/>
          <w:sz w:val="22"/>
          <w:szCs w:val="22"/>
        </w:rPr>
      </w:pPr>
    </w:p>
    <w:p w14:paraId="15D4F3A9" w14:textId="77777777" w:rsidR="002A1A1F" w:rsidRPr="002A1A1F" w:rsidRDefault="002A1A1F" w:rsidP="002A1A1F">
      <w:pPr>
        <w:pStyle w:val="ListParagraph"/>
        <w:tabs>
          <w:tab w:val="left" w:pos="6237"/>
        </w:tabs>
        <w:ind w:left="0"/>
        <w:jc w:val="both"/>
        <w:rPr>
          <w:rFonts w:ascii="Sylfaen" w:hAnsi="Sylfaen"/>
          <w:sz w:val="22"/>
          <w:szCs w:val="22"/>
        </w:rPr>
      </w:pPr>
      <w:r w:rsidRPr="002A1A1F">
        <w:rPr>
          <w:rFonts w:ascii="Sylfaen" w:hAnsi="Sylfaen"/>
          <w:sz w:val="22"/>
          <w:szCs w:val="22"/>
        </w:rPr>
        <w:t xml:space="preserve">Markham, J.W., 2006. </w:t>
      </w:r>
      <w:r w:rsidRPr="002A1A1F">
        <w:rPr>
          <w:rFonts w:ascii="Sylfaen" w:hAnsi="Sylfaen"/>
          <w:i/>
          <w:sz w:val="22"/>
          <w:szCs w:val="22"/>
        </w:rPr>
        <w:t>A financial history of modern U.S. corporate scandals: From Enron to reform</w:t>
      </w:r>
      <w:r w:rsidRPr="002A1A1F">
        <w:rPr>
          <w:rFonts w:ascii="Sylfaen" w:hAnsi="Sylfaen"/>
          <w:sz w:val="22"/>
          <w:szCs w:val="22"/>
        </w:rPr>
        <w:t xml:space="preserve">. </w:t>
      </w:r>
      <w:r w:rsidRPr="002A1A1F">
        <w:rPr>
          <w:rFonts w:ascii="Sylfaen" w:hAnsi="Sylfaen"/>
          <w:sz w:val="22"/>
          <w:szCs w:val="22"/>
        </w:rPr>
        <w:lastRenderedPageBreak/>
        <w:t>United States of America: M.E. Sharpe, Inc.</w:t>
      </w:r>
    </w:p>
    <w:p w14:paraId="259465B3" w14:textId="77777777" w:rsidR="002A1A1F" w:rsidRPr="002A1A1F" w:rsidRDefault="002A1A1F" w:rsidP="002A1A1F">
      <w:pPr>
        <w:pStyle w:val="ListParagraph"/>
        <w:tabs>
          <w:tab w:val="left" w:pos="6237"/>
        </w:tabs>
        <w:ind w:left="0"/>
        <w:jc w:val="both"/>
        <w:rPr>
          <w:rFonts w:ascii="Sylfaen" w:hAnsi="Sylfaen"/>
          <w:sz w:val="22"/>
          <w:szCs w:val="22"/>
        </w:rPr>
      </w:pPr>
    </w:p>
    <w:p w14:paraId="490E4C8F" w14:textId="77777777" w:rsidR="002A1A1F" w:rsidRPr="002A1A1F" w:rsidRDefault="002A1A1F" w:rsidP="002A1A1F">
      <w:pPr>
        <w:pStyle w:val="ListParagraph"/>
        <w:tabs>
          <w:tab w:val="left" w:pos="6237"/>
        </w:tabs>
        <w:ind w:left="0"/>
        <w:jc w:val="both"/>
        <w:rPr>
          <w:rFonts w:ascii="Sylfaen" w:hAnsi="Sylfaen"/>
          <w:sz w:val="22"/>
          <w:szCs w:val="22"/>
        </w:rPr>
      </w:pPr>
      <w:r w:rsidRPr="002A1A1F">
        <w:rPr>
          <w:rFonts w:ascii="Sylfaen" w:hAnsi="Sylfaen"/>
          <w:sz w:val="22"/>
          <w:szCs w:val="22"/>
        </w:rPr>
        <w:t xml:space="preserve">Monks, R.A.G. &amp; Minow, N., 1996. </w:t>
      </w:r>
      <w:r w:rsidRPr="002A1A1F">
        <w:rPr>
          <w:rFonts w:ascii="Sylfaen" w:hAnsi="Sylfaen"/>
          <w:i/>
          <w:sz w:val="22"/>
          <w:szCs w:val="22"/>
        </w:rPr>
        <w:t>Watching the watchers – Corporate governance for the 21st century</w:t>
      </w:r>
      <w:r w:rsidRPr="002A1A1F">
        <w:rPr>
          <w:rFonts w:ascii="Sylfaen" w:hAnsi="Sylfaen"/>
          <w:sz w:val="22"/>
          <w:szCs w:val="22"/>
        </w:rPr>
        <w:t xml:space="preserve">. United States of America: Blackwell Publishers, Inc. </w:t>
      </w:r>
    </w:p>
    <w:p w14:paraId="449BDD32" w14:textId="77777777" w:rsidR="002A1A1F" w:rsidRPr="002A1A1F" w:rsidRDefault="002A1A1F" w:rsidP="002A1A1F">
      <w:pPr>
        <w:pStyle w:val="ListParagraph"/>
        <w:tabs>
          <w:tab w:val="left" w:pos="6237"/>
        </w:tabs>
        <w:ind w:left="0"/>
        <w:jc w:val="both"/>
        <w:rPr>
          <w:rFonts w:ascii="Sylfaen" w:hAnsi="Sylfaen"/>
          <w:sz w:val="22"/>
          <w:szCs w:val="22"/>
        </w:rPr>
      </w:pPr>
    </w:p>
    <w:p w14:paraId="2A819970" w14:textId="77777777" w:rsidR="002A1A1F" w:rsidRPr="002A1A1F" w:rsidRDefault="002A1A1F" w:rsidP="002A1A1F">
      <w:pPr>
        <w:pStyle w:val="ListParagraph"/>
        <w:tabs>
          <w:tab w:val="left" w:pos="6237"/>
        </w:tabs>
        <w:ind w:left="0"/>
        <w:jc w:val="both"/>
        <w:rPr>
          <w:rFonts w:ascii="Sylfaen" w:hAnsi="Sylfaen"/>
          <w:sz w:val="22"/>
          <w:szCs w:val="22"/>
        </w:rPr>
      </w:pPr>
      <w:r w:rsidRPr="002A1A1F">
        <w:rPr>
          <w:rFonts w:ascii="Sylfaen" w:hAnsi="Sylfaen"/>
          <w:sz w:val="22"/>
          <w:szCs w:val="22"/>
        </w:rPr>
        <w:t xml:space="preserve">Organization for Economic Co-operation and Development, 2004. </w:t>
      </w:r>
      <w:r w:rsidRPr="002A1A1F">
        <w:rPr>
          <w:rFonts w:ascii="Sylfaen" w:hAnsi="Sylfaen"/>
          <w:i/>
          <w:sz w:val="22"/>
          <w:szCs w:val="22"/>
        </w:rPr>
        <w:t>OECD Principles of Corporate Governance</w:t>
      </w:r>
      <w:r w:rsidRPr="002A1A1F">
        <w:rPr>
          <w:rFonts w:ascii="Sylfaen" w:hAnsi="Sylfaen"/>
          <w:sz w:val="22"/>
          <w:szCs w:val="22"/>
        </w:rPr>
        <w:t>. France: Organization for Economic Co-operation and Development.</w:t>
      </w:r>
    </w:p>
    <w:p w14:paraId="48E82219" w14:textId="77777777" w:rsidR="002A1A1F" w:rsidRPr="002A1A1F" w:rsidRDefault="002A1A1F" w:rsidP="002A1A1F">
      <w:pPr>
        <w:pStyle w:val="ListParagraph"/>
        <w:tabs>
          <w:tab w:val="left" w:pos="6237"/>
        </w:tabs>
        <w:ind w:left="0"/>
        <w:jc w:val="both"/>
        <w:rPr>
          <w:rFonts w:ascii="Sylfaen" w:hAnsi="Sylfaen"/>
          <w:sz w:val="22"/>
          <w:szCs w:val="22"/>
        </w:rPr>
      </w:pPr>
    </w:p>
    <w:p w14:paraId="0C70ECB5" w14:textId="77777777" w:rsidR="002A1A1F" w:rsidRPr="002A1A1F" w:rsidRDefault="002A1A1F" w:rsidP="002A1A1F">
      <w:pPr>
        <w:pStyle w:val="ListParagraph"/>
        <w:tabs>
          <w:tab w:val="left" w:pos="6237"/>
        </w:tabs>
        <w:ind w:left="0"/>
        <w:jc w:val="both"/>
        <w:rPr>
          <w:rFonts w:ascii="Sylfaen" w:hAnsi="Sylfaen"/>
          <w:sz w:val="22"/>
          <w:szCs w:val="22"/>
        </w:rPr>
      </w:pPr>
      <w:proofErr w:type="spellStart"/>
      <w:r w:rsidRPr="002A1A1F">
        <w:rPr>
          <w:rFonts w:ascii="Sylfaen" w:hAnsi="Sylfaen"/>
          <w:sz w:val="22"/>
          <w:szCs w:val="22"/>
        </w:rPr>
        <w:t>Premeaux</w:t>
      </w:r>
      <w:proofErr w:type="spellEnd"/>
      <w:r w:rsidRPr="002A1A1F">
        <w:rPr>
          <w:rFonts w:ascii="Sylfaen" w:hAnsi="Sylfaen"/>
          <w:sz w:val="22"/>
          <w:szCs w:val="22"/>
        </w:rPr>
        <w:t xml:space="preserve">, S., 2008. The link between management behavior and ethical philosophy in the wake of the Enron convictions. </w:t>
      </w:r>
      <w:r w:rsidRPr="002A1A1F">
        <w:rPr>
          <w:rFonts w:ascii="Sylfaen" w:hAnsi="Sylfaen"/>
          <w:i/>
          <w:sz w:val="22"/>
          <w:szCs w:val="22"/>
        </w:rPr>
        <w:t>Journal of Business Ethics</w:t>
      </w:r>
      <w:r w:rsidRPr="002A1A1F">
        <w:rPr>
          <w:rFonts w:ascii="Sylfaen" w:hAnsi="Sylfaen"/>
          <w:sz w:val="22"/>
          <w:szCs w:val="22"/>
        </w:rPr>
        <w:t>, 85, pp 13 – 25.</w:t>
      </w:r>
    </w:p>
    <w:p w14:paraId="63358423" w14:textId="77777777" w:rsidR="002A1A1F" w:rsidRPr="002A1A1F" w:rsidRDefault="002A1A1F" w:rsidP="002A1A1F">
      <w:pPr>
        <w:pStyle w:val="ListParagraph"/>
        <w:tabs>
          <w:tab w:val="left" w:pos="6237"/>
        </w:tabs>
        <w:ind w:left="0"/>
        <w:jc w:val="both"/>
        <w:rPr>
          <w:rFonts w:ascii="Sylfaen" w:hAnsi="Sylfaen"/>
          <w:sz w:val="22"/>
          <w:szCs w:val="22"/>
        </w:rPr>
      </w:pPr>
    </w:p>
    <w:p w14:paraId="171B2F40" w14:textId="77777777" w:rsidR="002A1A1F" w:rsidRPr="002A1A1F" w:rsidRDefault="002A1A1F" w:rsidP="002A1A1F">
      <w:pPr>
        <w:pStyle w:val="ListParagraph"/>
        <w:tabs>
          <w:tab w:val="left" w:pos="6237"/>
        </w:tabs>
        <w:ind w:left="0"/>
        <w:jc w:val="both"/>
        <w:rPr>
          <w:rFonts w:ascii="Sylfaen" w:hAnsi="Sylfaen"/>
          <w:sz w:val="22"/>
          <w:szCs w:val="22"/>
        </w:rPr>
      </w:pPr>
      <w:r w:rsidRPr="002A1A1F">
        <w:rPr>
          <w:rFonts w:ascii="Sylfaen" w:hAnsi="Sylfaen"/>
          <w:sz w:val="22"/>
          <w:szCs w:val="22"/>
        </w:rPr>
        <w:t xml:space="preserve">Rest, J.R., 1984. The major components of morality. </w:t>
      </w:r>
      <w:r w:rsidRPr="002A1A1F">
        <w:rPr>
          <w:rFonts w:ascii="Sylfaen" w:hAnsi="Sylfaen"/>
          <w:i/>
          <w:sz w:val="22"/>
          <w:szCs w:val="22"/>
        </w:rPr>
        <w:t>Morality, moral behavior, and moral development</w:t>
      </w:r>
      <w:r w:rsidRPr="002A1A1F">
        <w:rPr>
          <w:rFonts w:ascii="Sylfaen" w:hAnsi="Sylfaen"/>
          <w:sz w:val="22"/>
          <w:szCs w:val="22"/>
        </w:rPr>
        <w:t>, 24, pp 24 – 36.</w:t>
      </w:r>
    </w:p>
    <w:p w14:paraId="08F05962" w14:textId="77777777" w:rsidR="002A1A1F" w:rsidRPr="002A1A1F" w:rsidRDefault="002A1A1F" w:rsidP="002A1A1F">
      <w:pPr>
        <w:pStyle w:val="ListParagraph"/>
        <w:tabs>
          <w:tab w:val="left" w:pos="6237"/>
        </w:tabs>
        <w:ind w:left="0"/>
        <w:jc w:val="both"/>
        <w:rPr>
          <w:rFonts w:ascii="Sylfaen" w:hAnsi="Sylfaen"/>
          <w:sz w:val="22"/>
          <w:szCs w:val="22"/>
        </w:rPr>
      </w:pPr>
    </w:p>
    <w:p w14:paraId="07A1C1BF" w14:textId="77777777" w:rsidR="002A1A1F" w:rsidRPr="002A1A1F" w:rsidRDefault="002A1A1F" w:rsidP="002A1A1F">
      <w:pPr>
        <w:pStyle w:val="ListParagraph"/>
        <w:tabs>
          <w:tab w:val="left" w:pos="6237"/>
        </w:tabs>
        <w:ind w:left="0"/>
        <w:jc w:val="both"/>
        <w:rPr>
          <w:rFonts w:ascii="Sylfaen" w:hAnsi="Sylfaen"/>
          <w:sz w:val="22"/>
          <w:szCs w:val="22"/>
        </w:rPr>
      </w:pPr>
      <w:r w:rsidRPr="002A1A1F">
        <w:rPr>
          <w:rFonts w:ascii="Sylfaen" w:hAnsi="Sylfaen"/>
          <w:sz w:val="22"/>
          <w:szCs w:val="22"/>
        </w:rPr>
        <w:t xml:space="preserve">Ross, S., 1973. The economic theory of agency: The principal’s problem. </w:t>
      </w:r>
      <w:r w:rsidRPr="002A1A1F">
        <w:rPr>
          <w:rFonts w:ascii="Sylfaen" w:hAnsi="Sylfaen"/>
          <w:i/>
          <w:sz w:val="22"/>
          <w:szCs w:val="22"/>
        </w:rPr>
        <w:t>American Economic Review</w:t>
      </w:r>
      <w:r w:rsidRPr="002A1A1F">
        <w:rPr>
          <w:rFonts w:ascii="Sylfaen" w:hAnsi="Sylfaen"/>
          <w:sz w:val="22"/>
          <w:szCs w:val="22"/>
        </w:rPr>
        <w:t>, 63, pp 134 – 139.</w:t>
      </w:r>
    </w:p>
    <w:p w14:paraId="63927841" w14:textId="77777777" w:rsidR="002A1A1F" w:rsidRPr="002A1A1F" w:rsidRDefault="002A1A1F" w:rsidP="002A1A1F">
      <w:pPr>
        <w:pStyle w:val="ListParagraph"/>
        <w:tabs>
          <w:tab w:val="left" w:pos="6237"/>
        </w:tabs>
        <w:ind w:left="0"/>
        <w:jc w:val="both"/>
        <w:rPr>
          <w:rFonts w:ascii="Sylfaen" w:hAnsi="Sylfaen"/>
          <w:sz w:val="22"/>
          <w:szCs w:val="22"/>
        </w:rPr>
      </w:pPr>
    </w:p>
    <w:p w14:paraId="051C347A" w14:textId="77777777" w:rsidR="002A1A1F" w:rsidRPr="002A1A1F" w:rsidRDefault="002A1A1F" w:rsidP="002A1A1F">
      <w:pPr>
        <w:pStyle w:val="ListParagraph"/>
        <w:tabs>
          <w:tab w:val="left" w:pos="6237"/>
        </w:tabs>
        <w:ind w:left="0"/>
        <w:jc w:val="both"/>
        <w:rPr>
          <w:rFonts w:ascii="Sylfaen" w:hAnsi="Sylfaen"/>
          <w:sz w:val="22"/>
          <w:szCs w:val="22"/>
        </w:rPr>
      </w:pPr>
      <w:r w:rsidRPr="002A1A1F">
        <w:rPr>
          <w:rFonts w:ascii="Sylfaen" w:hAnsi="Sylfaen"/>
          <w:sz w:val="22"/>
          <w:szCs w:val="22"/>
        </w:rPr>
        <w:t xml:space="preserve">Salmon, W.J., 2000. Crisis Prevention: how to gear up your board. In Lorsch, J.W. &amp; Salmon, W.J., ed. </w:t>
      </w:r>
      <w:r w:rsidRPr="002A1A1F">
        <w:rPr>
          <w:rFonts w:ascii="Sylfaen" w:hAnsi="Sylfaen"/>
          <w:i/>
          <w:sz w:val="22"/>
          <w:szCs w:val="22"/>
        </w:rPr>
        <w:t>Harvard Business Review on Corporate Governance</w:t>
      </w:r>
      <w:r w:rsidRPr="002A1A1F">
        <w:rPr>
          <w:rFonts w:ascii="Sylfaen" w:hAnsi="Sylfaen"/>
          <w:sz w:val="22"/>
          <w:szCs w:val="22"/>
        </w:rPr>
        <w:t>. United States of America: Harvard Business Review.</w:t>
      </w:r>
    </w:p>
    <w:p w14:paraId="2615DE26" w14:textId="77777777" w:rsidR="002A1A1F" w:rsidRPr="002A1A1F" w:rsidRDefault="002A1A1F" w:rsidP="002A1A1F">
      <w:pPr>
        <w:pStyle w:val="ListParagraph"/>
        <w:tabs>
          <w:tab w:val="left" w:pos="6237"/>
        </w:tabs>
        <w:ind w:left="0"/>
        <w:jc w:val="both"/>
        <w:rPr>
          <w:rFonts w:ascii="Sylfaen" w:hAnsi="Sylfaen"/>
          <w:sz w:val="22"/>
          <w:szCs w:val="22"/>
        </w:rPr>
      </w:pPr>
    </w:p>
    <w:p w14:paraId="2FF829A1" w14:textId="77777777" w:rsidR="002A1A1F" w:rsidRPr="002A1A1F" w:rsidRDefault="002A1A1F" w:rsidP="002A1A1F">
      <w:pPr>
        <w:pStyle w:val="ListParagraph"/>
        <w:tabs>
          <w:tab w:val="left" w:pos="6237"/>
        </w:tabs>
        <w:ind w:left="0"/>
        <w:jc w:val="both"/>
        <w:rPr>
          <w:rFonts w:ascii="Sylfaen" w:hAnsi="Sylfaen"/>
          <w:sz w:val="22"/>
          <w:szCs w:val="22"/>
        </w:rPr>
      </w:pPr>
      <w:proofErr w:type="spellStart"/>
      <w:r w:rsidRPr="002A1A1F">
        <w:rPr>
          <w:rFonts w:ascii="Sylfaen" w:hAnsi="Sylfaen"/>
          <w:sz w:val="22"/>
          <w:szCs w:val="22"/>
        </w:rPr>
        <w:t>Semenza</w:t>
      </w:r>
      <w:proofErr w:type="spellEnd"/>
      <w:r w:rsidRPr="002A1A1F">
        <w:rPr>
          <w:rFonts w:ascii="Sylfaen" w:hAnsi="Sylfaen"/>
          <w:sz w:val="22"/>
          <w:szCs w:val="22"/>
        </w:rPr>
        <w:t xml:space="preserve">, R.A., 2002. Generally accepted auditing standards and the Enron audit. In Ammons, J.L. &amp; Brazelton, J.K., ed. </w:t>
      </w:r>
      <w:r w:rsidRPr="002A1A1F">
        <w:rPr>
          <w:rFonts w:ascii="Sylfaen" w:hAnsi="Sylfaen"/>
          <w:i/>
          <w:sz w:val="22"/>
          <w:szCs w:val="22"/>
        </w:rPr>
        <w:t>Enron and beyond: Technical analysis of accounting, corporate governance and securities issues</w:t>
      </w:r>
      <w:r w:rsidRPr="002A1A1F">
        <w:rPr>
          <w:rFonts w:ascii="Sylfaen" w:hAnsi="Sylfaen"/>
          <w:sz w:val="22"/>
          <w:szCs w:val="22"/>
        </w:rPr>
        <w:t>. United States of America: CCH Incorporated.</w:t>
      </w:r>
    </w:p>
    <w:p w14:paraId="5E61C673" w14:textId="77777777" w:rsidR="002A1A1F" w:rsidRPr="002A1A1F" w:rsidRDefault="002A1A1F" w:rsidP="002A1A1F">
      <w:pPr>
        <w:pStyle w:val="ListParagraph"/>
        <w:tabs>
          <w:tab w:val="left" w:pos="6237"/>
        </w:tabs>
        <w:ind w:left="0"/>
        <w:jc w:val="both"/>
        <w:rPr>
          <w:rFonts w:ascii="Sylfaen" w:hAnsi="Sylfaen"/>
          <w:sz w:val="22"/>
          <w:szCs w:val="22"/>
        </w:rPr>
      </w:pPr>
    </w:p>
    <w:p w14:paraId="6807161F" w14:textId="77777777" w:rsidR="002A1A1F" w:rsidRPr="002A1A1F" w:rsidRDefault="002A1A1F" w:rsidP="002A1A1F">
      <w:pPr>
        <w:pStyle w:val="ListParagraph"/>
        <w:tabs>
          <w:tab w:val="left" w:pos="6237"/>
        </w:tabs>
        <w:ind w:left="0"/>
        <w:jc w:val="both"/>
        <w:rPr>
          <w:rFonts w:ascii="Sylfaen" w:hAnsi="Sylfaen"/>
          <w:sz w:val="22"/>
          <w:szCs w:val="22"/>
        </w:rPr>
      </w:pPr>
      <w:r w:rsidRPr="002A1A1F">
        <w:rPr>
          <w:rFonts w:ascii="Sylfaen" w:hAnsi="Sylfaen"/>
          <w:sz w:val="22"/>
          <w:szCs w:val="22"/>
        </w:rPr>
        <w:t xml:space="preserve">Solomon, J., 2007. </w:t>
      </w:r>
      <w:r w:rsidRPr="002A1A1F">
        <w:rPr>
          <w:rFonts w:ascii="Sylfaen" w:hAnsi="Sylfaen"/>
          <w:i/>
          <w:sz w:val="22"/>
          <w:szCs w:val="22"/>
        </w:rPr>
        <w:t>Corporate governance and accountability</w:t>
      </w:r>
      <w:r w:rsidRPr="002A1A1F">
        <w:rPr>
          <w:rFonts w:ascii="Sylfaen" w:hAnsi="Sylfaen"/>
          <w:sz w:val="22"/>
          <w:szCs w:val="22"/>
        </w:rPr>
        <w:t>, 2nd ed. United Kingdom: john Wiley &amp; Sons, Ltd.</w:t>
      </w:r>
    </w:p>
    <w:p w14:paraId="72E89620" w14:textId="77777777" w:rsidR="002A1A1F" w:rsidRPr="002A1A1F" w:rsidRDefault="002A1A1F" w:rsidP="002A1A1F">
      <w:pPr>
        <w:pStyle w:val="ListParagraph"/>
        <w:tabs>
          <w:tab w:val="left" w:pos="6237"/>
        </w:tabs>
        <w:ind w:left="0"/>
        <w:jc w:val="both"/>
        <w:rPr>
          <w:rFonts w:ascii="Sylfaen" w:hAnsi="Sylfaen"/>
          <w:sz w:val="22"/>
          <w:szCs w:val="22"/>
        </w:rPr>
      </w:pPr>
    </w:p>
    <w:p w14:paraId="5FD434EC" w14:textId="77777777" w:rsidR="002A1A1F" w:rsidRPr="002A1A1F" w:rsidRDefault="002A1A1F" w:rsidP="002A1A1F">
      <w:pPr>
        <w:pStyle w:val="ListParagraph"/>
        <w:tabs>
          <w:tab w:val="left" w:pos="6237"/>
        </w:tabs>
        <w:ind w:left="0"/>
        <w:jc w:val="both"/>
        <w:rPr>
          <w:rFonts w:ascii="Sylfaen" w:hAnsi="Sylfaen"/>
          <w:sz w:val="22"/>
          <w:szCs w:val="22"/>
        </w:rPr>
      </w:pPr>
      <w:r w:rsidRPr="002A1A1F">
        <w:rPr>
          <w:rFonts w:ascii="Sylfaen" w:hAnsi="Sylfaen"/>
          <w:sz w:val="22"/>
          <w:szCs w:val="22"/>
        </w:rPr>
        <w:t xml:space="preserve">Thomas, W.C., 2002. The rise and fall of Enron. </w:t>
      </w:r>
      <w:r w:rsidRPr="002A1A1F">
        <w:rPr>
          <w:rFonts w:ascii="Sylfaen" w:hAnsi="Sylfaen"/>
          <w:i/>
          <w:sz w:val="22"/>
          <w:szCs w:val="22"/>
        </w:rPr>
        <w:t>Journal of Accountancy</w:t>
      </w:r>
      <w:r w:rsidRPr="002A1A1F">
        <w:rPr>
          <w:rFonts w:ascii="Sylfaen" w:hAnsi="Sylfaen"/>
          <w:sz w:val="22"/>
          <w:szCs w:val="22"/>
        </w:rPr>
        <w:t>, pp 41 – 48.</w:t>
      </w:r>
    </w:p>
    <w:p w14:paraId="6AFF1FC4" w14:textId="77777777" w:rsidR="002A1A1F" w:rsidRPr="002A1A1F" w:rsidRDefault="002A1A1F" w:rsidP="002A1A1F">
      <w:pPr>
        <w:pStyle w:val="ListParagraph"/>
        <w:tabs>
          <w:tab w:val="left" w:pos="6237"/>
        </w:tabs>
        <w:ind w:left="0"/>
        <w:jc w:val="both"/>
        <w:rPr>
          <w:rFonts w:ascii="Sylfaen" w:hAnsi="Sylfaen"/>
          <w:sz w:val="22"/>
          <w:szCs w:val="22"/>
        </w:rPr>
      </w:pPr>
    </w:p>
    <w:p w14:paraId="5872A0D5" w14:textId="77777777" w:rsidR="002A1A1F" w:rsidRPr="002A1A1F" w:rsidRDefault="002A1A1F" w:rsidP="002A1A1F">
      <w:pPr>
        <w:pStyle w:val="ListParagraph"/>
        <w:tabs>
          <w:tab w:val="left" w:pos="6237"/>
        </w:tabs>
        <w:ind w:left="0"/>
        <w:jc w:val="both"/>
        <w:rPr>
          <w:rFonts w:ascii="Sylfaen" w:hAnsi="Sylfaen"/>
          <w:sz w:val="22"/>
          <w:szCs w:val="22"/>
        </w:rPr>
      </w:pPr>
      <w:r w:rsidRPr="002A1A1F">
        <w:rPr>
          <w:rFonts w:ascii="Sylfaen" w:hAnsi="Sylfaen"/>
          <w:sz w:val="22"/>
          <w:szCs w:val="22"/>
        </w:rPr>
        <w:t xml:space="preserve">Wearing, R., 2005. </w:t>
      </w:r>
      <w:r w:rsidRPr="002A1A1F">
        <w:rPr>
          <w:rFonts w:ascii="Sylfaen" w:hAnsi="Sylfaen"/>
          <w:i/>
          <w:sz w:val="22"/>
          <w:szCs w:val="22"/>
        </w:rPr>
        <w:t>Cases in corporate governance</w:t>
      </w:r>
      <w:r w:rsidRPr="002A1A1F">
        <w:rPr>
          <w:rFonts w:ascii="Sylfaen" w:hAnsi="Sylfaen"/>
          <w:sz w:val="22"/>
          <w:szCs w:val="22"/>
        </w:rPr>
        <w:t>. United Kingdom: Sage Publication.</w:t>
      </w:r>
    </w:p>
    <w:p w14:paraId="57F06BB0" w14:textId="77777777" w:rsidR="003802B1" w:rsidRPr="002A1A1F" w:rsidRDefault="003802B1" w:rsidP="002A1A1F">
      <w:pPr>
        <w:spacing w:before="120" w:after="120" w:line="360" w:lineRule="auto"/>
        <w:ind w:right="-45"/>
        <w:jc w:val="both"/>
        <w:rPr>
          <w:rFonts w:ascii="Sylfaen" w:hAnsi="Sylfaen"/>
          <w:color w:val="000000" w:themeColor="text1"/>
        </w:rPr>
      </w:pPr>
    </w:p>
    <w:p w14:paraId="5DECB3DF" w14:textId="36D5D792" w:rsidR="00A649EF" w:rsidRPr="002A1A1F" w:rsidRDefault="004B5389" w:rsidP="002A1A1F">
      <w:pPr>
        <w:tabs>
          <w:tab w:val="right" w:pos="9026"/>
        </w:tabs>
        <w:spacing w:before="120" w:after="120" w:line="360" w:lineRule="auto"/>
        <w:jc w:val="both"/>
        <w:rPr>
          <w:rFonts w:ascii="Sylfaen" w:hAnsi="Sylfaen"/>
          <w:color w:val="000000" w:themeColor="text1"/>
        </w:rPr>
      </w:pPr>
      <w:r w:rsidRPr="002A1A1F">
        <w:rPr>
          <w:rFonts w:ascii="Sylfaen" w:eastAsia="Times New Roman" w:hAnsi="Sylfaen" w:cs="Arial"/>
          <w:color w:val="000000" w:themeColor="text1"/>
          <w:shd w:val="clear" w:color="auto" w:fill="FFFFFF"/>
          <w:lang w:eastAsia="en-GB"/>
        </w:rPr>
        <w:t>©</w:t>
      </w:r>
      <w:r w:rsidR="00B77A7A" w:rsidRPr="002A1A1F">
        <w:rPr>
          <w:rFonts w:ascii="Sylfaen" w:hAnsi="Sylfaen"/>
          <w:color w:val="000000" w:themeColor="text1"/>
        </w:rPr>
        <w:t xml:space="preserve"> </w:t>
      </w:r>
      <w:r w:rsidR="00B77A7A" w:rsidRPr="002A1A1F">
        <w:rPr>
          <w:rFonts w:ascii="Sylfaen" w:hAnsi="Sylfaen"/>
          <w:color w:val="000000" w:themeColor="text1"/>
        </w:rPr>
        <w:t xml:space="preserve">Lindy </w:t>
      </w:r>
      <w:proofErr w:type="spellStart"/>
      <w:r w:rsidR="00B77A7A" w:rsidRPr="002A1A1F">
        <w:rPr>
          <w:rFonts w:ascii="Sylfaen" w:hAnsi="Sylfaen"/>
          <w:color w:val="000000" w:themeColor="text1"/>
        </w:rPr>
        <w:t>Cuiwan</w:t>
      </w:r>
      <w:proofErr w:type="spellEnd"/>
      <w:r w:rsidR="00B77A7A" w:rsidRPr="002A1A1F">
        <w:rPr>
          <w:rFonts w:ascii="Sylfaen" w:hAnsi="Sylfaen"/>
          <w:color w:val="000000" w:themeColor="text1"/>
        </w:rPr>
        <w:t xml:space="preserve"> Lim</w:t>
      </w:r>
      <w:r w:rsidR="001A2A5F" w:rsidRPr="002A1A1F">
        <w:rPr>
          <w:rFonts w:ascii="Sylfaen" w:eastAsia="Times New Roman" w:hAnsi="Sylfaen" w:cs="Arial"/>
          <w:color w:val="000000" w:themeColor="text1"/>
          <w:shd w:val="clear" w:color="auto" w:fill="FFFFFF"/>
          <w:lang w:eastAsia="en-GB"/>
        </w:rPr>
        <w:t>.</w:t>
      </w:r>
      <w:r w:rsidRPr="002A1A1F">
        <w:rPr>
          <w:rFonts w:ascii="Sylfaen" w:eastAsia="Times New Roman" w:hAnsi="Sylfaen" w:cs="Arial"/>
          <w:color w:val="000000" w:themeColor="text1"/>
          <w:shd w:val="clear" w:color="auto" w:fill="FFFFFF"/>
          <w:lang w:eastAsia="en-GB"/>
        </w:rPr>
        <w:t xml:space="preserve"> This article is licensed under a Creative Commons Attribution 4.0 International Licence (CC BY).</w:t>
      </w:r>
    </w:p>
    <w:p w14:paraId="434FBBD2" w14:textId="77777777" w:rsidR="00B617A4" w:rsidRPr="002A1A1F" w:rsidRDefault="00B617A4" w:rsidP="002A1A1F">
      <w:pPr>
        <w:spacing w:before="120" w:after="120" w:line="360" w:lineRule="auto"/>
        <w:jc w:val="both"/>
        <w:rPr>
          <w:rFonts w:ascii="Sylfaen" w:eastAsia="Times New Roman" w:hAnsi="Sylfaen" w:cs="Times New Roman"/>
          <w:color w:val="000000" w:themeColor="text1"/>
          <w:lang w:eastAsia="en-GB"/>
        </w:rPr>
      </w:pPr>
    </w:p>
    <w:sectPr w:rsidR="00B617A4" w:rsidRPr="002A1A1F" w:rsidSect="00BE6334">
      <w:headerReference w:type="default" r:id="rId8"/>
      <w:footerReference w:type="default" r:id="rId9"/>
      <w:footerReference w:type="firs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BD884B" w14:textId="77777777" w:rsidR="002548F7" w:rsidRDefault="002548F7" w:rsidP="002B247D">
      <w:pPr>
        <w:spacing w:after="0" w:line="240" w:lineRule="auto"/>
      </w:pPr>
      <w:r>
        <w:separator/>
      </w:r>
    </w:p>
  </w:endnote>
  <w:endnote w:type="continuationSeparator" w:id="0">
    <w:p w14:paraId="74615875" w14:textId="77777777" w:rsidR="002548F7" w:rsidRDefault="002548F7"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OpenSymbol">
    <w:altName w:val="Courier New"/>
    <w:panose1 w:val="020B0604020202020204"/>
    <w:charset w:val="00"/>
    <w:family w:val="auto"/>
    <w:pitch w:val="variable"/>
    <w:sig w:usb0="00000003" w:usb1="1001ECEA"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dobe Garamond Pro">
    <w:altName w:val="Garamond"/>
    <w:panose1 w:val="020B0604020202020204"/>
    <w:charset w:val="00"/>
    <w:family w:val="roman"/>
    <w:notTrueType/>
    <w:pitch w:val="variable"/>
    <w:sig w:usb0="00000007" w:usb1="00000001" w:usb2="00000000" w:usb3="00000000" w:csb0="00000093" w:csb1="00000000"/>
  </w:font>
  <w:font w:name="Liberation Serif">
    <w:altName w:val="MS Mincho"/>
    <w:panose1 w:val="020B0604020202020204"/>
    <w:charset w:val="80"/>
    <w:family w:val="roman"/>
    <w:pitch w:val="variable"/>
  </w:font>
  <w:font w:name="DejaVu Sans">
    <w:altName w:val="MS Mincho"/>
    <w:panose1 w:val="020B0604020202020204"/>
    <w:charset w:val="80"/>
    <w:family w:val="auto"/>
    <w:pitch w:val="variable"/>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2040503050203030202"/>
    <w:charset w:val="01"/>
    <w:family w:val="roman"/>
    <w:pitch w:val="variable"/>
    <w:sig w:usb0="0000A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4D"/>
    <w:family w:val="swiss"/>
    <w:pitch w:val="variable"/>
    <w:sig w:usb0="00000003" w:usb1="00000000" w:usb2="00000000" w:usb3="00000000" w:csb0="00000003" w:csb1="00000000"/>
  </w:font>
  <w:font w:name="Lucida Sans Unicode">
    <w:panose1 w:val="020B0602030504020204"/>
    <w:charset w:val="00"/>
    <w:family w:val="swiss"/>
    <w:pitch w:val="variable"/>
    <w:sig w:usb0="80000AFF" w:usb1="0000396B" w:usb2="00000000" w:usb3="00000000" w:csb0="000000B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rPr>
            <w:rFonts w:ascii="Sylfaen" w:hAnsi="Sylfaen"/>
          </w:rPr>
        </w:pPr>
      </w:p>
      <w:p w14:paraId="3655714B" w14:textId="414009F4" w:rsidR="00BE6334" w:rsidRPr="00990D5E" w:rsidRDefault="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D35A7A">
          <w:rPr>
            <w:rFonts w:ascii="Sylfaen" w:hAnsi="Sylfaen"/>
            <w:noProof/>
          </w:rPr>
          <w:t>2</w:t>
        </w:r>
        <w:r w:rsidRPr="00990D5E">
          <w:rPr>
            <w:rFonts w:ascii="Sylfaen" w:hAnsi="Sylfaen"/>
            <w:noProof/>
          </w:rPr>
          <w:fldChar w:fldCharType="end"/>
        </w:r>
      </w:p>
      <w:p w14:paraId="01B5BDD7" w14:textId="4BB2FCCB" w:rsidR="00BE6334" w:rsidRPr="00990D5E" w:rsidRDefault="00BE6334" w:rsidP="005D216B">
        <w:pPr>
          <w:pStyle w:val="Footer"/>
          <w:tabs>
            <w:tab w:val="left" w:pos="3355"/>
          </w:tabs>
          <w:jc w:val="center"/>
          <w:rPr>
            <w:rFonts w:ascii="Sylfaen" w:hAnsi="Sylfaen"/>
            <w:noProof/>
            <w:sz w:val="20"/>
            <w:szCs w:val="20"/>
          </w:rPr>
        </w:pPr>
        <w:r w:rsidRPr="00990D5E">
          <w:rPr>
            <w:rFonts w:ascii="Sylfaen" w:hAnsi="Sylfaen"/>
            <w:noProof/>
            <w:sz w:val="20"/>
            <w:szCs w:val="20"/>
          </w:rPr>
          <w:t>This article is CC B</w:t>
        </w:r>
        <w:r w:rsidR="00B60FEA">
          <w:rPr>
            <w:rFonts w:ascii="Sylfaen" w:hAnsi="Sylfaen"/>
            <w:noProof/>
            <w:sz w:val="20"/>
            <w:szCs w:val="20"/>
          </w:rPr>
          <w:t>Y</w:t>
        </w:r>
        <w:r w:rsidR="008848DF">
          <w:rPr>
            <w:rFonts w:ascii="Sylfaen" w:hAnsi="Sylfaen"/>
            <w:noProof/>
            <w:sz w:val="20"/>
            <w:szCs w:val="20"/>
          </w:rPr>
          <w:t xml:space="preserve"> </w:t>
        </w:r>
        <w:r w:rsidR="00B77A7A">
          <w:rPr>
            <w:rFonts w:ascii="Sylfaen" w:hAnsi="Sylfaen"/>
            <w:noProof/>
            <w:sz w:val="20"/>
            <w:szCs w:val="20"/>
          </w:rPr>
          <w:t>Lindy Cuiwan Lim</w:t>
        </w:r>
        <w:r w:rsidRPr="00990D5E">
          <w:rPr>
            <w:rFonts w:ascii="Sylfaen" w:hAnsi="Sylfaen"/>
            <w:noProof/>
            <w:sz w:val="20"/>
            <w:szCs w:val="20"/>
          </w:rPr>
          <w:tab/>
        </w:r>
        <w:r w:rsidR="005D216B">
          <w:rPr>
            <w:rFonts w:ascii="Sylfaen" w:hAnsi="Sylfaen"/>
            <w:noProof/>
            <w:sz w:val="20"/>
            <w:szCs w:val="20"/>
          </w:rPr>
          <w:tab/>
        </w:r>
        <w:r w:rsidRPr="00990D5E">
          <w:rPr>
            <w:rFonts w:ascii="Sylfaen" w:hAnsi="Sylfaen"/>
            <w:noProof/>
            <w:sz w:val="20"/>
            <w:szCs w:val="20"/>
          </w:rPr>
          <w:tab/>
          <w:t xml:space="preserve">Essex Student Journal, </w:t>
        </w:r>
        <w:r w:rsidR="00091FA9">
          <w:rPr>
            <w:rFonts w:ascii="Sylfaen" w:hAnsi="Sylfaen"/>
            <w:noProof/>
            <w:sz w:val="20"/>
            <w:szCs w:val="20"/>
          </w:rPr>
          <w:t>201</w:t>
        </w:r>
        <w:r w:rsidR="00A6655A">
          <w:rPr>
            <w:rFonts w:ascii="Sylfaen" w:hAnsi="Sylfaen"/>
            <w:noProof/>
            <w:sz w:val="20"/>
            <w:szCs w:val="20"/>
          </w:rPr>
          <w:t>0</w:t>
        </w:r>
        <w:r w:rsidR="00091FA9">
          <w:rPr>
            <w:rFonts w:ascii="Sylfaen" w:hAnsi="Sylfaen"/>
            <w:noProof/>
            <w:sz w:val="20"/>
            <w:szCs w:val="20"/>
          </w:rPr>
          <w:t xml:space="preserve">, </w:t>
        </w:r>
        <w:r w:rsidR="008B2EFC">
          <w:rPr>
            <w:rFonts w:ascii="Sylfaen" w:hAnsi="Sylfaen"/>
            <w:noProof/>
            <w:sz w:val="20"/>
            <w:szCs w:val="20"/>
          </w:rPr>
          <w:t>Vol.</w:t>
        </w:r>
        <w:r w:rsidR="003738EB">
          <w:rPr>
            <w:rFonts w:ascii="Sylfaen" w:hAnsi="Sylfaen"/>
            <w:noProof/>
            <w:sz w:val="20"/>
            <w:szCs w:val="20"/>
          </w:rPr>
          <w:t>3</w:t>
        </w:r>
        <w:r w:rsidR="004B324C">
          <w:rPr>
            <w:rFonts w:ascii="Sylfaen" w:hAnsi="Sylfaen"/>
            <w:noProof/>
            <w:sz w:val="20"/>
            <w:szCs w:val="20"/>
          </w:rPr>
          <w:t>(</w:t>
        </w:r>
        <w:r w:rsidR="00A6655A">
          <w:rPr>
            <w:rFonts w:ascii="Sylfaen" w:hAnsi="Sylfaen"/>
            <w:noProof/>
            <w:sz w:val="20"/>
            <w:szCs w:val="20"/>
          </w:rPr>
          <w:t>1</w:t>
        </w:r>
        <w:r w:rsidR="008B2EFC">
          <w:rPr>
            <w:rFonts w:ascii="Sylfaen" w:hAnsi="Sylfaen"/>
            <w:noProof/>
            <w:sz w:val="20"/>
            <w:szCs w:val="20"/>
          </w:rPr>
          <w:t>)</w:t>
        </w:r>
      </w:p>
    </w:sdtContent>
  </w:sdt>
  <w:p w14:paraId="793C577F" w14:textId="4ADD86BA" w:rsidR="00BE6334" w:rsidRPr="00990D5E" w:rsidRDefault="00BE6334">
    <w:pPr>
      <w:pStyle w:val="Footer"/>
      <w:rPr>
        <w:rFonts w:ascii="Sylfaen" w:hAnsi="Sylfaen"/>
        <w:sz w:val="20"/>
        <w:szCs w:val="20"/>
      </w:rPr>
    </w:pPr>
    <w:r w:rsidRPr="00990D5E">
      <w:rPr>
        <w:rFonts w:ascii="Sylfaen" w:hAnsi="Sylfaen"/>
        <w:sz w:val="20"/>
        <w:szCs w:val="20"/>
      </w:rPr>
      <w:t xml:space="preserve">DOI: </w:t>
    </w:r>
    <w:r w:rsidR="004B5389">
      <w:rPr>
        <w:rFonts w:ascii="Sylfaen" w:hAnsi="Sylfaen"/>
        <w:sz w:val="20"/>
        <w:szCs w:val="20"/>
      </w:rPr>
      <w:t>https://doi.org/10.5526/esj</w:t>
    </w:r>
    <w:r w:rsidR="001374B7">
      <w:rPr>
        <w:rFonts w:ascii="Sylfaen" w:hAnsi="Sylfaen"/>
        <w:sz w:val="20"/>
        <w:szCs w:val="20"/>
      </w:rPr>
      <w:t>1</w:t>
    </w:r>
    <w:r w:rsidR="00C009D0">
      <w:rPr>
        <w:rFonts w:ascii="Sylfaen" w:hAnsi="Sylfaen"/>
        <w:sz w:val="20"/>
        <w:szCs w:val="20"/>
      </w:rPr>
      <w:t>2</w:t>
    </w:r>
    <w:r w:rsidR="00B77A7A">
      <w:rPr>
        <w:rFonts w:ascii="Sylfaen" w:hAnsi="Sylfaen"/>
        <w:sz w:val="20"/>
        <w:szCs w:val="20"/>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rPr>
            <w:rFonts w:ascii="Sylfaen" w:hAnsi="Sylfaen"/>
          </w:rPr>
        </w:pPr>
      </w:p>
      <w:p w14:paraId="17E0F48F" w14:textId="12DA4930" w:rsidR="00BE6334" w:rsidRPr="00990D5E" w:rsidRDefault="00BE6334" w:rsidP="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A55EA2">
          <w:rPr>
            <w:rFonts w:ascii="Sylfaen" w:hAnsi="Sylfaen"/>
            <w:noProof/>
          </w:rPr>
          <w:t>1</w:t>
        </w:r>
        <w:r w:rsidRPr="00990D5E">
          <w:rPr>
            <w:rFonts w:ascii="Sylfaen" w:hAnsi="Sylfaen"/>
            <w:noProof/>
          </w:rPr>
          <w:fldChar w:fldCharType="end"/>
        </w:r>
      </w:p>
      <w:p w14:paraId="6152AABE" w14:textId="71506AF6" w:rsidR="00BE6334" w:rsidRPr="00990D5E" w:rsidRDefault="00A55EA2" w:rsidP="00A55EA2">
        <w:pPr>
          <w:pStyle w:val="Footer"/>
          <w:jc w:val="center"/>
          <w:rPr>
            <w:rFonts w:ascii="Sylfaen" w:hAnsi="Sylfaen"/>
            <w:sz w:val="20"/>
            <w:szCs w:val="20"/>
          </w:rPr>
        </w:pPr>
        <w:r>
          <w:rPr>
            <w:rFonts w:ascii="Sylfaen" w:hAnsi="Sylfaen"/>
            <w:noProof/>
            <w:sz w:val="20"/>
            <w:szCs w:val="20"/>
          </w:rPr>
          <w:tab/>
        </w:r>
        <w:r>
          <w:rPr>
            <w:rFonts w:ascii="Sylfaen" w:hAnsi="Sylfaen"/>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5DAC08" w14:textId="77777777" w:rsidR="002548F7" w:rsidRDefault="002548F7" w:rsidP="002B247D">
      <w:pPr>
        <w:spacing w:after="0" w:line="240" w:lineRule="auto"/>
      </w:pPr>
      <w:r>
        <w:separator/>
      </w:r>
    </w:p>
  </w:footnote>
  <w:footnote w:type="continuationSeparator" w:id="0">
    <w:p w14:paraId="187C732F" w14:textId="77777777" w:rsidR="002548F7" w:rsidRDefault="002548F7"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8DF0A" w14:textId="189794EB" w:rsidR="00B77A7A" w:rsidRPr="00B77A7A" w:rsidRDefault="00B77A7A" w:rsidP="00B77A7A">
    <w:pPr>
      <w:tabs>
        <w:tab w:val="left" w:pos="6237"/>
      </w:tabs>
      <w:jc w:val="both"/>
      <w:rPr>
        <w:rFonts w:ascii="Sylfaen" w:hAnsi="Sylfaen"/>
        <w:bCs/>
      </w:rPr>
    </w:pPr>
    <w:r w:rsidRPr="00B77A7A">
      <w:rPr>
        <w:rFonts w:ascii="Sylfaen" w:hAnsi="Sylfaen"/>
        <w:bCs/>
      </w:rPr>
      <w:t>Enron &amp; Corporate Governanc</w:t>
    </w:r>
    <w:r w:rsidRPr="00B77A7A">
      <w:rPr>
        <w:rFonts w:ascii="Sylfaen" w:hAnsi="Sylfaen"/>
        <w:bCs/>
      </w:rPr>
      <w:t>e</w:t>
    </w:r>
  </w:p>
  <w:p w14:paraId="1A9BFAD5" w14:textId="48E8F026" w:rsidR="008848DF" w:rsidRPr="00C009D0" w:rsidRDefault="008848DF" w:rsidP="00C009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8744A"/>
    <w:multiLevelType w:val="hybridMultilevel"/>
    <w:tmpl w:val="B2A880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990382"/>
    <w:multiLevelType w:val="hybridMultilevel"/>
    <w:tmpl w:val="71DA563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73D01CA"/>
    <w:multiLevelType w:val="hybridMultilevel"/>
    <w:tmpl w:val="F690918C"/>
    <w:lvl w:ilvl="0" w:tplc="2780AB9C">
      <w:start w:val="1"/>
      <w:numFmt w:val="upperRoman"/>
      <w:lvlText w:val="%1."/>
      <w:lvlJc w:val="left"/>
      <w:pPr>
        <w:ind w:left="1146" w:hanging="720"/>
      </w:pPr>
      <w:rPr>
        <w:rFonts w:hint="default"/>
        <w:b/>
        <w:bCs/>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3" w15:restartNumberingAfterBreak="0">
    <w:nsid w:val="35873214"/>
    <w:multiLevelType w:val="hybridMultilevel"/>
    <w:tmpl w:val="3168DC32"/>
    <w:lvl w:ilvl="0" w:tplc="0809000F">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4A1A1DCC"/>
    <w:multiLevelType w:val="hybridMultilevel"/>
    <w:tmpl w:val="B92E8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0E44F6E"/>
    <w:multiLevelType w:val="multilevel"/>
    <w:tmpl w:val="EDA2040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num w:numId="1" w16cid:durableId="844788950">
    <w:abstractNumId w:val="0"/>
  </w:num>
  <w:num w:numId="2" w16cid:durableId="1962221251">
    <w:abstractNumId w:val="1"/>
  </w:num>
  <w:num w:numId="3" w16cid:durableId="238830947">
    <w:abstractNumId w:val="4"/>
  </w:num>
  <w:num w:numId="4" w16cid:durableId="1244992341">
    <w:abstractNumId w:val="2"/>
  </w:num>
  <w:num w:numId="5" w16cid:durableId="18312050">
    <w:abstractNumId w:val="5"/>
  </w:num>
  <w:num w:numId="6" w16cid:durableId="21313122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FC1"/>
    <w:rsid w:val="00000CD0"/>
    <w:rsid w:val="000078B4"/>
    <w:rsid w:val="00012A2C"/>
    <w:rsid w:val="00015849"/>
    <w:rsid w:val="00047AFC"/>
    <w:rsid w:val="00055BDC"/>
    <w:rsid w:val="00057F3F"/>
    <w:rsid w:val="00060CF4"/>
    <w:rsid w:val="0007187A"/>
    <w:rsid w:val="00082008"/>
    <w:rsid w:val="0008416C"/>
    <w:rsid w:val="000903CC"/>
    <w:rsid w:val="00091FA9"/>
    <w:rsid w:val="000964AE"/>
    <w:rsid w:val="000A232E"/>
    <w:rsid w:val="000A7150"/>
    <w:rsid w:val="000C1884"/>
    <w:rsid w:val="000F2587"/>
    <w:rsid w:val="000F42DB"/>
    <w:rsid w:val="00110743"/>
    <w:rsid w:val="00120E22"/>
    <w:rsid w:val="001374B7"/>
    <w:rsid w:val="00162A07"/>
    <w:rsid w:val="001718F7"/>
    <w:rsid w:val="001969C1"/>
    <w:rsid w:val="001A154B"/>
    <w:rsid w:val="001A2A5F"/>
    <w:rsid w:val="001B53B8"/>
    <w:rsid w:val="001E254C"/>
    <w:rsid w:val="0020084E"/>
    <w:rsid w:val="00206196"/>
    <w:rsid w:val="00221F4A"/>
    <w:rsid w:val="00240FC1"/>
    <w:rsid w:val="002548F7"/>
    <w:rsid w:val="00265164"/>
    <w:rsid w:val="002722D8"/>
    <w:rsid w:val="00276474"/>
    <w:rsid w:val="00287674"/>
    <w:rsid w:val="002A1A1F"/>
    <w:rsid w:val="002B247D"/>
    <w:rsid w:val="002C2942"/>
    <w:rsid w:val="002C4464"/>
    <w:rsid w:val="002C5147"/>
    <w:rsid w:val="002D11F2"/>
    <w:rsid w:val="002E3823"/>
    <w:rsid w:val="002F1F97"/>
    <w:rsid w:val="00302BB9"/>
    <w:rsid w:val="00313E93"/>
    <w:rsid w:val="00331418"/>
    <w:rsid w:val="00332A4A"/>
    <w:rsid w:val="003409FD"/>
    <w:rsid w:val="00353C3A"/>
    <w:rsid w:val="0036695E"/>
    <w:rsid w:val="003711B8"/>
    <w:rsid w:val="003738EB"/>
    <w:rsid w:val="00374289"/>
    <w:rsid w:val="00377D09"/>
    <w:rsid w:val="00377E4F"/>
    <w:rsid w:val="003802B1"/>
    <w:rsid w:val="003831DC"/>
    <w:rsid w:val="00392577"/>
    <w:rsid w:val="003936EB"/>
    <w:rsid w:val="003C7F3F"/>
    <w:rsid w:val="003F3860"/>
    <w:rsid w:val="00400497"/>
    <w:rsid w:val="00406ECA"/>
    <w:rsid w:val="00436D69"/>
    <w:rsid w:val="00454967"/>
    <w:rsid w:val="00460E64"/>
    <w:rsid w:val="004B324C"/>
    <w:rsid w:val="004B5389"/>
    <w:rsid w:val="004B5C95"/>
    <w:rsid w:val="004D7DC2"/>
    <w:rsid w:val="004E7BD7"/>
    <w:rsid w:val="00505A61"/>
    <w:rsid w:val="00517709"/>
    <w:rsid w:val="00530F48"/>
    <w:rsid w:val="005364B0"/>
    <w:rsid w:val="00542A90"/>
    <w:rsid w:val="00544C6B"/>
    <w:rsid w:val="00567BD9"/>
    <w:rsid w:val="005A127B"/>
    <w:rsid w:val="005B5099"/>
    <w:rsid w:val="005B6433"/>
    <w:rsid w:val="005C0BC3"/>
    <w:rsid w:val="005C13FD"/>
    <w:rsid w:val="005D216B"/>
    <w:rsid w:val="00606660"/>
    <w:rsid w:val="00625C8B"/>
    <w:rsid w:val="00637440"/>
    <w:rsid w:val="00642356"/>
    <w:rsid w:val="00643FA7"/>
    <w:rsid w:val="006740DB"/>
    <w:rsid w:val="006A4B53"/>
    <w:rsid w:val="006A63BE"/>
    <w:rsid w:val="006B4C4E"/>
    <w:rsid w:val="006B7FB4"/>
    <w:rsid w:val="006D225D"/>
    <w:rsid w:val="006D79FF"/>
    <w:rsid w:val="00714080"/>
    <w:rsid w:val="0072460B"/>
    <w:rsid w:val="00724B61"/>
    <w:rsid w:val="00734861"/>
    <w:rsid w:val="007545D8"/>
    <w:rsid w:val="007622B5"/>
    <w:rsid w:val="0077089A"/>
    <w:rsid w:val="00773526"/>
    <w:rsid w:val="007814FF"/>
    <w:rsid w:val="007836F1"/>
    <w:rsid w:val="007905E4"/>
    <w:rsid w:val="007B2C62"/>
    <w:rsid w:val="007B40CE"/>
    <w:rsid w:val="007B70C9"/>
    <w:rsid w:val="007C1E3C"/>
    <w:rsid w:val="007C25E7"/>
    <w:rsid w:val="007E748D"/>
    <w:rsid w:val="007F7338"/>
    <w:rsid w:val="008129E5"/>
    <w:rsid w:val="00815815"/>
    <w:rsid w:val="00823E47"/>
    <w:rsid w:val="0082508B"/>
    <w:rsid w:val="008630EA"/>
    <w:rsid w:val="008848DF"/>
    <w:rsid w:val="008B2EFC"/>
    <w:rsid w:val="008C46A8"/>
    <w:rsid w:val="008D4727"/>
    <w:rsid w:val="008E033B"/>
    <w:rsid w:val="008F1A78"/>
    <w:rsid w:val="008F3F5C"/>
    <w:rsid w:val="00913AF1"/>
    <w:rsid w:val="009176E9"/>
    <w:rsid w:val="009413A8"/>
    <w:rsid w:val="0095179D"/>
    <w:rsid w:val="00971BE8"/>
    <w:rsid w:val="00974F46"/>
    <w:rsid w:val="00990D5E"/>
    <w:rsid w:val="009A0883"/>
    <w:rsid w:val="009B5DD4"/>
    <w:rsid w:val="009C10A8"/>
    <w:rsid w:val="009D3B29"/>
    <w:rsid w:val="009E26F7"/>
    <w:rsid w:val="00A10993"/>
    <w:rsid w:val="00A136B5"/>
    <w:rsid w:val="00A14558"/>
    <w:rsid w:val="00A160AD"/>
    <w:rsid w:val="00A24D87"/>
    <w:rsid w:val="00A538B5"/>
    <w:rsid w:val="00A54297"/>
    <w:rsid w:val="00A55EA2"/>
    <w:rsid w:val="00A56F5E"/>
    <w:rsid w:val="00A649EF"/>
    <w:rsid w:val="00A6655A"/>
    <w:rsid w:val="00A720EE"/>
    <w:rsid w:val="00A74ED5"/>
    <w:rsid w:val="00AA6F9E"/>
    <w:rsid w:val="00AD209D"/>
    <w:rsid w:val="00AD7E8C"/>
    <w:rsid w:val="00AE1087"/>
    <w:rsid w:val="00AF6ABC"/>
    <w:rsid w:val="00B20FB3"/>
    <w:rsid w:val="00B322FB"/>
    <w:rsid w:val="00B32B29"/>
    <w:rsid w:val="00B37CD8"/>
    <w:rsid w:val="00B37E5E"/>
    <w:rsid w:val="00B4334A"/>
    <w:rsid w:val="00B60FEA"/>
    <w:rsid w:val="00B617A4"/>
    <w:rsid w:val="00B76582"/>
    <w:rsid w:val="00B77266"/>
    <w:rsid w:val="00B77A7A"/>
    <w:rsid w:val="00B93DD7"/>
    <w:rsid w:val="00B955D7"/>
    <w:rsid w:val="00BC0C64"/>
    <w:rsid w:val="00BC4039"/>
    <w:rsid w:val="00BC7A54"/>
    <w:rsid w:val="00BD7D62"/>
    <w:rsid w:val="00BE6334"/>
    <w:rsid w:val="00C009D0"/>
    <w:rsid w:val="00C046D8"/>
    <w:rsid w:val="00C10E0E"/>
    <w:rsid w:val="00C16C2B"/>
    <w:rsid w:val="00C22513"/>
    <w:rsid w:val="00C27311"/>
    <w:rsid w:val="00C4128C"/>
    <w:rsid w:val="00C522C3"/>
    <w:rsid w:val="00C75A94"/>
    <w:rsid w:val="00C77F0A"/>
    <w:rsid w:val="00C97519"/>
    <w:rsid w:val="00CA6A9D"/>
    <w:rsid w:val="00CB46D9"/>
    <w:rsid w:val="00CF259F"/>
    <w:rsid w:val="00D13840"/>
    <w:rsid w:val="00D354F4"/>
    <w:rsid w:val="00D35A7A"/>
    <w:rsid w:val="00D57D76"/>
    <w:rsid w:val="00D65147"/>
    <w:rsid w:val="00D661AD"/>
    <w:rsid w:val="00D768AA"/>
    <w:rsid w:val="00DA1689"/>
    <w:rsid w:val="00DA21CB"/>
    <w:rsid w:val="00DC2C3A"/>
    <w:rsid w:val="00DD1181"/>
    <w:rsid w:val="00DD7512"/>
    <w:rsid w:val="00DE33E6"/>
    <w:rsid w:val="00E2107C"/>
    <w:rsid w:val="00E355F6"/>
    <w:rsid w:val="00E360CC"/>
    <w:rsid w:val="00E51292"/>
    <w:rsid w:val="00E570CA"/>
    <w:rsid w:val="00E7484F"/>
    <w:rsid w:val="00E76F91"/>
    <w:rsid w:val="00E77FF0"/>
    <w:rsid w:val="00E86C3C"/>
    <w:rsid w:val="00E91DB0"/>
    <w:rsid w:val="00EB7799"/>
    <w:rsid w:val="00ED039A"/>
    <w:rsid w:val="00ED729A"/>
    <w:rsid w:val="00ED7A40"/>
    <w:rsid w:val="00EE4804"/>
    <w:rsid w:val="00EF3A2B"/>
    <w:rsid w:val="00EF4443"/>
    <w:rsid w:val="00F37DFA"/>
    <w:rsid w:val="00F45154"/>
    <w:rsid w:val="00F45B1E"/>
    <w:rsid w:val="00F54D81"/>
    <w:rsid w:val="00F57F04"/>
    <w:rsid w:val="00F70AFA"/>
    <w:rsid w:val="00F70BD2"/>
    <w:rsid w:val="00F95B28"/>
    <w:rsid w:val="00F95BD4"/>
    <w:rsid w:val="00FA3F1F"/>
    <w:rsid w:val="00FB1C2A"/>
    <w:rsid w:val="00FC033B"/>
    <w:rsid w:val="00FC77AB"/>
    <w:rsid w:val="00FD1F13"/>
    <w:rsid w:val="00FD45F4"/>
    <w:rsid w:val="00FE5E51"/>
    <w:rsid w:val="00FE7DF3"/>
    <w:rsid w:val="00FF3200"/>
    <w:rsid w:val="00FF67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24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820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8200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link w:val="NoSpacingChar"/>
    <w:uiPriority w:val="1"/>
    <w:qFormat/>
    <w:rsid w:val="00240FC1"/>
    <w:pPr>
      <w:spacing w:after="0" w:line="480" w:lineRule="auto"/>
    </w:pPr>
    <w:rPr>
      <w:rFonts w:eastAsiaTheme="minorEastAsia"/>
      <w:sz w:val="24"/>
      <w:szCs w:val="24"/>
      <w:lang w:val="en-US" w:eastAsia="ja-JP"/>
    </w:rPr>
  </w:style>
  <w:style w:type="character" w:styleId="Emphasis">
    <w:name w:val="Emphasis"/>
    <w:basedOn w:val="DefaultParagraphFont"/>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2B247D"/>
    <w:rPr>
      <w:rFonts w:asciiTheme="majorHAnsi" w:eastAsiaTheme="majorEastAsia" w:hAnsiTheme="majorHAnsi" w:cstheme="majorBidi"/>
      <w:color w:val="365F91" w:themeColor="accent1" w:themeShade="BF"/>
      <w:sz w:val="32"/>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nhideWhenUsed/>
    <w:rsid w:val="00A10993"/>
    <w:rPr>
      <w:vertAlign w:val="superscript"/>
    </w:rPr>
  </w:style>
  <w:style w:type="character" w:customStyle="1" w:styleId="Heading2Char">
    <w:name w:val="Heading 2 Char"/>
    <w:basedOn w:val="DefaultParagraphFont"/>
    <w:link w:val="Heading2"/>
    <w:uiPriority w:val="9"/>
    <w:rsid w:val="0008200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82008"/>
    <w:rPr>
      <w:rFonts w:asciiTheme="majorHAnsi" w:eastAsiaTheme="majorEastAsia" w:hAnsiTheme="majorHAnsi" w:cstheme="majorBidi"/>
      <w:color w:val="243F60" w:themeColor="accent1" w:themeShade="7F"/>
      <w:sz w:val="24"/>
      <w:szCs w:val="24"/>
    </w:rPr>
  </w:style>
  <w:style w:type="paragraph" w:styleId="NormalWeb">
    <w:name w:val="Normal (Web)"/>
    <w:basedOn w:val="Normal"/>
    <w:unhideWhenUsed/>
    <w:rsid w:val="0036695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PlainText">
    <w:name w:val="Plain Text"/>
    <w:basedOn w:val="Normal"/>
    <w:link w:val="PlainTextChar"/>
    <w:uiPriority w:val="99"/>
    <w:unhideWhenUsed/>
    <w:rsid w:val="00EF4443"/>
    <w:pPr>
      <w:spacing w:after="0" w:line="240" w:lineRule="auto"/>
    </w:pPr>
    <w:rPr>
      <w:rFonts w:ascii="Arial" w:hAnsi="Arial" w:cs="Arial"/>
      <w:sz w:val="20"/>
      <w:szCs w:val="20"/>
    </w:rPr>
  </w:style>
  <w:style w:type="character" w:customStyle="1" w:styleId="PlainTextChar">
    <w:name w:val="Plain Text Char"/>
    <w:basedOn w:val="DefaultParagraphFont"/>
    <w:link w:val="PlainText"/>
    <w:uiPriority w:val="99"/>
    <w:rsid w:val="00EF4443"/>
    <w:rPr>
      <w:rFonts w:ascii="Arial" w:hAnsi="Arial" w:cs="Arial"/>
      <w:sz w:val="20"/>
      <w:szCs w:val="20"/>
    </w:rPr>
  </w:style>
  <w:style w:type="character" w:styleId="Hyperlink">
    <w:name w:val="Hyperlink"/>
    <w:basedOn w:val="DefaultParagraphFont"/>
    <w:uiPriority w:val="99"/>
    <w:unhideWhenUsed/>
    <w:rsid w:val="009176E9"/>
    <w:rPr>
      <w:color w:val="0000FF" w:themeColor="hyperlink"/>
      <w:u w:val="single"/>
    </w:rPr>
  </w:style>
  <w:style w:type="paragraph" w:customStyle="1" w:styleId="Body1">
    <w:name w:val="Body 1"/>
    <w:rsid w:val="000F42DB"/>
    <w:pPr>
      <w:spacing w:before="120" w:after="120" w:line="300" w:lineRule="atLeast"/>
      <w:jc w:val="both"/>
      <w:outlineLvl w:val="0"/>
    </w:pPr>
    <w:rPr>
      <w:rFonts w:ascii="Helvetica" w:eastAsia="Arial Unicode MS" w:hAnsi="Helvetica" w:cs="Times New Roman"/>
      <w:color w:val="000000"/>
      <w:szCs w:val="20"/>
      <w:u w:color="000000"/>
      <w:lang w:val="en-US"/>
    </w:rPr>
  </w:style>
  <w:style w:type="paragraph" w:styleId="TOC2">
    <w:name w:val="toc 2"/>
    <w:basedOn w:val="Normal"/>
    <w:next w:val="Normal"/>
    <w:autoRedefine/>
    <w:uiPriority w:val="39"/>
    <w:unhideWhenUsed/>
    <w:qFormat/>
    <w:rsid w:val="00B93DD7"/>
    <w:pPr>
      <w:spacing w:after="0" w:line="240" w:lineRule="auto"/>
      <w:ind w:left="284"/>
      <w:jc w:val="both"/>
    </w:pPr>
    <w:rPr>
      <w:rFonts w:ascii="Adobe Garamond Pro" w:eastAsia="Times New Roman" w:hAnsi="Adobe Garamond Pro" w:cs="Times New Roman"/>
      <w:i/>
      <w:smallCaps/>
      <w:lang w:eastAsia="en-GB"/>
    </w:rPr>
  </w:style>
  <w:style w:type="paragraph" w:styleId="ListParagraph">
    <w:name w:val="List Paragraph"/>
    <w:basedOn w:val="Normal"/>
    <w:uiPriority w:val="34"/>
    <w:qFormat/>
    <w:rsid w:val="00B93DD7"/>
    <w:pPr>
      <w:widowControl w:val="0"/>
      <w:suppressAutoHyphens/>
      <w:spacing w:after="0" w:line="240" w:lineRule="auto"/>
      <w:ind w:left="720"/>
    </w:pPr>
    <w:rPr>
      <w:rFonts w:ascii="Liberation Serif" w:eastAsia="DejaVu Sans" w:hAnsi="Liberation Serif" w:cs="DejaVu Sans"/>
      <w:kern w:val="1"/>
      <w:sz w:val="24"/>
      <w:szCs w:val="24"/>
      <w:lang w:val="en-US" w:eastAsia="hi-IN" w:bidi="hi-IN"/>
    </w:rPr>
  </w:style>
  <w:style w:type="character" w:customStyle="1" w:styleId="googqs-tidbit1">
    <w:name w:val="goog_qs-tidbit1"/>
    <w:rsid w:val="00DE33E6"/>
    <w:rPr>
      <w:vanish w:val="0"/>
      <w:webHidden w:val="0"/>
      <w:specVanish w:val="0"/>
    </w:rPr>
  </w:style>
  <w:style w:type="character" w:styleId="CommentReference">
    <w:name w:val="annotation reference"/>
    <w:unhideWhenUsed/>
    <w:rsid w:val="00DE33E6"/>
    <w:rPr>
      <w:sz w:val="16"/>
      <w:szCs w:val="16"/>
    </w:rPr>
  </w:style>
  <w:style w:type="character" w:styleId="FollowedHyperlink">
    <w:name w:val="FollowedHyperlink"/>
    <w:basedOn w:val="DefaultParagraphFont"/>
    <w:uiPriority w:val="99"/>
    <w:semiHidden/>
    <w:unhideWhenUsed/>
    <w:rsid w:val="00C97519"/>
    <w:rPr>
      <w:color w:val="800080" w:themeColor="followedHyperlink"/>
      <w:u w:val="single"/>
    </w:rPr>
  </w:style>
  <w:style w:type="character" w:styleId="UnresolvedMention">
    <w:name w:val="Unresolved Mention"/>
    <w:basedOn w:val="DefaultParagraphFont"/>
    <w:uiPriority w:val="99"/>
    <w:semiHidden/>
    <w:unhideWhenUsed/>
    <w:rsid w:val="00C97519"/>
    <w:rPr>
      <w:color w:val="605E5C"/>
      <w:shd w:val="clear" w:color="auto" w:fill="E1DFDD"/>
    </w:rPr>
  </w:style>
  <w:style w:type="paragraph" w:styleId="Caption">
    <w:name w:val="caption"/>
    <w:basedOn w:val="Normal"/>
    <w:next w:val="Normal"/>
    <w:uiPriority w:val="35"/>
    <w:unhideWhenUsed/>
    <w:qFormat/>
    <w:rsid w:val="006B4C4E"/>
    <w:pPr>
      <w:spacing w:line="240" w:lineRule="auto"/>
    </w:pPr>
    <w:rPr>
      <w:i/>
      <w:iCs/>
      <w:color w:val="1F497D" w:themeColor="text2"/>
      <w:sz w:val="18"/>
      <w:szCs w:val="18"/>
    </w:rPr>
  </w:style>
  <w:style w:type="character" w:customStyle="1" w:styleId="apple-style-span">
    <w:name w:val="apple-style-span"/>
    <w:basedOn w:val="DefaultParagraphFont"/>
    <w:rsid w:val="00000CD0"/>
  </w:style>
  <w:style w:type="character" w:customStyle="1" w:styleId="apple-converted-space">
    <w:name w:val="apple-converted-space"/>
    <w:basedOn w:val="DefaultParagraphFont"/>
    <w:uiPriority w:val="99"/>
    <w:rsid w:val="00000CD0"/>
  </w:style>
  <w:style w:type="character" w:customStyle="1" w:styleId="name">
    <w:name w:val="name"/>
    <w:basedOn w:val="DefaultParagraphFont"/>
    <w:rsid w:val="00F54D81"/>
  </w:style>
  <w:style w:type="character" w:styleId="Strong">
    <w:name w:val="Strong"/>
    <w:basedOn w:val="DefaultParagraphFont"/>
    <w:uiPriority w:val="22"/>
    <w:qFormat/>
    <w:rsid w:val="00F54D81"/>
    <w:rPr>
      <w:b/>
      <w:bCs/>
    </w:rPr>
  </w:style>
  <w:style w:type="table" w:styleId="TableGrid">
    <w:name w:val="Table Grid"/>
    <w:basedOn w:val="TableNormal"/>
    <w:uiPriority w:val="99"/>
    <w:rsid w:val="00724B61"/>
    <w:pPr>
      <w:spacing w:after="0" w:line="240" w:lineRule="auto"/>
    </w:pPr>
    <w:rPr>
      <w:rFonts w:ascii="Century" w:eastAsia="MS Mincho" w:hAnsi="Century" w:cs="Mangal"/>
      <w:sz w:val="20"/>
      <w:szCs w:val="20"/>
      <w:lang w:val="en-US" w:eastAsia="ja-JP"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rsid w:val="00724B61"/>
    <w:pPr>
      <w:widowControl w:val="0"/>
      <w:snapToGrid w:val="0"/>
      <w:spacing w:after="0" w:line="240" w:lineRule="auto"/>
    </w:pPr>
    <w:rPr>
      <w:rFonts w:ascii="Century" w:eastAsia="MS Mincho" w:hAnsi="Century" w:cs="Mangal"/>
      <w:kern w:val="2"/>
      <w:sz w:val="21"/>
      <w:lang w:eastAsia="ja-JP"/>
    </w:rPr>
  </w:style>
  <w:style w:type="character" w:customStyle="1" w:styleId="EndnoteTextChar">
    <w:name w:val="Endnote Text Char"/>
    <w:basedOn w:val="DefaultParagraphFont"/>
    <w:link w:val="EndnoteText"/>
    <w:uiPriority w:val="99"/>
    <w:semiHidden/>
    <w:rsid w:val="00724B61"/>
    <w:rPr>
      <w:rFonts w:ascii="Century" w:eastAsia="MS Mincho" w:hAnsi="Century" w:cs="Mangal"/>
      <w:kern w:val="2"/>
      <w:sz w:val="21"/>
      <w:lang w:eastAsia="ja-JP"/>
    </w:rPr>
  </w:style>
  <w:style w:type="character" w:styleId="EndnoteReference">
    <w:name w:val="endnote reference"/>
    <w:basedOn w:val="DefaultParagraphFont"/>
    <w:uiPriority w:val="99"/>
    <w:semiHidden/>
    <w:rsid w:val="00724B61"/>
    <w:rPr>
      <w:rFonts w:cs="Times New Roman"/>
      <w:vertAlign w:val="superscript"/>
    </w:rPr>
  </w:style>
  <w:style w:type="paragraph" w:styleId="BalloonText">
    <w:name w:val="Balloon Text"/>
    <w:basedOn w:val="Normal"/>
    <w:link w:val="BalloonTextChar"/>
    <w:uiPriority w:val="99"/>
    <w:semiHidden/>
    <w:rsid w:val="00724B61"/>
    <w:pPr>
      <w:widowControl w:val="0"/>
      <w:spacing w:after="0" w:line="240" w:lineRule="auto"/>
      <w:jc w:val="both"/>
    </w:pPr>
    <w:rPr>
      <w:rFonts w:ascii="Tahoma" w:eastAsia="MS Mincho" w:hAnsi="Tahoma" w:cs="Tahoma"/>
      <w:kern w:val="2"/>
      <w:sz w:val="16"/>
      <w:szCs w:val="16"/>
      <w:lang w:eastAsia="ja-JP"/>
    </w:rPr>
  </w:style>
  <w:style w:type="character" w:customStyle="1" w:styleId="BalloonTextChar">
    <w:name w:val="Balloon Text Char"/>
    <w:basedOn w:val="DefaultParagraphFont"/>
    <w:link w:val="BalloonText"/>
    <w:uiPriority w:val="99"/>
    <w:semiHidden/>
    <w:rsid w:val="00724B61"/>
    <w:rPr>
      <w:rFonts w:ascii="Tahoma" w:eastAsia="MS Mincho" w:hAnsi="Tahoma" w:cs="Tahoma"/>
      <w:kern w:val="2"/>
      <w:sz w:val="16"/>
      <w:szCs w:val="16"/>
      <w:lang w:eastAsia="ja-JP"/>
    </w:rPr>
  </w:style>
  <w:style w:type="paragraph" w:styleId="CommentText">
    <w:name w:val="annotation text"/>
    <w:basedOn w:val="Normal"/>
    <w:link w:val="CommentTextChar"/>
    <w:uiPriority w:val="99"/>
    <w:semiHidden/>
    <w:rsid w:val="00724B61"/>
    <w:pPr>
      <w:widowControl w:val="0"/>
      <w:spacing w:after="0" w:line="240" w:lineRule="auto"/>
      <w:jc w:val="both"/>
    </w:pPr>
    <w:rPr>
      <w:rFonts w:ascii="Century" w:eastAsia="MS Mincho" w:hAnsi="Century" w:cs="Mangal"/>
      <w:kern w:val="2"/>
      <w:sz w:val="20"/>
      <w:szCs w:val="20"/>
      <w:lang w:eastAsia="ja-JP"/>
    </w:rPr>
  </w:style>
  <w:style w:type="character" w:customStyle="1" w:styleId="CommentTextChar">
    <w:name w:val="Comment Text Char"/>
    <w:basedOn w:val="DefaultParagraphFont"/>
    <w:link w:val="CommentText"/>
    <w:uiPriority w:val="99"/>
    <w:semiHidden/>
    <w:rsid w:val="00724B61"/>
    <w:rPr>
      <w:rFonts w:ascii="Century" w:eastAsia="MS Mincho" w:hAnsi="Century" w:cs="Mangal"/>
      <w:kern w:val="2"/>
      <w:sz w:val="20"/>
      <w:szCs w:val="20"/>
      <w:lang w:eastAsia="ja-JP"/>
    </w:rPr>
  </w:style>
  <w:style w:type="paragraph" w:styleId="CommentSubject">
    <w:name w:val="annotation subject"/>
    <w:basedOn w:val="CommentText"/>
    <w:next w:val="CommentText"/>
    <w:link w:val="CommentSubjectChar"/>
    <w:uiPriority w:val="99"/>
    <w:semiHidden/>
    <w:rsid w:val="00724B61"/>
    <w:rPr>
      <w:b/>
      <w:bCs/>
    </w:rPr>
  </w:style>
  <w:style w:type="character" w:customStyle="1" w:styleId="CommentSubjectChar">
    <w:name w:val="Comment Subject Char"/>
    <w:basedOn w:val="CommentTextChar"/>
    <w:link w:val="CommentSubject"/>
    <w:uiPriority w:val="99"/>
    <w:semiHidden/>
    <w:rsid w:val="00724B61"/>
    <w:rPr>
      <w:rFonts w:ascii="Century" w:eastAsia="MS Mincho" w:hAnsi="Century" w:cs="Mangal"/>
      <w:b/>
      <w:bCs/>
      <w:kern w:val="2"/>
      <w:sz w:val="20"/>
      <w:szCs w:val="20"/>
      <w:lang w:eastAsia="ja-JP"/>
    </w:rPr>
  </w:style>
  <w:style w:type="paragraph" w:styleId="Revision">
    <w:name w:val="Revision"/>
    <w:hidden/>
    <w:uiPriority w:val="99"/>
    <w:semiHidden/>
    <w:rsid w:val="00724B61"/>
    <w:pPr>
      <w:spacing w:after="0" w:line="240" w:lineRule="auto"/>
    </w:pPr>
    <w:rPr>
      <w:rFonts w:ascii="Century" w:eastAsia="MS Mincho" w:hAnsi="Century" w:cs="Mangal"/>
      <w:kern w:val="2"/>
      <w:sz w:val="21"/>
      <w:lang w:eastAsia="ja-JP"/>
    </w:rPr>
  </w:style>
  <w:style w:type="paragraph" w:customStyle="1" w:styleId="Figureheading">
    <w:name w:val="Figure heading"/>
    <w:basedOn w:val="Normal"/>
    <w:rsid w:val="007B70C9"/>
    <w:pPr>
      <w:spacing w:after="0" w:line="240" w:lineRule="auto"/>
      <w:jc w:val="both"/>
    </w:pPr>
    <w:rPr>
      <w:rFonts w:ascii="Gill Sans MT" w:eastAsia="Times New Roman" w:hAnsi="Gill Sans MT" w:cs="Gill Sans MT"/>
      <w:sz w:val="24"/>
      <w:szCs w:val="20"/>
      <w:lang w:eastAsia="en-GB"/>
    </w:rPr>
  </w:style>
  <w:style w:type="character" w:customStyle="1" w:styleId="osl">
    <w:name w:val="osl"/>
    <w:basedOn w:val="DefaultParagraphFont"/>
    <w:rsid w:val="00B37CD8"/>
  </w:style>
  <w:style w:type="paragraph" w:styleId="BodyText">
    <w:name w:val="Body Text"/>
    <w:basedOn w:val="Normal"/>
    <w:link w:val="BodyTextChar"/>
    <w:semiHidden/>
    <w:rsid w:val="00B37E5E"/>
    <w:pPr>
      <w:suppressAutoHyphens/>
      <w:spacing w:after="0" w:line="240" w:lineRule="auto"/>
    </w:pPr>
    <w:rPr>
      <w:rFonts w:ascii="Times New Roman" w:eastAsia="Times New Roman" w:hAnsi="Times New Roman" w:cs="Times New Roman"/>
      <w:b/>
      <w:bCs/>
      <w:sz w:val="28"/>
      <w:szCs w:val="24"/>
      <w:lang w:eastAsia="ar-SA"/>
    </w:rPr>
  </w:style>
  <w:style w:type="character" w:customStyle="1" w:styleId="BodyTextChar">
    <w:name w:val="Body Text Char"/>
    <w:basedOn w:val="DefaultParagraphFont"/>
    <w:link w:val="BodyText"/>
    <w:semiHidden/>
    <w:rsid w:val="00B37E5E"/>
    <w:rPr>
      <w:rFonts w:ascii="Times New Roman" w:eastAsia="Times New Roman" w:hAnsi="Times New Roman" w:cs="Times New Roman"/>
      <w:b/>
      <w:bCs/>
      <w:sz w:val="28"/>
      <w:szCs w:val="24"/>
      <w:lang w:eastAsia="ar-SA"/>
    </w:rPr>
  </w:style>
  <w:style w:type="paragraph" w:styleId="BodyText2">
    <w:name w:val="Body Text 2"/>
    <w:basedOn w:val="Normal"/>
    <w:link w:val="BodyText2Char"/>
    <w:uiPriority w:val="99"/>
    <w:semiHidden/>
    <w:unhideWhenUsed/>
    <w:rsid w:val="00FA3F1F"/>
    <w:pPr>
      <w:spacing w:after="120" w:line="480" w:lineRule="auto"/>
    </w:pPr>
  </w:style>
  <w:style w:type="character" w:customStyle="1" w:styleId="BodyText2Char">
    <w:name w:val="Body Text 2 Char"/>
    <w:basedOn w:val="DefaultParagraphFont"/>
    <w:link w:val="BodyText2"/>
    <w:uiPriority w:val="99"/>
    <w:semiHidden/>
    <w:rsid w:val="00FA3F1F"/>
  </w:style>
  <w:style w:type="paragraph" w:customStyle="1" w:styleId="Textbody">
    <w:name w:val="Text body"/>
    <w:basedOn w:val="Normal"/>
    <w:rsid w:val="00A56F5E"/>
    <w:pPr>
      <w:widowControl w:val="0"/>
      <w:suppressAutoHyphens/>
      <w:autoSpaceDN w:val="0"/>
      <w:spacing w:after="120" w:line="240" w:lineRule="auto"/>
      <w:textAlignment w:val="baseline"/>
    </w:pPr>
    <w:rPr>
      <w:rFonts w:ascii="Times New Roman" w:eastAsia="Lucida Sans Unicode" w:hAnsi="Times New Roman" w:cs="Tahoma"/>
      <w:kern w:val="3"/>
      <w:sz w:val="24"/>
      <w:szCs w:val="24"/>
      <w:lang w:eastAsia="en-GB"/>
    </w:rPr>
  </w:style>
  <w:style w:type="paragraph" w:customStyle="1" w:styleId="NormalJustified">
    <w:name w:val="Normal + Justified"/>
    <w:basedOn w:val="Normal"/>
    <w:rsid w:val="00A56F5E"/>
    <w:pPr>
      <w:spacing w:after="0" w:line="480" w:lineRule="auto"/>
      <w:jc w:val="both"/>
    </w:pPr>
    <w:rPr>
      <w:rFonts w:ascii="Times New Roman" w:eastAsia="Cambria" w:hAnsi="Times New Roman" w:cs="Times New Roman"/>
      <w:b/>
      <w:sz w:val="24"/>
      <w:szCs w:val="24"/>
    </w:rPr>
  </w:style>
  <w:style w:type="paragraph" w:customStyle="1" w:styleId="Standard">
    <w:name w:val="Standard"/>
    <w:rsid w:val="00B20FB3"/>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en-GB"/>
    </w:rPr>
  </w:style>
  <w:style w:type="character" w:customStyle="1" w:styleId="NoSpacingChar">
    <w:name w:val="No Spacing Char"/>
    <w:aliases w:val="No Indent Char"/>
    <w:basedOn w:val="DefaultParagraphFont"/>
    <w:link w:val="NoSpacing"/>
    <w:uiPriority w:val="1"/>
    <w:rsid w:val="00B20FB3"/>
    <w:rPr>
      <w:rFonts w:eastAsiaTheme="minorEastAsia"/>
      <w:sz w:val="24"/>
      <w:szCs w:val="24"/>
      <w:lang w:val="en-US" w:eastAsia="ja-JP"/>
    </w:rPr>
  </w:style>
  <w:style w:type="character" w:styleId="SubtleEmphasis">
    <w:name w:val="Subtle Emphasis"/>
    <w:uiPriority w:val="19"/>
    <w:qFormat/>
    <w:rsid w:val="00B20FB3"/>
    <w:rPr>
      <w:i/>
      <w:iCs/>
    </w:rPr>
  </w:style>
  <w:style w:type="character" w:styleId="SubtleReference">
    <w:name w:val="Subtle Reference"/>
    <w:basedOn w:val="DefaultParagraphFont"/>
    <w:uiPriority w:val="31"/>
    <w:qFormat/>
    <w:rsid w:val="00B20FB3"/>
    <w:rPr>
      <w:rFonts w:ascii="Calibri" w:eastAsia="MS Mincho" w:hAnsi="Calibri" w:cs="Times New Roman"/>
      <w:i/>
      <w:iCs/>
      <w:color w:val="622423"/>
    </w:rPr>
  </w:style>
  <w:style w:type="paragraph" w:customStyle="1" w:styleId="ecxmsonormal">
    <w:name w:val="ecxmsonormal"/>
    <w:basedOn w:val="Normal"/>
    <w:rsid w:val="007B40CE"/>
    <w:pPr>
      <w:spacing w:after="324"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15171190">
      <w:bodyDiv w:val="1"/>
      <w:marLeft w:val="0"/>
      <w:marRight w:val="0"/>
      <w:marTop w:val="0"/>
      <w:marBottom w:val="0"/>
      <w:divBdr>
        <w:top w:val="none" w:sz="0" w:space="0" w:color="auto"/>
        <w:left w:val="none" w:sz="0" w:space="0" w:color="auto"/>
        <w:bottom w:val="none" w:sz="0" w:space="0" w:color="auto"/>
        <w:right w:val="none" w:sz="0" w:space="0" w:color="auto"/>
      </w:divBdr>
      <w:divsChild>
        <w:div w:id="1168446873">
          <w:marLeft w:val="0"/>
          <w:marRight w:val="0"/>
          <w:marTop w:val="0"/>
          <w:marBottom w:val="0"/>
          <w:divBdr>
            <w:top w:val="none" w:sz="0" w:space="0" w:color="auto"/>
            <w:left w:val="none" w:sz="0" w:space="0" w:color="auto"/>
            <w:bottom w:val="none" w:sz="0" w:space="0" w:color="auto"/>
            <w:right w:val="none" w:sz="0" w:space="0" w:color="auto"/>
          </w:divBdr>
          <w:divsChild>
            <w:div w:id="957949246">
              <w:marLeft w:val="0"/>
              <w:marRight w:val="0"/>
              <w:marTop w:val="0"/>
              <w:marBottom w:val="0"/>
              <w:divBdr>
                <w:top w:val="none" w:sz="0" w:space="0" w:color="auto"/>
                <w:left w:val="none" w:sz="0" w:space="0" w:color="auto"/>
                <w:bottom w:val="none" w:sz="0" w:space="0" w:color="auto"/>
                <w:right w:val="none" w:sz="0" w:space="0" w:color="auto"/>
              </w:divBdr>
              <w:divsChild>
                <w:div w:id="86475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276988524">
      <w:bodyDiv w:val="1"/>
      <w:marLeft w:val="0"/>
      <w:marRight w:val="0"/>
      <w:marTop w:val="0"/>
      <w:marBottom w:val="0"/>
      <w:divBdr>
        <w:top w:val="none" w:sz="0" w:space="0" w:color="auto"/>
        <w:left w:val="none" w:sz="0" w:space="0" w:color="auto"/>
        <w:bottom w:val="none" w:sz="0" w:space="0" w:color="auto"/>
        <w:right w:val="none" w:sz="0" w:space="0" w:color="auto"/>
      </w:divBdr>
      <w:divsChild>
        <w:div w:id="1400439717">
          <w:marLeft w:val="0"/>
          <w:marRight w:val="0"/>
          <w:marTop w:val="0"/>
          <w:marBottom w:val="0"/>
          <w:divBdr>
            <w:top w:val="none" w:sz="0" w:space="0" w:color="auto"/>
            <w:left w:val="none" w:sz="0" w:space="0" w:color="auto"/>
            <w:bottom w:val="none" w:sz="0" w:space="0" w:color="auto"/>
            <w:right w:val="none" w:sz="0" w:space="0" w:color="auto"/>
          </w:divBdr>
          <w:divsChild>
            <w:div w:id="43455485">
              <w:marLeft w:val="0"/>
              <w:marRight w:val="0"/>
              <w:marTop w:val="0"/>
              <w:marBottom w:val="0"/>
              <w:divBdr>
                <w:top w:val="none" w:sz="0" w:space="0" w:color="auto"/>
                <w:left w:val="none" w:sz="0" w:space="0" w:color="auto"/>
                <w:bottom w:val="none" w:sz="0" w:space="0" w:color="auto"/>
                <w:right w:val="none" w:sz="0" w:space="0" w:color="auto"/>
              </w:divBdr>
              <w:divsChild>
                <w:div w:id="67452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082572">
      <w:bodyDiv w:val="1"/>
      <w:marLeft w:val="0"/>
      <w:marRight w:val="0"/>
      <w:marTop w:val="0"/>
      <w:marBottom w:val="0"/>
      <w:divBdr>
        <w:top w:val="none" w:sz="0" w:space="0" w:color="auto"/>
        <w:left w:val="none" w:sz="0" w:space="0" w:color="auto"/>
        <w:bottom w:val="none" w:sz="0" w:space="0" w:color="auto"/>
        <w:right w:val="none" w:sz="0" w:space="0" w:color="auto"/>
      </w:divBdr>
      <w:divsChild>
        <w:div w:id="1202014208">
          <w:marLeft w:val="0"/>
          <w:marRight w:val="0"/>
          <w:marTop w:val="0"/>
          <w:marBottom w:val="0"/>
          <w:divBdr>
            <w:top w:val="none" w:sz="0" w:space="0" w:color="auto"/>
            <w:left w:val="none" w:sz="0" w:space="0" w:color="auto"/>
            <w:bottom w:val="none" w:sz="0" w:space="0" w:color="auto"/>
            <w:right w:val="none" w:sz="0" w:space="0" w:color="auto"/>
          </w:divBdr>
          <w:divsChild>
            <w:div w:id="1251889099">
              <w:marLeft w:val="0"/>
              <w:marRight w:val="0"/>
              <w:marTop w:val="0"/>
              <w:marBottom w:val="0"/>
              <w:divBdr>
                <w:top w:val="none" w:sz="0" w:space="0" w:color="auto"/>
                <w:left w:val="none" w:sz="0" w:space="0" w:color="auto"/>
                <w:bottom w:val="none" w:sz="0" w:space="0" w:color="auto"/>
                <w:right w:val="none" w:sz="0" w:space="0" w:color="auto"/>
              </w:divBdr>
              <w:divsChild>
                <w:div w:id="426273554">
                  <w:marLeft w:val="0"/>
                  <w:marRight w:val="0"/>
                  <w:marTop w:val="0"/>
                  <w:marBottom w:val="0"/>
                  <w:divBdr>
                    <w:top w:val="none" w:sz="0" w:space="0" w:color="auto"/>
                    <w:left w:val="none" w:sz="0" w:space="0" w:color="auto"/>
                    <w:bottom w:val="none" w:sz="0" w:space="0" w:color="auto"/>
                    <w:right w:val="none" w:sz="0" w:space="0" w:color="auto"/>
                  </w:divBdr>
                </w:div>
              </w:divsChild>
            </w:div>
            <w:div w:id="978151810">
              <w:marLeft w:val="0"/>
              <w:marRight w:val="0"/>
              <w:marTop w:val="0"/>
              <w:marBottom w:val="0"/>
              <w:divBdr>
                <w:top w:val="none" w:sz="0" w:space="0" w:color="auto"/>
                <w:left w:val="none" w:sz="0" w:space="0" w:color="auto"/>
                <w:bottom w:val="none" w:sz="0" w:space="0" w:color="auto"/>
                <w:right w:val="none" w:sz="0" w:space="0" w:color="auto"/>
              </w:divBdr>
              <w:divsChild>
                <w:div w:id="94196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19144">
          <w:marLeft w:val="0"/>
          <w:marRight w:val="0"/>
          <w:marTop w:val="0"/>
          <w:marBottom w:val="0"/>
          <w:divBdr>
            <w:top w:val="none" w:sz="0" w:space="0" w:color="auto"/>
            <w:left w:val="none" w:sz="0" w:space="0" w:color="auto"/>
            <w:bottom w:val="none" w:sz="0" w:space="0" w:color="auto"/>
            <w:right w:val="none" w:sz="0" w:space="0" w:color="auto"/>
          </w:divBdr>
          <w:divsChild>
            <w:div w:id="589581341">
              <w:marLeft w:val="0"/>
              <w:marRight w:val="0"/>
              <w:marTop w:val="0"/>
              <w:marBottom w:val="0"/>
              <w:divBdr>
                <w:top w:val="none" w:sz="0" w:space="0" w:color="auto"/>
                <w:left w:val="none" w:sz="0" w:space="0" w:color="auto"/>
                <w:bottom w:val="none" w:sz="0" w:space="0" w:color="auto"/>
                <w:right w:val="none" w:sz="0" w:space="0" w:color="auto"/>
              </w:divBdr>
              <w:divsChild>
                <w:div w:id="923299759">
                  <w:marLeft w:val="0"/>
                  <w:marRight w:val="0"/>
                  <w:marTop w:val="0"/>
                  <w:marBottom w:val="0"/>
                  <w:divBdr>
                    <w:top w:val="none" w:sz="0" w:space="0" w:color="auto"/>
                    <w:left w:val="none" w:sz="0" w:space="0" w:color="auto"/>
                    <w:bottom w:val="none" w:sz="0" w:space="0" w:color="auto"/>
                    <w:right w:val="none" w:sz="0" w:space="0" w:color="auto"/>
                  </w:divBdr>
                </w:div>
              </w:divsChild>
            </w:div>
            <w:div w:id="414325458">
              <w:marLeft w:val="0"/>
              <w:marRight w:val="0"/>
              <w:marTop w:val="0"/>
              <w:marBottom w:val="0"/>
              <w:divBdr>
                <w:top w:val="none" w:sz="0" w:space="0" w:color="auto"/>
                <w:left w:val="none" w:sz="0" w:space="0" w:color="auto"/>
                <w:bottom w:val="none" w:sz="0" w:space="0" w:color="auto"/>
                <w:right w:val="none" w:sz="0" w:space="0" w:color="auto"/>
              </w:divBdr>
              <w:divsChild>
                <w:div w:id="252709499">
                  <w:marLeft w:val="0"/>
                  <w:marRight w:val="0"/>
                  <w:marTop w:val="0"/>
                  <w:marBottom w:val="0"/>
                  <w:divBdr>
                    <w:top w:val="none" w:sz="0" w:space="0" w:color="auto"/>
                    <w:left w:val="none" w:sz="0" w:space="0" w:color="auto"/>
                    <w:bottom w:val="none" w:sz="0" w:space="0" w:color="auto"/>
                    <w:right w:val="none" w:sz="0" w:space="0" w:color="auto"/>
                  </w:divBdr>
                </w:div>
              </w:divsChild>
            </w:div>
            <w:div w:id="1657494478">
              <w:marLeft w:val="0"/>
              <w:marRight w:val="0"/>
              <w:marTop w:val="0"/>
              <w:marBottom w:val="0"/>
              <w:divBdr>
                <w:top w:val="none" w:sz="0" w:space="0" w:color="auto"/>
                <w:left w:val="none" w:sz="0" w:space="0" w:color="auto"/>
                <w:bottom w:val="none" w:sz="0" w:space="0" w:color="auto"/>
                <w:right w:val="none" w:sz="0" w:space="0" w:color="auto"/>
              </w:divBdr>
              <w:divsChild>
                <w:div w:id="176692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044121">
          <w:marLeft w:val="0"/>
          <w:marRight w:val="0"/>
          <w:marTop w:val="0"/>
          <w:marBottom w:val="0"/>
          <w:divBdr>
            <w:top w:val="none" w:sz="0" w:space="0" w:color="auto"/>
            <w:left w:val="none" w:sz="0" w:space="0" w:color="auto"/>
            <w:bottom w:val="none" w:sz="0" w:space="0" w:color="auto"/>
            <w:right w:val="none" w:sz="0" w:space="0" w:color="auto"/>
          </w:divBdr>
          <w:divsChild>
            <w:div w:id="502857774">
              <w:marLeft w:val="0"/>
              <w:marRight w:val="0"/>
              <w:marTop w:val="0"/>
              <w:marBottom w:val="0"/>
              <w:divBdr>
                <w:top w:val="none" w:sz="0" w:space="0" w:color="auto"/>
                <w:left w:val="none" w:sz="0" w:space="0" w:color="auto"/>
                <w:bottom w:val="none" w:sz="0" w:space="0" w:color="auto"/>
                <w:right w:val="none" w:sz="0" w:space="0" w:color="auto"/>
              </w:divBdr>
              <w:divsChild>
                <w:div w:id="162400461">
                  <w:marLeft w:val="0"/>
                  <w:marRight w:val="0"/>
                  <w:marTop w:val="0"/>
                  <w:marBottom w:val="0"/>
                  <w:divBdr>
                    <w:top w:val="none" w:sz="0" w:space="0" w:color="auto"/>
                    <w:left w:val="none" w:sz="0" w:space="0" w:color="auto"/>
                    <w:bottom w:val="none" w:sz="0" w:space="0" w:color="auto"/>
                    <w:right w:val="none" w:sz="0" w:space="0" w:color="auto"/>
                  </w:divBdr>
                </w:div>
              </w:divsChild>
            </w:div>
            <w:div w:id="1815950776">
              <w:marLeft w:val="0"/>
              <w:marRight w:val="0"/>
              <w:marTop w:val="0"/>
              <w:marBottom w:val="0"/>
              <w:divBdr>
                <w:top w:val="none" w:sz="0" w:space="0" w:color="auto"/>
                <w:left w:val="none" w:sz="0" w:space="0" w:color="auto"/>
                <w:bottom w:val="none" w:sz="0" w:space="0" w:color="auto"/>
                <w:right w:val="none" w:sz="0" w:space="0" w:color="auto"/>
              </w:divBdr>
              <w:divsChild>
                <w:div w:id="1736245744">
                  <w:marLeft w:val="0"/>
                  <w:marRight w:val="0"/>
                  <w:marTop w:val="0"/>
                  <w:marBottom w:val="0"/>
                  <w:divBdr>
                    <w:top w:val="none" w:sz="0" w:space="0" w:color="auto"/>
                    <w:left w:val="none" w:sz="0" w:space="0" w:color="auto"/>
                    <w:bottom w:val="none" w:sz="0" w:space="0" w:color="auto"/>
                    <w:right w:val="none" w:sz="0" w:space="0" w:color="auto"/>
                  </w:divBdr>
                </w:div>
              </w:divsChild>
            </w:div>
            <w:div w:id="1981958847">
              <w:marLeft w:val="0"/>
              <w:marRight w:val="0"/>
              <w:marTop w:val="0"/>
              <w:marBottom w:val="0"/>
              <w:divBdr>
                <w:top w:val="none" w:sz="0" w:space="0" w:color="auto"/>
                <w:left w:val="none" w:sz="0" w:space="0" w:color="auto"/>
                <w:bottom w:val="none" w:sz="0" w:space="0" w:color="auto"/>
                <w:right w:val="none" w:sz="0" w:space="0" w:color="auto"/>
              </w:divBdr>
              <w:divsChild>
                <w:div w:id="196981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503346">
          <w:marLeft w:val="0"/>
          <w:marRight w:val="0"/>
          <w:marTop w:val="0"/>
          <w:marBottom w:val="0"/>
          <w:divBdr>
            <w:top w:val="none" w:sz="0" w:space="0" w:color="auto"/>
            <w:left w:val="none" w:sz="0" w:space="0" w:color="auto"/>
            <w:bottom w:val="none" w:sz="0" w:space="0" w:color="auto"/>
            <w:right w:val="none" w:sz="0" w:space="0" w:color="auto"/>
          </w:divBdr>
          <w:divsChild>
            <w:div w:id="1269504903">
              <w:marLeft w:val="0"/>
              <w:marRight w:val="0"/>
              <w:marTop w:val="0"/>
              <w:marBottom w:val="0"/>
              <w:divBdr>
                <w:top w:val="none" w:sz="0" w:space="0" w:color="auto"/>
                <w:left w:val="none" w:sz="0" w:space="0" w:color="auto"/>
                <w:bottom w:val="none" w:sz="0" w:space="0" w:color="auto"/>
                <w:right w:val="none" w:sz="0" w:space="0" w:color="auto"/>
              </w:divBdr>
              <w:divsChild>
                <w:div w:id="819538629">
                  <w:marLeft w:val="0"/>
                  <w:marRight w:val="0"/>
                  <w:marTop w:val="0"/>
                  <w:marBottom w:val="0"/>
                  <w:divBdr>
                    <w:top w:val="none" w:sz="0" w:space="0" w:color="auto"/>
                    <w:left w:val="none" w:sz="0" w:space="0" w:color="auto"/>
                    <w:bottom w:val="none" w:sz="0" w:space="0" w:color="auto"/>
                    <w:right w:val="none" w:sz="0" w:space="0" w:color="auto"/>
                  </w:divBdr>
                </w:div>
              </w:divsChild>
            </w:div>
            <w:div w:id="1468552953">
              <w:marLeft w:val="0"/>
              <w:marRight w:val="0"/>
              <w:marTop w:val="0"/>
              <w:marBottom w:val="0"/>
              <w:divBdr>
                <w:top w:val="none" w:sz="0" w:space="0" w:color="auto"/>
                <w:left w:val="none" w:sz="0" w:space="0" w:color="auto"/>
                <w:bottom w:val="none" w:sz="0" w:space="0" w:color="auto"/>
                <w:right w:val="none" w:sz="0" w:space="0" w:color="auto"/>
              </w:divBdr>
              <w:divsChild>
                <w:div w:id="757215715">
                  <w:marLeft w:val="0"/>
                  <w:marRight w:val="0"/>
                  <w:marTop w:val="0"/>
                  <w:marBottom w:val="0"/>
                  <w:divBdr>
                    <w:top w:val="none" w:sz="0" w:space="0" w:color="auto"/>
                    <w:left w:val="none" w:sz="0" w:space="0" w:color="auto"/>
                    <w:bottom w:val="none" w:sz="0" w:space="0" w:color="auto"/>
                    <w:right w:val="none" w:sz="0" w:space="0" w:color="auto"/>
                  </w:divBdr>
                </w:div>
              </w:divsChild>
            </w:div>
            <w:div w:id="1128354586">
              <w:marLeft w:val="0"/>
              <w:marRight w:val="0"/>
              <w:marTop w:val="0"/>
              <w:marBottom w:val="0"/>
              <w:divBdr>
                <w:top w:val="none" w:sz="0" w:space="0" w:color="auto"/>
                <w:left w:val="none" w:sz="0" w:space="0" w:color="auto"/>
                <w:bottom w:val="none" w:sz="0" w:space="0" w:color="auto"/>
                <w:right w:val="none" w:sz="0" w:space="0" w:color="auto"/>
              </w:divBdr>
              <w:divsChild>
                <w:div w:id="81029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088245">
          <w:marLeft w:val="0"/>
          <w:marRight w:val="0"/>
          <w:marTop w:val="0"/>
          <w:marBottom w:val="0"/>
          <w:divBdr>
            <w:top w:val="none" w:sz="0" w:space="0" w:color="auto"/>
            <w:left w:val="none" w:sz="0" w:space="0" w:color="auto"/>
            <w:bottom w:val="none" w:sz="0" w:space="0" w:color="auto"/>
            <w:right w:val="none" w:sz="0" w:space="0" w:color="auto"/>
          </w:divBdr>
          <w:divsChild>
            <w:div w:id="663356049">
              <w:marLeft w:val="0"/>
              <w:marRight w:val="0"/>
              <w:marTop w:val="0"/>
              <w:marBottom w:val="0"/>
              <w:divBdr>
                <w:top w:val="none" w:sz="0" w:space="0" w:color="auto"/>
                <w:left w:val="none" w:sz="0" w:space="0" w:color="auto"/>
                <w:bottom w:val="none" w:sz="0" w:space="0" w:color="auto"/>
                <w:right w:val="none" w:sz="0" w:space="0" w:color="auto"/>
              </w:divBdr>
              <w:divsChild>
                <w:div w:id="1233075802">
                  <w:marLeft w:val="0"/>
                  <w:marRight w:val="0"/>
                  <w:marTop w:val="0"/>
                  <w:marBottom w:val="0"/>
                  <w:divBdr>
                    <w:top w:val="none" w:sz="0" w:space="0" w:color="auto"/>
                    <w:left w:val="none" w:sz="0" w:space="0" w:color="auto"/>
                    <w:bottom w:val="none" w:sz="0" w:space="0" w:color="auto"/>
                    <w:right w:val="none" w:sz="0" w:space="0" w:color="auto"/>
                  </w:divBdr>
                </w:div>
              </w:divsChild>
            </w:div>
            <w:div w:id="1840272512">
              <w:marLeft w:val="0"/>
              <w:marRight w:val="0"/>
              <w:marTop w:val="0"/>
              <w:marBottom w:val="0"/>
              <w:divBdr>
                <w:top w:val="none" w:sz="0" w:space="0" w:color="auto"/>
                <w:left w:val="none" w:sz="0" w:space="0" w:color="auto"/>
                <w:bottom w:val="none" w:sz="0" w:space="0" w:color="auto"/>
                <w:right w:val="none" w:sz="0" w:space="0" w:color="auto"/>
              </w:divBdr>
              <w:divsChild>
                <w:div w:id="1780952167">
                  <w:marLeft w:val="0"/>
                  <w:marRight w:val="0"/>
                  <w:marTop w:val="0"/>
                  <w:marBottom w:val="0"/>
                  <w:divBdr>
                    <w:top w:val="none" w:sz="0" w:space="0" w:color="auto"/>
                    <w:left w:val="none" w:sz="0" w:space="0" w:color="auto"/>
                    <w:bottom w:val="none" w:sz="0" w:space="0" w:color="auto"/>
                    <w:right w:val="none" w:sz="0" w:space="0" w:color="auto"/>
                  </w:divBdr>
                </w:div>
              </w:divsChild>
            </w:div>
            <w:div w:id="451020218">
              <w:marLeft w:val="0"/>
              <w:marRight w:val="0"/>
              <w:marTop w:val="0"/>
              <w:marBottom w:val="0"/>
              <w:divBdr>
                <w:top w:val="none" w:sz="0" w:space="0" w:color="auto"/>
                <w:left w:val="none" w:sz="0" w:space="0" w:color="auto"/>
                <w:bottom w:val="none" w:sz="0" w:space="0" w:color="auto"/>
                <w:right w:val="none" w:sz="0" w:space="0" w:color="auto"/>
              </w:divBdr>
              <w:divsChild>
                <w:div w:id="109170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521088">
          <w:marLeft w:val="0"/>
          <w:marRight w:val="0"/>
          <w:marTop w:val="0"/>
          <w:marBottom w:val="0"/>
          <w:divBdr>
            <w:top w:val="none" w:sz="0" w:space="0" w:color="auto"/>
            <w:left w:val="none" w:sz="0" w:space="0" w:color="auto"/>
            <w:bottom w:val="none" w:sz="0" w:space="0" w:color="auto"/>
            <w:right w:val="none" w:sz="0" w:space="0" w:color="auto"/>
          </w:divBdr>
          <w:divsChild>
            <w:div w:id="981495385">
              <w:marLeft w:val="0"/>
              <w:marRight w:val="0"/>
              <w:marTop w:val="0"/>
              <w:marBottom w:val="0"/>
              <w:divBdr>
                <w:top w:val="none" w:sz="0" w:space="0" w:color="auto"/>
                <w:left w:val="none" w:sz="0" w:space="0" w:color="auto"/>
                <w:bottom w:val="none" w:sz="0" w:space="0" w:color="auto"/>
                <w:right w:val="none" w:sz="0" w:space="0" w:color="auto"/>
              </w:divBdr>
              <w:divsChild>
                <w:div w:id="1110971255">
                  <w:marLeft w:val="0"/>
                  <w:marRight w:val="0"/>
                  <w:marTop w:val="0"/>
                  <w:marBottom w:val="0"/>
                  <w:divBdr>
                    <w:top w:val="none" w:sz="0" w:space="0" w:color="auto"/>
                    <w:left w:val="none" w:sz="0" w:space="0" w:color="auto"/>
                    <w:bottom w:val="none" w:sz="0" w:space="0" w:color="auto"/>
                    <w:right w:val="none" w:sz="0" w:space="0" w:color="auto"/>
                  </w:divBdr>
                </w:div>
              </w:divsChild>
            </w:div>
            <w:div w:id="154997138">
              <w:marLeft w:val="0"/>
              <w:marRight w:val="0"/>
              <w:marTop w:val="0"/>
              <w:marBottom w:val="0"/>
              <w:divBdr>
                <w:top w:val="none" w:sz="0" w:space="0" w:color="auto"/>
                <w:left w:val="none" w:sz="0" w:space="0" w:color="auto"/>
                <w:bottom w:val="none" w:sz="0" w:space="0" w:color="auto"/>
                <w:right w:val="none" w:sz="0" w:space="0" w:color="auto"/>
              </w:divBdr>
              <w:divsChild>
                <w:div w:id="1670518369">
                  <w:marLeft w:val="0"/>
                  <w:marRight w:val="0"/>
                  <w:marTop w:val="0"/>
                  <w:marBottom w:val="0"/>
                  <w:divBdr>
                    <w:top w:val="none" w:sz="0" w:space="0" w:color="auto"/>
                    <w:left w:val="none" w:sz="0" w:space="0" w:color="auto"/>
                    <w:bottom w:val="none" w:sz="0" w:space="0" w:color="auto"/>
                    <w:right w:val="none" w:sz="0" w:space="0" w:color="auto"/>
                  </w:divBdr>
                </w:div>
              </w:divsChild>
            </w:div>
            <w:div w:id="2139250914">
              <w:marLeft w:val="0"/>
              <w:marRight w:val="0"/>
              <w:marTop w:val="0"/>
              <w:marBottom w:val="0"/>
              <w:divBdr>
                <w:top w:val="none" w:sz="0" w:space="0" w:color="auto"/>
                <w:left w:val="none" w:sz="0" w:space="0" w:color="auto"/>
                <w:bottom w:val="none" w:sz="0" w:space="0" w:color="auto"/>
                <w:right w:val="none" w:sz="0" w:space="0" w:color="auto"/>
              </w:divBdr>
              <w:divsChild>
                <w:div w:id="49298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898806">
          <w:marLeft w:val="0"/>
          <w:marRight w:val="0"/>
          <w:marTop w:val="0"/>
          <w:marBottom w:val="0"/>
          <w:divBdr>
            <w:top w:val="none" w:sz="0" w:space="0" w:color="auto"/>
            <w:left w:val="none" w:sz="0" w:space="0" w:color="auto"/>
            <w:bottom w:val="none" w:sz="0" w:space="0" w:color="auto"/>
            <w:right w:val="none" w:sz="0" w:space="0" w:color="auto"/>
          </w:divBdr>
          <w:divsChild>
            <w:div w:id="1584339435">
              <w:marLeft w:val="0"/>
              <w:marRight w:val="0"/>
              <w:marTop w:val="0"/>
              <w:marBottom w:val="0"/>
              <w:divBdr>
                <w:top w:val="none" w:sz="0" w:space="0" w:color="auto"/>
                <w:left w:val="none" w:sz="0" w:space="0" w:color="auto"/>
                <w:bottom w:val="none" w:sz="0" w:space="0" w:color="auto"/>
                <w:right w:val="none" w:sz="0" w:space="0" w:color="auto"/>
              </w:divBdr>
              <w:divsChild>
                <w:div w:id="113984909">
                  <w:marLeft w:val="0"/>
                  <w:marRight w:val="0"/>
                  <w:marTop w:val="0"/>
                  <w:marBottom w:val="0"/>
                  <w:divBdr>
                    <w:top w:val="none" w:sz="0" w:space="0" w:color="auto"/>
                    <w:left w:val="none" w:sz="0" w:space="0" w:color="auto"/>
                    <w:bottom w:val="none" w:sz="0" w:space="0" w:color="auto"/>
                    <w:right w:val="none" w:sz="0" w:space="0" w:color="auto"/>
                  </w:divBdr>
                </w:div>
              </w:divsChild>
            </w:div>
            <w:div w:id="2123111234">
              <w:marLeft w:val="0"/>
              <w:marRight w:val="0"/>
              <w:marTop w:val="0"/>
              <w:marBottom w:val="0"/>
              <w:divBdr>
                <w:top w:val="none" w:sz="0" w:space="0" w:color="auto"/>
                <w:left w:val="none" w:sz="0" w:space="0" w:color="auto"/>
                <w:bottom w:val="none" w:sz="0" w:space="0" w:color="auto"/>
                <w:right w:val="none" w:sz="0" w:space="0" w:color="auto"/>
              </w:divBdr>
              <w:divsChild>
                <w:div w:id="1324234993">
                  <w:marLeft w:val="0"/>
                  <w:marRight w:val="0"/>
                  <w:marTop w:val="0"/>
                  <w:marBottom w:val="0"/>
                  <w:divBdr>
                    <w:top w:val="none" w:sz="0" w:space="0" w:color="auto"/>
                    <w:left w:val="none" w:sz="0" w:space="0" w:color="auto"/>
                    <w:bottom w:val="none" w:sz="0" w:space="0" w:color="auto"/>
                    <w:right w:val="none" w:sz="0" w:space="0" w:color="auto"/>
                  </w:divBdr>
                </w:div>
              </w:divsChild>
            </w:div>
            <w:div w:id="1484661832">
              <w:marLeft w:val="0"/>
              <w:marRight w:val="0"/>
              <w:marTop w:val="0"/>
              <w:marBottom w:val="0"/>
              <w:divBdr>
                <w:top w:val="none" w:sz="0" w:space="0" w:color="auto"/>
                <w:left w:val="none" w:sz="0" w:space="0" w:color="auto"/>
                <w:bottom w:val="none" w:sz="0" w:space="0" w:color="auto"/>
                <w:right w:val="none" w:sz="0" w:space="0" w:color="auto"/>
              </w:divBdr>
              <w:divsChild>
                <w:div w:id="8670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917584">
          <w:marLeft w:val="0"/>
          <w:marRight w:val="0"/>
          <w:marTop w:val="0"/>
          <w:marBottom w:val="0"/>
          <w:divBdr>
            <w:top w:val="none" w:sz="0" w:space="0" w:color="auto"/>
            <w:left w:val="none" w:sz="0" w:space="0" w:color="auto"/>
            <w:bottom w:val="none" w:sz="0" w:space="0" w:color="auto"/>
            <w:right w:val="none" w:sz="0" w:space="0" w:color="auto"/>
          </w:divBdr>
          <w:divsChild>
            <w:div w:id="696127336">
              <w:marLeft w:val="0"/>
              <w:marRight w:val="0"/>
              <w:marTop w:val="0"/>
              <w:marBottom w:val="0"/>
              <w:divBdr>
                <w:top w:val="none" w:sz="0" w:space="0" w:color="auto"/>
                <w:left w:val="none" w:sz="0" w:space="0" w:color="auto"/>
                <w:bottom w:val="none" w:sz="0" w:space="0" w:color="auto"/>
                <w:right w:val="none" w:sz="0" w:space="0" w:color="auto"/>
              </w:divBdr>
              <w:divsChild>
                <w:div w:id="228031027">
                  <w:marLeft w:val="0"/>
                  <w:marRight w:val="0"/>
                  <w:marTop w:val="0"/>
                  <w:marBottom w:val="0"/>
                  <w:divBdr>
                    <w:top w:val="none" w:sz="0" w:space="0" w:color="auto"/>
                    <w:left w:val="none" w:sz="0" w:space="0" w:color="auto"/>
                    <w:bottom w:val="none" w:sz="0" w:space="0" w:color="auto"/>
                    <w:right w:val="none" w:sz="0" w:space="0" w:color="auto"/>
                  </w:divBdr>
                </w:div>
              </w:divsChild>
            </w:div>
            <w:div w:id="1457869004">
              <w:marLeft w:val="0"/>
              <w:marRight w:val="0"/>
              <w:marTop w:val="0"/>
              <w:marBottom w:val="0"/>
              <w:divBdr>
                <w:top w:val="none" w:sz="0" w:space="0" w:color="auto"/>
                <w:left w:val="none" w:sz="0" w:space="0" w:color="auto"/>
                <w:bottom w:val="none" w:sz="0" w:space="0" w:color="auto"/>
                <w:right w:val="none" w:sz="0" w:space="0" w:color="auto"/>
              </w:divBdr>
              <w:divsChild>
                <w:div w:id="29164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68436749">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882286202">
      <w:bodyDiv w:val="1"/>
      <w:marLeft w:val="0"/>
      <w:marRight w:val="0"/>
      <w:marTop w:val="0"/>
      <w:marBottom w:val="0"/>
      <w:divBdr>
        <w:top w:val="none" w:sz="0" w:space="0" w:color="auto"/>
        <w:left w:val="none" w:sz="0" w:space="0" w:color="auto"/>
        <w:bottom w:val="none" w:sz="0" w:space="0" w:color="auto"/>
        <w:right w:val="none" w:sz="0" w:space="0" w:color="auto"/>
      </w:divBdr>
      <w:divsChild>
        <w:div w:id="583954109">
          <w:marLeft w:val="0"/>
          <w:marRight w:val="0"/>
          <w:marTop w:val="0"/>
          <w:marBottom w:val="0"/>
          <w:divBdr>
            <w:top w:val="none" w:sz="0" w:space="0" w:color="auto"/>
            <w:left w:val="none" w:sz="0" w:space="0" w:color="auto"/>
            <w:bottom w:val="none" w:sz="0" w:space="0" w:color="auto"/>
            <w:right w:val="none" w:sz="0" w:space="0" w:color="auto"/>
          </w:divBdr>
          <w:divsChild>
            <w:div w:id="477459096">
              <w:marLeft w:val="0"/>
              <w:marRight w:val="0"/>
              <w:marTop w:val="0"/>
              <w:marBottom w:val="0"/>
              <w:divBdr>
                <w:top w:val="none" w:sz="0" w:space="0" w:color="auto"/>
                <w:left w:val="none" w:sz="0" w:space="0" w:color="auto"/>
                <w:bottom w:val="none" w:sz="0" w:space="0" w:color="auto"/>
                <w:right w:val="none" w:sz="0" w:space="0" w:color="auto"/>
              </w:divBdr>
              <w:divsChild>
                <w:div w:id="312487910">
                  <w:marLeft w:val="0"/>
                  <w:marRight w:val="0"/>
                  <w:marTop w:val="0"/>
                  <w:marBottom w:val="0"/>
                  <w:divBdr>
                    <w:top w:val="none" w:sz="0" w:space="0" w:color="auto"/>
                    <w:left w:val="none" w:sz="0" w:space="0" w:color="auto"/>
                    <w:bottom w:val="none" w:sz="0" w:space="0" w:color="auto"/>
                    <w:right w:val="none" w:sz="0" w:space="0" w:color="auto"/>
                  </w:divBdr>
                </w:div>
              </w:divsChild>
            </w:div>
            <w:div w:id="134837133">
              <w:marLeft w:val="0"/>
              <w:marRight w:val="0"/>
              <w:marTop w:val="0"/>
              <w:marBottom w:val="0"/>
              <w:divBdr>
                <w:top w:val="none" w:sz="0" w:space="0" w:color="auto"/>
                <w:left w:val="none" w:sz="0" w:space="0" w:color="auto"/>
                <w:bottom w:val="none" w:sz="0" w:space="0" w:color="auto"/>
                <w:right w:val="none" w:sz="0" w:space="0" w:color="auto"/>
              </w:divBdr>
              <w:divsChild>
                <w:div w:id="148381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357735">
          <w:marLeft w:val="0"/>
          <w:marRight w:val="0"/>
          <w:marTop w:val="0"/>
          <w:marBottom w:val="0"/>
          <w:divBdr>
            <w:top w:val="none" w:sz="0" w:space="0" w:color="auto"/>
            <w:left w:val="none" w:sz="0" w:space="0" w:color="auto"/>
            <w:bottom w:val="none" w:sz="0" w:space="0" w:color="auto"/>
            <w:right w:val="none" w:sz="0" w:space="0" w:color="auto"/>
          </w:divBdr>
          <w:divsChild>
            <w:div w:id="13117339">
              <w:marLeft w:val="0"/>
              <w:marRight w:val="0"/>
              <w:marTop w:val="0"/>
              <w:marBottom w:val="0"/>
              <w:divBdr>
                <w:top w:val="none" w:sz="0" w:space="0" w:color="auto"/>
                <w:left w:val="none" w:sz="0" w:space="0" w:color="auto"/>
                <w:bottom w:val="none" w:sz="0" w:space="0" w:color="auto"/>
                <w:right w:val="none" w:sz="0" w:space="0" w:color="auto"/>
              </w:divBdr>
              <w:divsChild>
                <w:div w:id="37778887">
                  <w:marLeft w:val="0"/>
                  <w:marRight w:val="0"/>
                  <w:marTop w:val="0"/>
                  <w:marBottom w:val="0"/>
                  <w:divBdr>
                    <w:top w:val="none" w:sz="0" w:space="0" w:color="auto"/>
                    <w:left w:val="none" w:sz="0" w:space="0" w:color="auto"/>
                    <w:bottom w:val="none" w:sz="0" w:space="0" w:color="auto"/>
                    <w:right w:val="none" w:sz="0" w:space="0" w:color="auto"/>
                  </w:divBdr>
                </w:div>
              </w:divsChild>
            </w:div>
            <w:div w:id="1351106422">
              <w:marLeft w:val="0"/>
              <w:marRight w:val="0"/>
              <w:marTop w:val="0"/>
              <w:marBottom w:val="0"/>
              <w:divBdr>
                <w:top w:val="none" w:sz="0" w:space="0" w:color="auto"/>
                <w:left w:val="none" w:sz="0" w:space="0" w:color="auto"/>
                <w:bottom w:val="none" w:sz="0" w:space="0" w:color="auto"/>
                <w:right w:val="none" w:sz="0" w:space="0" w:color="auto"/>
              </w:divBdr>
              <w:divsChild>
                <w:div w:id="198287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
    <b:Tag>Jor86</b:Tag>
    <b:SourceType>Book</b:SourceType>
    <b:Guid>{3B277F3E-8D46-4EA1-965F-E4FB25C24436}</b:Guid>
    <b:Title>Seven Nights</b:Title>
    <b:Year>1986</b:Year>
    <b:City>London</b:City>
    <b:Publisher>Faber</b:Publisher>
    <b:Author>
      <b:Author>
        <b:NameList>
          <b:Person>
            <b:Last>Borges</b:Last>
            <b:First>Jorge</b:First>
            <b:Middle>Luis</b:Middle>
          </b:Person>
        </b:NameList>
      </b:Author>
    </b:Author>
    <b:RefOrder>1</b:RefOrder>
  </b:Source>
  <b:Source>
    <b:Tag>Bya00</b:Tag>
    <b:SourceType>BookSection</b:SourceType>
    <b:Guid>{0B2C2A03-C693-48A5-867E-175D9E4F1A89}</b:Guid>
    <b:Author>
      <b:Author>
        <b:NameList>
          <b:Person>
            <b:Last>Byatt</b:Last>
            <b:First>A.S.</b:First>
          </b:Person>
        </b:NameList>
      </b:Author>
      <b:BookAuthor>
        <b:NameList>
          <b:Person>
            <b:Last>Byatt</b:Last>
            <b:First>A.S.</b:First>
          </b:Person>
        </b:NameList>
      </b:BookAuthor>
    </b:Author>
    <b:Title>The Greatest Story Ever Told</b:Title>
    <b:Year>2000</b:Year>
    <b:City>London</b:City>
    <b:Publisher>Chatto &amp; Windus</b:Publisher>
    <b:BookTitle>On histories and stories: selected essays</b:BookTitle>
    <b:RefOrder>2</b:RefOrder>
  </b:Source>
  <b:Source>
    <b:Tag>Mar04</b:Tag>
    <b:SourceType>Book</b:SourceType>
    <b:Guid>{BC5A7BEA-300F-4403-968F-A600A381B157}</b:Guid>
    <b:Author>
      <b:Author>
        <b:NameList>
          <b:Person>
            <b:Last>Marzolph</b:Last>
            <b:First>Ulrich</b:First>
          </b:Person>
          <b:Person>
            <b:Last>Leeuwen</b:Last>
            <b:First>Richard</b:First>
            <b:Middle>van</b:Middle>
          </b:Person>
        </b:NameList>
      </b:Author>
    </b:Author>
    <b:Title>The Arabian Nights Encyclopedia</b:Title>
    <b:Year>2004</b:Year>
    <b:City>Santa Barbara, CA</b:City>
    <b:Publisher>ABC-CLIO</b:Publisher>
    <b:RefOrder>3</b:RefOrder>
  </b:Source>
  <b:Source>
    <b:Tag>Rob04</b:Tag>
    <b:SourceType>Book</b:SourceType>
    <b:Guid>{4F4EE535-7F49-47C4-84A4-FF21E1F3822F}</b:Guid>
    <b:Author>
      <b:Author>
        <b:NameList>
          <b:Person>
            <b:Last>Irwin</b:Last>
            <b:First>Robert</b:First>
          </b:Person>
        </b:NameList>
      </b:Author>
    </b:Author>
    <b:Title>The Arabian Nights: a companion</b:Title>
    <b:Year>2004</b:Year>
    <b:City>London</b:City>
    <b:Publisher>I.B. Tauris</b:Publisher>
    <b:RefOrder>4</b:RefOrder>
  </b:Source>
  <b:Source>
    <b:Tag>Fer96</b:Tag>
    <b:SourceType>Book</b:SourceType>
    <b:Guid>{4AD589DA-5249-444F-9F27-999B3388195D}</b:Guid>
    <b:Author>
      <b:Author>
        <b:NameList>
          <b:Person>
            <b:Last>Ghazoul</b:Last>
            <b:First>Ferial</b:First>
            <b:Middle>J.</b:Middle>
          </b:Person>
        </b:NameList>
      </b:Author>
    </b:Author>
    <b:Title>Nocturnal Poetics: The Arabian Nights in comparitive context</b:Title>
    <b:Year>1996</b:Year>
    <b:City>Cairo</b:City>
    <b:Publisher>University in Cairo Press</b:Publisher>
    <b:RefOrder>5</b:RefOrder>
  </b:Source>
  <b:Source>
    <b:Tag>Rob95</b:Tag>
    <b:SourceType>Book</b:SourceType>
    <b:Guid>{3E52CAFD-2244-441B-9B0C-A195BD238F24}</b:Guid>
    <b:Author>
      <b:Author>
        <b:NameList>
          <b:Person>
            <b:Last>Mack</b:Last>
            <b:First>Robert</b:First>
            <b:Middle>L.</b:Middle>
          </b:Person>
        </b:NameList>
      </b:Author>
    </b:Author>
    <b:Title>Arabian Nights' Entertainments</b:Title>
    <b:Year>1995</b:Year>
    <b:City>Oxford</b:City>
    <b:Publisher>Oxford University Press</b:Publisher>
    <b:RefOrder>6</b:RefOrder>
  </b:Source>
  <b:Source>
    <b:Tag>Wen03</b:Tag>
    <b:SourceType>ArticleInAPeriodical</b:SourceType>
    <b:Guid>{31FCDE72-84DD-4210-B4A7-63FE41E2B845}</b:Guid>
    <b:Title>Metamorphoses of Scheherazade in Literature and Film</b:Title>
    <b:Year>2003</b:Year>
    <b:Author>
      <b:Author>
        <b:NameList>
          <b:Person>
            <b:Last>Ouyang</b:Last>
            <b:First>Wen-Chin</b:First>
          </b:Person>
        </b:NameList>
      </b:Author>
    </b:Author>
    <b:PeriodicalTitle>Bulletin of the School of Oriental and African Studies, University of London</b:PeriodicalTitle>
    <b:Month>Vol. 66</b:Month>
    <b:Day>No. 3</b:Day>
    <b:Pages>402-418</b:Pages>
    <b:RefOrder>7</b:RefOrder>
  </b:Source>
  <b:Source>
    <b:Tag>Ann02</b:Tag>
    <b:SourceType>Book</b:SourceType>
    <b:Guid>{BDE1EE2B-6025-4E44-905B-4398B064FE8F}</b:Guid>
    <b:Title>British Discovery Literature and the Rise of Global Commerce</b:Title>
    <b:Year>2002</b:Year>
    <b:Author>
      <b:Author>
        <b:NameList>
          <b:Person>
            <b:Last>Neil</b:Last>
            <b:First>Anna</b:First>
          </b:Person>
        </b:NameList>
      </b:Author>
    </b:Author>
    <b:City>Basingstoke</b:City>
    <b:Publisher>Palgrave</b:Publisher>
    <b:RefOrder>8</b:RefOrder>
  </b:Source>
  <b:Source>
    <b:Tag>Jor99</b:Tag>
    <b:SourceType>BookSection</b:SourceType>
    <b:Guid>{546E3775-325D-4C8A-815E-A44DF06DA1EB}</b:Guid>
    <b:Title>Translators of 'The Thousand and One Nights'</b:Title>
    <b:Year>1999</b:Year>
    <b:City>London</b:City>
    <b:Publisher>Penguin</b:Publisher>
    <b:Author>
      <b:Author>
        <b:NameList>
          <b:Person>
            <b:Last>Borges</b:Last>
            <b:First>Jorge</b:First>
            <b:Middle>Luis</b:Middle>
          </b:Person>
        </b:NameList>
      </b:Author>
      <b:BookAuthor>
        <b:NameList>
          <b:Person>
            <b:Last>Weinberger</b:Last>
            <b:First>Eliot</b:First>
          </b:Person>
        </b:NameList>
      </b:BookAuthor>
    </b:Author>
    <b:BookTitle>The Total Library: non-fiction 1922-1986</b:BookTitle>
    <b:RefOrder>9</b:RefOrder>
  </b:Source>
  <b:Source>
    <b:Tag>Ran86</b:Tag>
    <b:SourceType>Book</b:SourceType>
    <b:Guid>{795A7197-0366-4E8C-838F-B43B0F06A84D}</b:Guid>
    <b:Title>Europe's myths of the Orient: devise and rule</b:Title>
    <b:Year>1986</b:Year>
    <b:City>Basingstoke</b:City>
    <b:Publisher>Macmillan</b:Publisher>
    <b:Author>
      <b:Author>
        <b:NameList>
          <b:Person>
            <b:Last>Kabbani</b:Last>
            <b:First>Rana</b:First>
          </b:Person>
        </b:NameList>
      </b:Author>
    </b:Author>
    <b:RefOrder>10</b:RefOrder>
  </b:Source>
  <b:Source>
    <b:Tag>Sir97</b:Tag>
    <b:SourceType>Book</b:SourceType>
    <b:Guid>{7B6720B4-4FA3-4C54-8FFD-780CF58F53DB}</b:Guid>
    <b:Author>
      <b:Author>
        <b:NameList>
          <b:Person>
            <b:Last>Burton</b:Last>
            <b:First>Sir</b:First>
            <b:Middle>Richard F.</b:Middle>
          </b:Person>
          <b:Person>
            <b:Last>Zipes</b:Last>
            <b:First>Jack</b:First>
          </b:Person>
        </b:NameList>
      </b:Author>
    </b:Author>
    <b:Title>Arabian Nights: A Selection</b:Title>
    <b:Year>1997</b:Year>
    <b:City>London</b:City>
    <b:Publisher>Penguin</b:Publisher>
    <b:RefOrder>11</b:RefOrder>
  </b:Source>
</b:Sources>
</file>

<file path=customXml/itemProps1.xml><?xml version="1.0" encoding="utf-8"?>
<ds:datastoreItem xmlns:ds="http://schemas.openxmlformats.org/officeDocument/2006/customXml" ds:itemID="{C812B3CB-AC8D-3149-A353-5B5BA1067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2990</Words>
  <Characters>17048</Characters>
  <Application>Microsoft Office Word</Application>
  <DocSecurity>0</DocSecurity>
  <Lines>142</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Sundsbo, Katrine</dc:creator>
  <cp:keywords/>
  <dc:description/>
  <cp:lastModifiedBy>Kalatzi Pantera, Dafni</cp:lastModifiedBy>
  <cp:revision>2</cp:revision>
  <dcterms:created xsi:type="dcterms:W3CDTF">2022-06-09T13:57:00Z</dcterms:created>
  <dcterms:modified xsi:type="dcterms:W3CDTF">2022-06-09T13:57:00Z</dcterms:modified>
</cp:coreProperties>
</file>