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AF577" w14:textId="133D5799" w:rsidR="00EF3A2B" w:rsidRPr="00530F48" w:rsidRDefault="0036695E" w:rsidP="00530F48">
      <w:pPr>
        <w:pBdr>
          <w:bottom w:val="single" w:sz="4" w:space="1" w:color="auto"/>
        </w:pBdr>
        <w:tabs>
          <w:tab w:val="right" w:pos="9026"/>
        </w:tabs>
        <w:spacing w:before="120" w:after="120" w:line="360" w:lineRule="auto"/>
        <w:jc w:val="both"/>
        <w:rPr>
          <w:rFonts w:ascii="Sylfaen" w:hAnsi="Sylfaen"/>
          <w:i/>
          <w:color w:val="000000" w:themeColor="text1"/>
        </w:rPr>
      </w:pPr>
      <w:r w:rsidRPr="00530F48">
        <w:rPr>
          <w:rFonts w:ascii="Sylfaen" w:hAnsi="Sylfaen"/>
          <w:i/>
          <w:color w:val="000000" w:themeColor="text1"/>
        </w:rPr>
        <w:t>Essay</w:t>
      </w:r>
      <w:r w:rsidR="00990D5E" w:rsidRPr="00530F48">
        <w:rPr>
          <w:rFonts w:ascii="Sylfaen" w:hAnsi="Sylfaen"/>
          <w:i/>
          <w:color w:val="000000" w:themeColor="text1"/>
        </w:rPr>
        <w:t xml:space="preserve"> </w:t>
      </w:r>
      <w:r w:rsidR="00A538B5" w:rsidRPr="00530F48">
        <w:rPr>
          <w:rFonts w:ascii="Sylfaen" w:hAnsi="Sylfaen"/>
          <w:i/>
          <w:color w:val="000000" w:themeColor="text1"/>
        </w:rPr>
        <w:tab/>
      </w:r>
    </w:p>
    <w:p w14:paraId="2B66609E" w14:textId="77777777" w:rsidR="007E748D" w:rsidRPr="006913FB" w:rsidRDefault="007E748D" w:rsidP="007E748D">
      <w:pPr>
        <w:jc w:val="both"/>
        <w:rPr>
          <w:rFonts w:ascii="Adobe Garamond Pro" w:hAnsi="Adobe Garamond Pro"/>
          <w:b/>
          <w:sz w:val="32"/>
          <w:szCs w:val="32"/>
        </w:rPr>
      </w:pPr>
      <w:r w:rsidRPr="006913FB">
        <w:rPr>
          <w:rFonts w:ascii="Adobe Garamond Pro" w:hAnsi="Adobe Garamond Pro"/>
          <w:b/>
          <w:sz w:val="32"/>
          <w:szCs w:val="32"/>
        </w:rPr>
        <w:t>A Post-Great Recession Mandate for the Bank of England</w:t>
      </w:r>
    </w:p>
    <w:p w14:paraId="1F60613D" w14:textId="200B31BA" w:rsidR="00974F46" w:rsidRPr="00530F48" w:rsidRDefault="007E748D" w:rsidP="00530F48">
      <w:pPr>
        <w:tabs>
          <w:tab w:val="right" w:pos="9026"/>
        </w:tabs>
        <w:spacing w:before="120" w:after="120" w:line="360" w:lineRule="auto"/>
        <w:jc w:val="both"/>
        <w:rPr>
          <w:rFonts w:ascii="Sylfaen" w:hAnsi="Sylfaen"/>
          <w:color w:val="000000" w:themeColor="text1"/>
        </w:rPr>
      </w:pPr>
      <w:r>
        <w:rPr>
          <w:rFonts w:ascii="Sylfaen" w:hAnsi="Sylfaen"/>
          <w:color w:val="000000" w:themeColor="text1"/>
        </w:rPr>
        <w:t>Richard Wade</w:t>
      </w:r>
    </w:p>
    <w:p w14:paraId="2A35EB5D" w14:textId="2FAD1DE3" w:rsidR="002B247D" w:rsidRPr="00530F48" w:rsidRDefault="002B247D" w:rsidP="00530F48">
      <w:pPr>
        <w:tabs>
          <w:tab w:val="right" w:pos="9026"/>
        </w:tabs>
        <w:spacing w:before="120" w:after="120" w:line="360" w:lineRule="auto"/>
        <w:jc w:val="both"/>
        <w:rPr>
          <w:rFonts w:ascii="Sylfaen" w:hAnsi="Sylfaen"/>
          <w:color w:val="000000" w:themeColor="text1"/>
        </w:rPr>
      </w:pPr>
      <w:r w:rsidRPr="00530F48">
        <w:rPr>
          <w:rFonts w:ascii="Sylfaen" w:hAnsi="Sylfaen"/>
          <w:color w:val="000000" w:themeColor="text1"/>
        </w:rPr>
        <w:t>University of Essex</w:t>
      </w:r>
      <w:r w:rsidR="00FE5E51">
        <w:rPr>
          <w:rFonts w:ascii="Sylfaen" w:hAnsi="Sylfaen"/>
          <w:noProof/>
          <w:color w:val="000000" w:themeColor="text1"/>
        </w:rPr>
        <w:pict w14:anchorId="3822677C">
          <v:rect id="_x0000_i1025" alt="" style="width:451.3pt;height:.05pt;mso-width-percent:0;mso-height-percent:0;mso-width-percent:0;mso-height-percent:0" o:hralign="center" o:hrstd="t" o:hr="t" fillcolor="#a0a0a0" stroked="f"/>
        </w:pict>
      </w:r>
    </w:p>
    <w:p w14:paraId="42AE1F70" w14:textId="2FC6B69C" w:rsidR="00240FC1" w:rsidRPr="00530F48" w:rsidRDefault="00331418" w:rsidP="00530F48">
      <w:pPr>
        <w:pStyle w:val="Heading1"/>
        <w:tabs>
          <w:tab w:val="right" w:pos="9026"/>
        </w:tabs>
        <w:spacing w:before="120" w:after="120" w:line="360" w:lineRule="auto"/>
        <w:jc w:val="both"/>
        <w:rPr>
          <w:rFonts w:ascii="Sylfaen" w:hAnsi="Sylfaen"/>
          <w:b/>
          <w:color w:val="000000" w:themeColor="text1"/>
          <w:sz w:val="22"/>
          <w:szCs w:val="22"/>
        </w:rPr>
      </w:pPr>
      <w:r w:rsidRPr="00530F48">
        <w:rPr>
          <w:rFonts w:ascii="Sylfaen" w:hAnsi="Sylfaen"/>
          <w:b/>
          <w:color w:val="000000" w:themeColor="text1"/>
          <w:sz w:val="22"/>
          <w:szCs w:val="22"/>
        </w:rPr>
        <w:t>Abstract</w:t>
      </w:r>
    </w:p>
    <w:p w14:paraId="4DB8C529" w14:textId="77777777" w:rsidR="00377E4F" w:rsidRPr="00530F48" w:rsidRDefault="00377E4F" w:rsidP="00530F48">
      <w:pPr>
        <w:tabs>
          <w:tab w:val="right" w:pos="9026"/>
        </w:tabs>
        <w:spacing w:before="120" w:after="120" w:line="360" w:lineRule="auto"/>
        <w:ind w:right="-46"/>
        <w:jc w:val="both"/>
        <w:rPr>
          <w:rFonts w:ascii="Sylfaen" w:hAnsi="Sylfaen"/>
          <w:color w:val="000000" w:themeColor="text1"/>
        </w:rPr>
      </w:pPr>
      <w:r w:rsidRPr="00530F48">
        <w:rPr>
          <w:rFonts w:ascii="Sylfaen" w:hAnsi="Sylfaen"/>
          <w:color w:val="000000" w:themeColor="text1"/>
        </w:rPr>
        <w:t>This paper argues that, in light of the 2007-10 economic difficulties, a regime of inflation targeting alone no longer constitutes a sufficiently robust macroeconomic policy framework to make successful economic outcomes in Britain likely.  Inflated asset prices that were not indicated by standard inflation indices were a feature of the lead up to the crisis, and also one of its major causes.  Excessive growth in the financial system and a consequent increase in the quantity of money, broadly defined, is usually the first indication of an upcoming boom in asset prices.  This was also the case in previous asset price booms in 1972-73 and 1986-89.  In light of this and the returning of banking supervision powers to the Bank of England, this article advocates a corollary to the existing inflation target mandate from Parliament calling on the Bank to ‘ensure sustainable growth in the banking system’.  It is hoped that this would lead to the monetary authorities putting more emphasis on money broadly defined without slavishly relying on a monetary aggregate for interest rate and funding policy decisions.  The article also tackles some potential criticisms of this proposal and anticipates the constitutional questions it is likely to throw up.</w:t>
      </w:r>
    </w:p>
    <w:p w14:paraId="18100C00" w14:textId="236217D0" w:rsidR="00C75A94" w:rsidRPr="00530F48" w:rsidRDefault="00C75A94" w:rsidP="00530F48">
      <w:pPr>
        <w:tabs>
          <w:tab w:val="right" w:pos="9026"/>
        </w:tabs>
        <w:spacing w:before="120" w:after="120" w:line="360" w:lineRule="auto"/>
        <w:ind w:right="-45"/>
        <w:jc w:val="both"/>
        <w:rPr>
          <w:rFonts w:ascii="Sylfaen" w:hAnsi="Sylfaen"/>
          <w:color w:val="000000" w:themeColor="text1"/>
        </w:rPr>
      </w:pPr>
      <w:r w:rsidRPr="00530F48">
        <w:rPr>
          <w:rFonts w:ascii="Sylfaen" w:hAnsi="Sylfaen"/>
          <w:b/>
          <w:bCs/>
          <w:color w:val="000000" w:themeColor="text1"/>
        </w:rPr>
        <w:t>Keywords:</w:t>
      </w:r>
      <w:r w:rsidR="00406ECA" w:rsidRPr="00530F48">
        <w:rPr>
          <w:rFonts w:ascii="Sylfaen" w:hAnsi="Sylfaen"/>
          <w:b/>
          <w:bCs/>
          <w:color w:val="000000" w:themeColor="text1"/>
        </w:rPr>
        <w:t xml:space="preserve"> </w:t>
      </w:r>
      <w:r w:rsidR="00392577" w:rsidRPr="00530F48">
        <w:rPr>
          <w:rFonts w:ascii="Sylfaen" w:hAnsi="Sylfaen"/>
          <w:color w:val="000000" w:themeColor="text1"/>
        </w:rPr>
        <w:t>Economic recession, Britain, inflation, Bank of England.</w:t>
      </w:r>
    </w:p>
    <w:p w14:paraId="6573D433" w14:textId="77777777" w:rsidR="00971BE8" w:rsidRPr="00530F48" w:rsidRDefault="00971BE8" w:rsidP="00530F48">
      <w:pPr>
        <w:tabs>
          <w:tab w:val="right" w:pos="9026"/>
        </w:tabs>
        <w:spacing w:before="120" w:after="120" w:line="360" w:lineRule="auto"/>
        <w:ind w:rightChars="-20" w:right="-44"/>
        <w:jc w:val="both"/>
        <w:rPr>
          <w:rFonts w:ascii="Sylfaen" w:hAnsi="Sylfaen"/>
          <w:color w:val="000000" w:themeColor="text1"/>
        </w:rPr>
      </w:pPr>
    </w:p>
    <w:p w14:paraId="48D49E78" w14:textId="63826068" w:rsidR="00DE33E6" w:rsidRPr="00530F48" w:rsidRDefault="00392577" w:rsidP="00C27311">
      <w:pPr>
        <w:pStyle w:val="Heading1"/>
        <w:tabs>
          <w:tab w:val="right" w:pos="9026"/>
        </w:tabs>
        <w:spacing w:before="120" w:after="120" w:line="360" w:lineRule="auto"/>
        <w:jc w:val="both"/>
        <w:rPr>
          <w:rFonts w:ascii="Sylfaen" w:hAnsi="Sylfaen"/>
          <w:b/>
          <w:bCs/>
          <w:color w:val="000000" w:themeColor="text1"/>
          <w:sz w:val="22"/>
          <w:szCs w:val="22"/>
        </w:rPr>
      </w:pPr>
      <w:r w:rsidRPr="00530F48">
        <w:rPr>
          <w:rFonts w:ascii="Sylfaen" w:hAnsi="Sylfaen"/>
          <w:b/>
          <w:bCs/>
          <w:color w:val="000000" w:themeColor="text1"/>
          <w:sz w:val="22"/>
          <w:szCs w:val="22"/>
        </w:rPr>
        <w:t>Introduction</w:t>
      </w:r>
    </w:p>
    <w:p w14:paraId="552E5906" w14:textId="77777777" w:rsidR="00392577" w:rsidRPr="00530F48" w:rsidRDefault="00392577" w:rsidP="00C27311">
      <w:pPr>
        <w:tabs>
          <w:tab w:val="right" w:pos="9026"/>
          <w:tab w:val="left" w:pos="9214"/>
        </w:tabs>
        <w:spacing w:before="120" w:after="120" w:line="360" w:lineRule="auto"/>
        <w:ind w:right="-46"/>
        <w:jc w:val="both"/>
        <w:rPr>
          <w:rFonts w:ascii="Sylfaen" w:hAnsi="Sylfaen"/>
          <w:color w:val="000000" w:themeColor="text1"/>
        </w:rPr>
      </w:pPr>
      <w:r w:rsidRPr="00530F48">
        <w:rPr>
          <w:rFonts w:ascii="Sylfaen" w:hAnsi="Sylfaen"/>
          <w:color w:val="000000" w:themeColor="text1"/>
        </w:rPr>
        <w:t>As 2010 progressed, it became widely acknowledged that the British economy was over the worst of the Great Recession of 2008-09 and that a ‘double dip’ sequel was increasingly unlikely (</w:t>
      </w:r>
      <w:r w:rsidRPr="00530F48">
        <w:rPr>
          <w:rFonts w:ascii="Sylfaen" w:hAnsi="Sylfaen"/>
          <w:i/>
          <w:color w:val="000000" w:themeColor="text1"/>
        </w:rPr>
        <w:t>The Economist</w:t>
      </w:r>
      <w:r w:rsidRPr="00530F48">
        <w:rPr>
          <w:rFonts w:ascii="Sylfaen" w:hAnsi="Sylfaen"/>
          <w:color w:val="000000" w:themeColor="text1"/>
        </w:rPr>
        <w:t>, 2010b).  Despite negative growth figures for Quarter 4 of 2010, most continue to hold this view.  Use of fiscal stimulus is now being scaled back to the point at which the United Kingdom is beginning to confront its large budget deficit, whilst leaving to the monetary authorities the job of supporting the recovery through loose monetary policy (</w:t>
      </w:r>
      <w:r w:rsidRPr="00530F48">
        <w:rPr>
          <w:rFonts w:ascii="Sylfaen" w:hAnsi="Sylfaen"/>
          <w:i/>
          <w:color w:val="000000" w:themeColor="text1"/>
        </w:rPr>
        <w:t>The Economist</w:t>
      </w:r>
      <w:r w:rsidRPr="00530F48">
        <w:rPr>
          <w:rFonts w:ascii="Sylfaen" w:hAnsi="Sylfaen"/>
          <w:color w:val="000000" w:themeColor="text1"/>
        </w:rPr>
        <w:t xml:space="preserve">, 2010a).  In light of these </w:t>
      </w:r>
      <w:r w:rsidRPr="00530F48">
        <w:rPr>
          <w:rFonts w:ascii="Sylfaen" w:hAnsi="Sylfaen"/>
          <w:color w:val="000000" w:themeColor="text1"/>
        </w:rPr>
        <w:lastRenderedPageBreak/>
        <w:t>developments, it is now time to look to the medium term and how macroeconomic policy should be conducted in light of the seismic events experienced since 2007.</w:t>
      </w:r>
    </w:p>
    <w:p w14:paraId="6E1A2AD2" w14:textId="77777777" w:rsidR="00392577" w:rsidRPr="00530F48" w:rsidRDefault="00392577" w:rsidP="00C27311">
      <w:pPr>
        <w:tabs>
          <w:tab w:val="right" w:pos="9026"/>
          <w:tab w:val="left" w:pos="9214"/>
        </w:tabs>
        <w:spacing w:before="120" w:after="120" w:line="360" w:lineRule="auto"/>
        <w:ind w:right="-46"/>
        <w:jc w:val="both"/>
        <w:rPr>
          <w:rFonts w:ascii="Sylfaen" w:hAnsi="Sylfaen"/>
          <w:color w:val="000000" w:themeColor="text1"/>
        </w:rPr>
      </w:pPr>
      <w:r w:rsidRPr="00530F48">
        <w:rPr>
          <w:rFonts w:ascii="Sylfaen" w:hAnsi="Sylfaen"/>
          <w:color w:val="000000" w:themeColor="text1"/>
        </w:rPr>
        <w:t>This paper does just that, and in doing so advocates a new mandate for the Bank of England in which responsibility for sustainable growth in the banking system is added to their existing target for inflation.  The author shall first outline his assumptions before considering the performance of inflation targeting since its introduction in 1992.  The paper shall then note the merits of the M4 indicator of money supply and make a recommendation for the new dual mandate mentioned above.  A number of objections to such a mandate are then considered.</w:t>
      </w:r>
    </w:p>
    <w:p w14:paraId="2B2D01D3" w14:textId="1065E2A6" w:rsidR="006740DB" w:rsidRPr="00530F48" w:rsidRDefault="00392577" w:rsidP="00C27311">
      <w:pPr>
        <w:pStyle w:val="Heading1"/>
        <w:tabs>
          <w:tab w:val="right" w:pos="9026"/>
        </w:tabs>
        <w:spacing w:before="120" w:after="120" w:line="360" w:lineRule="auto"/>
        <w:jc w:val="both"/>
        <w:rPr>
          <w:rFonts w:ascii="Sylfaen" w:hAnsi="Sylfaen"/>
          <w:b/>
          <w:bCs/>
          <w:color w:val="000000" w:themeColor="text1"/>
          <w:sz w:val="22"/>
          <w:szCs w:val="22"/>
        </w:rPr>
      </w:pPr>
      <w:r w:rsidRPr="00530F48">
        <w:rPr>
          <w:rFonts w:ascii="Sylfaen" w:hAnsi="Sylfaen"/>
          <w:b/>
          <w:bCs/>
          <w:color w:val="000000" w:themeColor="text1"/>
          <w:sz w:val="22"/>
          <w:szCs w:val="22"/>
        </w:rPr>
        <w:t>Key Assumptions</w:t>
      </w:r>
    </w:p>
    <w:p w14:paraId="036A7E19" w14:textId="77777777" w:rsidR="00392577" w:rsidRPr="00530F48" w:rsidRDefault="00392577" w:rsidP="00C27311">
      <w:pPr>
        <w:tabs>
          <w:tab w:val="right" w:pos="9026"/>
          <w:tab w:val="left" w:pos="9214"/>
        </w:tabs>
        <w:spacing w:before="120" w:after="120" w:line="360" w:lineRule="auto"/>
        <w:ind w:right="-46"/>
        <w:jc w:val="both"/>
        <w:rPr>
          <w:rFonts w:ascii="Sylfaen" w:hAnsi="Sylfaen"/>
          <w:color w:val="000000" w:themeColor="text1"/>
        </w:rPr>
      </w:pPr>
      <w:r w:rsidRPr="00530F48">
        <w:rPr>
          <w:rFonts w:ascii="Sylfaen" w:hAnsi="Sylfaen"/>
          <w:color w:val="000000" w:themeColor="text1"/>
        </w:rPr>
        <w:t>The author should make clear early on the key assumptions that underpin his analysis.  Firstly, the analysis is conducted within what may be called a ‘broad money monetarist’ framework, most prominently represented in the United Kingdom by Tim Congdon.  That is to say that the growth in broad money, with broad money made up of notes and coins in circulation and the banking sector’s deposit liabilities, is assumed to have a strong causal impact on the growth of nominal income in the medium to long term.  Within the context of the British economy the principal measure of money supply that captures this has been, since a change in the behaviour of building society deposits during the 1980s, the M4 measure.</w:t>
      </w:r>
      <w:r w:rsidRPr="00530F48">
        <w:rPr>
          <w:rStyle w:val="FootnoteReference"/>
          <w:rFonts w:ascii="Sylfaen" w:hAnsi="Sylfaen"/>
          <w:color w:val="000000" w:themeColor="text1"/>
        </w:rPr>
        <w:footnoteReference w:id="1"/>
      </w:r>
    </w:p>
    <w:p w14:paraId="27743F14" w14:textId="77777777" w:rsidR="00392577" w:rsidRPr="00530F48" w:rsidRDefault="00392577" w:rsidP="00C27311">
      <w:pPr>
        <w:tabs>
          <w:tab w:val="right" w:pos="9026"/>
          <w:tab w:val="left" w:pos="9214"/>
        </w:tabs>
        <w:spacing w:before="120" w:after="120" w:line="360" w:lineRule="auto"/>
        <w:ind w:right="-46"/>
        <w:jc w:val="both"/>
        <w:rPr>
          <w:rFonts w:ascii="Sylfaen" w:hAnsi="Sylfaen"/>
          <w:color w:val="000000" w:themeColor="text1"/>
        </w:rPr>
      </w:pPr>
      <w:r w:rsidRPr="00530F48">
        <w:rPr>
          <w:rFonts w:ascii="Sylfaen" w:hAnsi="Sylfaen"/>
          <w:color w:val="000000" w:themeColor="text1"/>
        </w:rPr>
        <w:t xml:space="preserve">This broad money outlook is underpinned by two significant assumptions, whilst a third assumption moderates it somewhat.  Firstly, given that that there is a causal link running from broad money growth to national income growth and that growth in real output cannot be stimulated through monetary expansion in the medium and long term, it can therefore </w:t>
      </w:r>
      <w:proofErr w:type="gramStart"/>
      <w:r w:rsidRPr="00530F48">
        <w:rPr>
          <w:rFonts w:ascii="Sylfaen" w:hAnsi="Sylfaen"/>
          <w:color w:val="000000" w:themeColor="text1"/>
        </w:rPr>
        <w:t>assumed</w:t>
      </w:r>
      <w:proofErr w:type="gramEnd"/>
      <w:r w:rsidRPr="00530F48">
        <w:rPr>
          <w:rFonts w:ascii="Sylfaen" w:hAnsi="Sylfaen"/>
          <w:color w:val="000000" w:themeColor="text1"/>
        </w:rPr>
        <w:t xml:space="preserve"> that excessive growth in broad money will inevitably lead to higher inflation.  Secondly, and consequently, the Phillips Curve is vertical in the long run, as first proposed by Friedman (1968) and Phelps (1968).  Given that present monetary arrangements throughout most of the world indicate that policymakers tacitly accept these two assumptions (Goodhart, 1995: 60-63), it is hoped that those reading this paper will do likewise.</w:t>
      </w:r>
    </w:p>
    <w:p w14:paraId="31A4AC5F" w14:textId="5573945C" w:rsidR="00392577" w:rsidRDefault="00392577" w:rsidP="00C27311">
      <w:pPr>
        <w:tabs>
          <w:tab w:val="right" w:pos="9026"/>
          <w:tab w:val="left" w:pos="9214"/>
        </w:tabs>
        <w:spacing w:before="120" w:after="120" w:line="360" w:lineRule="auto"/>
        <w:ind w:right="-46"/>
        <w:jc w:val="both"/>
        <w:rPr>
          <w:rFonts w:ascii="Sylfaen" w:hAnsi="Sylfaen"/>
          <w:color w:val="000000" w:themeColor="text1"/>
        </w:rPr>
      </w:pPr>
      <w:r w:rsidRPr="00530F48">
        <w:rPr>
          <w:rFonts w:ascii="Sylfaen" w:hAnsi="Sylfaen"/>
          <w:color w:val="000000" w:themeColor="text1"/>
        </w:rPr>
        <w:lastRenderedPageBreak/>
        <w:t xml:space="preserve">The third assumption should also be relatively uncontroversial, though some monetarists may object to it.  Whilst the growth of money, broadly measured, is taken to be the cause of inflation, the author believes the velocity of circulation to be too unstable in the short term for a money supply target, whether M4 or otherwise, to be effective (Goodhart, 1995: 62).  If velocity of circulation were invariably stable then there would be a strong case for a return to monetary targeting.  But monetary targets were given ample time to bed down in a large number of developed economies during the first half of the 1980s.  With the partial exception of </w:t>
      </w:r>
      <w:proofErr w:type="gramStart"/>
      <w:r w:rsidRPr="00530F48">
        <w:rPr>
          <w:rFonts w:ascii="Sylfaen" w:hAnsi="Sylfaen"/>
          <w:color w:val="000000" w:themeColor="text1"/>
        </w:rPr>
        <w:t>Germany</w:t>
      </w:r>
      <w:proofErr w:type="gramEnd"/>
      <w:r w:rsidRPr="00530F48">
        <w:rPr>
          <w:rFonts w:ascii="Sylfaen" w:hAnsi="Sylfaen"/>
          <w:color w:val="000000" w:themeColor="text1"/>
        </w:rPr>
        <w:t xml:space="preserve"> they proved unsustainable in the long term, despite their key role in ending the Great Inflation of the 1970s (Goodhart, 1989: 300-308).  The author has no wish to advocate winding back the clock </w:t>
      </w:r>
      <w:proofErr w:type="gramStart"/>
      <w:r w:rsidRPr="00530F48">
        <w:rPr>
          <w:rFonts w:ascii="Sylfaen" w:hAnsi="Sylfaen"/>
          <w:color w:val="000000" w:themeColor="text1"/>
        </w:rPr>
        <w:t>twenty five</w:t>
      </w:r>
      <w:proofErr w:type="gramEnd"/>
      <w:r w:rsidRPr="00530F48">
        <w:rPr>
          <w:rFonts w:ascii="Sylfaen" w:hAnsi="Sylfaen"/>
          <w:color w:val="000000" w:themeColor="text1"/>
        </w:rPr>
        <w:t xml:space="preserve"> years or more.</w:t>
      </w:r>
    </w:p>
    <w:p w14:paraId="4E0F7C17" w14:textId="77777777" w:rsidR="00530F48" w:rsidRPr="00530F48" w:rsidRDefault="00530F48" w:rsidP="00C27311">
      <w:pPr>
        <w:tabs>
          <w:tab w:val="right" w:pos="9026"/>
          <w:tab w:val="left" w:pos="9214"/>
        </w:tabs>
        <w:spacing w:before="120" w:after="120" w:line="360" w:lineRule="auto"/>
        <w:ind w:right="571"/>
        <w:jc w:val="both"/>
        <w:rPr>
          <w:rFonts w:ascii="Sylfaen" w:hAnsi="Sylfaen"/>
          <w:color w:val="000000" w:themeColor="text1"/>
        </w:rPr>
      </w:pPr>
    </w:p>
    <w:p w14:paraId="2FB4A59D" w14:textId="6ADEB459" w:rsidR="00392577" w:rsidRPr="00530F48" w:rsidRDefault="00392577" w:rsidP="00C27311">
      <w:pPr>
        <w:pStyle w:val="Heading1"/>
        <w:tabs>
          <w:tab w:val="right" w:pos="9026"/>
        </w:tabs>
        <w:spacing w:before="120" w:after="120" w:line="360" w:lineRule="auto"/>
        <w:jc w:val="both"/>
        <w:rPr>
          <w:rFonts w:ascii="Sylfaen" w:hAnsi="Sylfaen"/>
          <w:b/>
          <w:bCs/>
          <w:color w:val="000000" w:themeColor="text1"/>
          <w:sz w:val="22"/>
          <w:szCs w:val="22"/>
        </w:rPr>
      </w:pPr>
      <w:r w:rsidRPr="00530F48">
        <w:rPr>
          <w:rFonts w:ascii="Sylfaen" w:hAnsi="Sylfaen"/>
          <w:b/>
          <w:bCs/>
          <w:color w:val="000000" w:themeColor="text1"/>
          <w:sz w:val="22"/>
          <w:szCs w:val="22"/>
        </w:rPr>
        <w:t>The Testing of Inflation Targeting</w:t>
      </w:r>
    </w:p>
    <w:p w14:paraId="7BD70FDB" w14:textId="77777777" w:rsidR="00392577" w:rsidRPr="00530F48" w:rsidRDefault="00392577" w:rsidP="00C27311">
      <w:pPr>
        <w:tabs>
          <w:tab w:val="right" w:pos="9026"/>
          <w:tab w:val="left" w:pos="9214"/>
        </w:tabs>
        <w:spacing w:before="120" w:after="120" w:line="360" w:lineRule="auto"/>
        <w:ind w:right="-46"/>
        <w:jc w:val="both"/>
        <w:rPr>
          <w:rFonts w:ascii="Sylfaen" w:hAnsi="Sylfaen"/>
          <w:color w:val="000000" w:themeColor="text1"/>
        </w:rPr>
      </w:pPr>
      <w:r w:rsidRPr="00530F48">
        <w:rPr>
          <w:rFonts w:ascii="Sylfaen" w:hAnsi="Sylfaen"/>
          <w:color w:val="000000" w:themeColor="text1"/>
        </w:rPr>
        <w:t>1992-2007 saw a remarkable improvement in the economic performance of the United Kingdom, with low and stable inflation allied to consistent expansion in the economy.  Whilst the role of the microeconomic reforms of the 1980s in making product markets freer and labour markets more flexible should not be overlooked, the macroeconomic framework used throughout the period has also been an object of praise (Budd, 2005: 29).  Following the limited successes of money supply targets and Britain’s calamitous exit from the Exchange Rate Mechanism (ERM) system of fixed exchange rates, policy was reconstructed in September and October of 1992.  An inflation target range was introduced, and policymaking was opened up considerably for the purposes of establishing market credibility (Lamont, 2006: 163-164).  Progressive reform from 1992 to 1997, culminating in independence for the Bank of England, strengthened the framework further (Lamont, 2006: 163-164).</w:t>
      </w:r>
    </w:p>
    <w:p w14:paraId="048840DE" w14:textId="77777777" w:rsidR="00392577" w:rsidRPr="00530F48" w:rsidRDefault="00392577" w:rsidP="00C27311">
      <w:pPr>
        <w:tabs>
          <w:tab w:val="right" w:pos="9026"/>
          <w:tab w:val="left" w:pos="9214"/>
        </w:tabs>
        <w:spacing w:before="120" w:after="120" w:line="360" w:lineRule="auto"/>
        <w:ind w:right="-46"/>
        <w:jc w:val="both"/>
        <w:rPr>
          <w:rFonts w:ascii="Sylfaen" w:hAnsi="Sylfaen"/>
          <w:color w:val="000000" w:themeColor="text1"/>
        </w:rPr>
      </w:pPr>
      <w:r w:rsidRPr="00530F48">
        <w:rPr>
          <w:rFonts w:ascii="Sylfaen" w:hAnsi="Sylfaen"/>
          <w:color w:val="000000" w:themeColor="text1"/>
        </w:rPr>
        <w:t xml:space="preserve">In fairness a number of people, including the politician most responsible for their introduction in the United Kingdom, warned long before 2007 that inflation targets did not mean ‘the end of history’ in macroeconomic management (Lamont, 2006: 164).  But a certain amount of hubris nevertheless built up around inflation targeting, and its nemesis came in the credit crunch of 2007 and the subsequent recession of 2008-09 which proved to be the deepest since the horrors of the 1930s.  In the search for </w:t>
      </w:r>
      <w:proofErr w:type="gramStart"/>
      <w:r w:rsidRPr="00530F48">
        <w:rPr>
          <w:rFonts w:ascii="Sylfaen" w:hAnsi="Sylfaen"/>
          <w:color w:val="000000" w:themeColor="text1"/>
        </w:rPr>
        <w:t>scapegoats</w:t>
      </w:r>
      <w:proofErr w:type="gramEnd"/>
      <w:r w:rsidRPr="00530F48">
        <w:rPr>
          <w:rFonts w:ascii="Sylfaen" w:hAnsi="Sylfaen"/>
          <w:color w:val="000000" w:themeColor="text1"/>
        </w:rPr>
        <w:t xml:space="preserve"> inflation targeting can be charged with failing to give an appropriate warning with regards to the massive pre-2007 asset boom.  The asset boom was an early symptom </w:t>
      </w:r>
      <w:r w:rsidRPr="00530F48">
        <w:rPr>
          <w:rFonts w:ascii="Sylfaen" w:hAnsi="Sylfaen"/>
          <w:color w:val="000000" w:themeColor="text1"/>
        </w:rPr>
        <w:lastRenderedPageBreak/>
        <w:t>of the problems to come, and its collapse would later play an important role in undermining the balance sheets of the financial sector.</w:t>
      </w:r>
    </w:p>
    <w:p w14:paraId="7A2D454F" w14:textId="77777777" w:rsidR="00392577" w:rsidRPr="00530F48" w:rsidRDefault="00392577" w:rsidP="00C27311">
      <w:pPr>
        <w:tabs>
          <w:tab w:val="right" w:pos="9026"/>
          <w:tab w:val="left" w:pos="9214"/>
        </w:tabs>
        <w:spacing w:before="120" w:after="120" w:line="360" w:lineRule="auto"/>
        <w:ind w:right="-46"/>
        <w:jc w:val="both"/>
        <w:rPr>
          <w:rFonts w:ascii="Sylfaen" w:hAnsi="Sylfaen"/>
          <w:color w:val="000000" w:themeColor="text1"/>
        </w:rPr>
      </w:pPr>
      <w:r w:rsidRPr="00530F48">
        <w:rPr>
          <w:rFonts w:ascii="Sylfaen" w:hAnsi="Sylfaen"/>
          <w:color w:val="000000" w:themeColor="text1"/>
        </w:rPr>
        <w:t xml:space="preserve">The essential problem with inflation targeting is not a complicated or a new one.  Inflation is a variable that lags greatly, and the link between it and monetary policy is an uncertain and complex one (Friedman, 1968: 16).  It has proved a highly effective nominal anchor when acceptable levels of inflation and inflation expectations have already been established, but in more unstable times inflation has provided nothing better than a </w:t>
      </w:r>
      <w:proofErr w:type="gramStart"/>
      <w:r w:rsidRPr="00530F48">
        <w:rPr>
          <w:rFonts w:ascii="Sylfaen" w:hAnsi="Sylfaen"/>
          <w:color w:val="000000" w:themeColor="text1"/>
        </w:rPr>
        <w:t>rear view</w:t>
      </w:r>
      <w:proofErr w:type="gramEnd"/>
      <w:r w:rsidRPr="00530F48">
        <w:rPr>
          <w:rFonts w:ascii="Sylfaen" w:hAnsi="Sylfaen"/>
          <w:color w:val="000000" w:themeColor="text1"/>
        </w:rPr>
        <w:t xml:space="preserve"> mirror by which to steer.  The activist policy responses of the Bank of England from 2008 onwards, which included deep cuts in interest rates and the buying up of bonds with newly created money (quantitative easing – QE), were certainly not being driven by reference to an inflation rate that remained stubbornly above target for most of the period.  Had the policy response been dictated by reference to the inflation target alone, as it seemed to be for much of 2008, an even more disastrous collapse in output would likely have resulted.</w:t>
      </w:r>
    </w:p>
    <w:p w14:paraId="35C8DE89" w14:textId="77777777" w:rsidR="00392577" w:rsidRPr="00530F48" w:rsidRDefault="00392577" w:rsidP="00C27311">
      <w:pPr>
        <w:tabs>
          <w:tab w:val="right" w:pos="9026"/>
          <w:tab w:val="left" w:pos="9214"/>
        </w:tabs>
        <w:spacing w:before="120" w:after="120" w:line="360" w:lineRule="auto"/>
        <w:ind w:right="-46"/>
        <w:jc w:val="both"/>
        <w:rPr>
          <w:rFonts w:ascii="Sylfaen" w:hAnsi="Sylfaen"/>
          <w:color w:val="000000" w:themeColor="text1"/>
        </w:rPr>
      </w:pPr>
      <w:r w:rsidRPr="00530F48">
        <w:rPr>
          <w:rFonts w:ascii="Sylfaen" w:hAnsi="Sylfaen"/>
          <w:color w:val="000000" w:themeColor="text1"/>
        </w:rPr>
        <w:t>If the inflation rate failed to see the crisis coming and provided a poor anchor for policy after 2007 this should not surprise us.  The introduction of inflation targeting in developed economies, which began in New Zealand in 1988 (Bernanke et al., 1999, 86-114), came at a time when the Great Inflation of the 1970s had already been tamed by most of the developed economies.  It should be noted in accordance with this that inflation in Britain had already been reduced to negligible levels by the time inflation targeting was introduced in 1992.  In the specific case of the United Kingdom, inflation had been broken by the blunt but successful (in disinflationary terms, at least) tool of ERM membership (Budd, 2005: 26-27).  A polemical critique of inflation targeting would consider it little more than a ‘flat track bully’ which had the good fortune to be introduced at a time when conditions for successful counter inflation policy had never been better.  In this context, almost any sane framework for macroeconomic policy could have achieved similar results.</w:t>
      </w:r>
    </w:p>
    <w:p w14:paraId="760E0AE7" w14:textId="4318630F" w:rsidR="00392577" w:rsidRDefault="00392577" w:rsidP="00C27311">
      <w:pPr>
        <w:tabs>
          <w:tab w:val="right" w:pos="9026"/>
          <w:tab w:val="left" w:pos="9214"/>
        </w:tabs>
        <w:spacing w:before="120" w:after="120" w:line="360" w:lineRule="auto"/>
        <w:ind w:right="-46"/>
        <w:jc w:val="both"/>
        <w:rPr>
          <w:rFonts w:ascii="Sylfaen" w:hAnsi="Sylfaen"/>
          <w:color w:val="000000" w:themeColor="text1"/>
        </w:rPr>
      </w:pPr>
      <w:r w:rsidRPr="00530F48">
        <w:rPr>
          <w:rFonts w:ascii="Sylfaen" w:hAnsi="Sylfaen"/>
          <w:color w:val="000000" w:themeColor="text1"/>
        </w:rPr>
        <w:t xml:space="preserve">The author should not like to go so far as that.  Inflation targeting has its problems, like all macroeconomic policy frameworks.  But as a framework for ‘constrained discretion’ in the post-monetary target world it has genuine merits (Bernanke et al., 1999: 10-25) and, despite 2007-10, a strong record.  To abandon it completely would be folly.  But on its own, and particularly if a less than auspicious macroeconomic climate remains the norm for some time to come, it does not </w:t>
      </w:r>
      <w:r w:rsidRPr="00530F48">
        <w:rPr>
          <w:rFonts w:ascii="Sylfaen" w:hAnsi="Sylfaen"/>
          <w:color w:val="000000" w:themeColor="text1"/>
        </w:rPr>
        <w:lastRenderedPageBreak/>
        <w:t>provide the effective lodestar that it once appeared to.  The remainder of the paper is therefore devoted to developing a more robust framework for macroeconomic policy in light of this.</w:t>
      </w:r>
    </w:p>
    <w:p w14:paraId="199D1516" w14:textId="77777777" w:rsidR="00530F48" w:rsidRPr="00530F48" w:rsidRDefault="00530F48" w:rsidP="00C27311">
      <w:pPr>
        <w:tabs>
          <w:tab w:val="right" w:pos="9026"/>
          <w:tab w:val="left" w:pos="9214"/>
        </w:tabs>
        <w:spacing w:before="120" w:after="120" w:line="360" w:lineRule="auto"/>
        <w:ind w:right="571"/>
        <w:jc w:val="both"/>
        <w:rPr>
          <w:rFonts w:ascii="Sylfaen" w:hAnsi="Sylfaen"/>
          <w:color w:val="000000" w:themeColor="text1"/>
        </w:rPr>
      </w:pPr>
    </w:p>
    <w:p w14:paraId="7CB9B80F" w14:textId="2AC840D0" w:rsidR="00392577" w:rsidRPr="00530F48" w:rsidRDefault="00530F48" w:rsidP="00C27311">
      <w:pPr>
        <w:pStyle w:val="Heading1"/>
        <w:tabs>
          <w:tab w:val="right" w:pos="9026"/>
        </w:tabs>
        <w:spacing w:before="120" w:after="120" w:line="360" w:lineRule="auto"/>
        <w:jc w:val="both"/>
        <w:rPr>
          <w:rFonts w:ascii="Sylfaen" w:hAnsi="Sylfaen"/>
          <w:b/>
          <w:bCs/>
          <w:color w:val="000000" w:themeColor="text1"/>
          <w:sz w:val="22"/>
          <w:szCs w:val="22"/>
        </w:rPr>
      </w:pPr>
      <w:r w:rsidRPr="00530F48">
        <w:rPr>
          <w:rFonts w:ascii="Sylfaen" w:hAnsi="Sylfaen"/>
          <w:b/>
          <w:bCs/>
          <w:color w:val="000000" w:themeColor="text1"/>
          <w:sz w:val="22"/>
          <w:szCs w:val="22"/>
        </w:rPr>
        <w:t>M4 and Broad Money</w:t>
      </w:r>
    </w:p>
    <w:p w14:paraId="423FD2A1" w14:textId="77777777" w:rsidR="00530F48" w:rsidRPr="00530F48" w:rsidRDefault="00530F48" w:rsidP="00C27311">
      <w:pPr>
        <w:tabs>
          <w:tab w:val="right" w:pos="9026"/>
          <w:tab w:val="left" w:pos="9214"/>
        </w:tabs>
        <w:spacing w:before="120" w:after="120" w:line="360" w:lineRule="auto"/>
        <w:ind w:right="-46"/>
        <w:jc w:val="both"/>
        <w:rPr>
          <w:rFonts w:ascii="Sylfaen" w:hAnsi="Sylfaen"/>
          <w:color w:val="000000" w:themeColor="text1"/>
        </w:rPr>
      </w:pPr>
      <w:r w:rsidRPr="00530F48">
        <w:rPr>
          <w:rFonts w:ascii="Sylfaen" w:hAnsi="Sylfaen"/>
          <w:color w:val="000000" w:themeColor="text1"/>
        </w:rPr>
        <w:t>As highlighted in the previous section, a potential criticism of inflation targeting relates to its failure to force a reaction by policymakers to the asset boom that developed in the run up to the Credit Crunch.  Asset booms have almost always spelt trouble for the United Kingdom economy in recent times, with the 2005-07 episode now added to the 1972-73 and 1986-89 experiences (Congdon, 2005b: 56-70) in leading to economic grief.  But asset booms are generally a symptom of the underlying problem as opposed to its direct cause.</w:t>
      </w:r>
    </w:p>
    <w:p w14:paraId="25804FDE" w14:textId="77777777" w:rsidR="00530F48" w:rsidRPr="00530F48" w:rsidRDefault="00530F48" w:rsidP="00C27311">
      <w:pPr>
        <w:tabs>
          <w:tab w:val="right" w:pos="9026"/>
          <w:tab w:val="left" w:pos="9214"/>
        </w:tabs>
        <w:spacing w:before="120" w:after="120" w:line="360" w:lineRule="auto"/>
        <w:ind w:right="-46"/>
        <w:jc w:val="both"/>
        <w:rPr>
          <w:rFonts w:ascii="Sylfaen" w:hAnsi="Sylfaen"/>
          <w:color w:val="000000" w:themeColor="text1"/>
        </w:rPr>
      </w:pPr>
      <w:r w:rsidRPr="00530F48">
        <w:rPr>
          <w:rFonts w:ascii="Sylfaen" w:hAnsi="Sylfaen"/>
          <w:color w:val="000000" w:themeColor="text1"/>
        </w:rPr>
        <w:t>The most likely culprit, in terms of the direct cause, has usually been a rapid growth in money broadly measured (Congdon, 2007: 281).  This has been a feature of all three of the asset booms mentioned above.  Congdon (2006) was among those who gave advance warning of such problems in the period leading up to the 2007 crisis, in his case with reference to the rapid growth of financial sector money holdings.  Low and stable growth of M4 was a feature for all but the later stages of the 1992-2007 ‘Great Moderation’ (Greenwood: 2009, 37-43), and it is difficult to believe that economic outcomes would have been significantly different during this period had an M4 target rather than an inflation target been made the centrepiece of macroeconomic policy in 1992.</w:t>
      </w:r>
    </w:p>
    <w:p w14:paraId="4684C845" w14:textId="77777777" w:rsidR="00530F48" w:rsidRPr="00530F48" w:rsidRDefault="00530F48" w:rsidP="00C27311">
      <w:pPr>
        <w:tabs>
          <w:tab w:val="right" w:pos="9026"/>
          <w:tab w:val="left" w:pos="9214"/>
        </w:tabs>
        <w:spacing w:before="120" w:after="120" w:line="360" w:lineRule="auto"/>
        <w:ind w:right="-46"/>
        <w:jc w:val="both"/>
        <w:rPr>
          <w:rFonts w:ascii="Sylfaen" w:hAnsi="Sylfaen"/>
          <w:color w:val="000000" w:themeColor="text1"/>
        </w:rPr>
      </w:pPr>
      <w:r w:rsidRPr="00530F48">
        <w:rPr>
          <w:rFonts w:ascii="Sylfaen" w:hAnsi="Sylfaen"/>
          <w:color w:val="000000" w:themeColor="text1"/>
        </w:rPr>
        <w:t>Broad money also has the advantage, from the perspective of the theorist, of having a credible ‘transmission mechanism’ by which monetary growth leads to growth in nominal income.  If demand for money is relatively stable among economic agents, people will seek to hold a fixed proportion of their income in money.  It was long ago laid out how, if people’s holdings of money rose above this desired ratio, they would seek to return to this desired ratio by spending their excess money balances (Fisher, 1912: 242-247).  Since money is only transferred within a closed circuit as people spend it, the only thing that can adjust and allow for a return to monetary equilibrium is a rise in national income.  It has since been highlighted how only a broad measure of money is relevant within this transmission mechanism (Congdon, 1992: 182-183).  In today’s British economy, the relevant broad money indicator is M4.</w:t>
      </w:r>
    </w:p>
    <w:p w14:paraId="6F03E9FD" w14:textId="77777777" w:rsidR="00530F48" w:rsidRPr="00530F48" w:rsidRDefault="00530F48" w:rsidP="00C27311">
      <w:pPr>
        <w:tabs>
          <w:tab w:val="right" w:pos="9026"/>
          <w:tab w:val="left" w:pos="9214"/>
        </w:tabs>
        <w:spacing w:before="120" w:after="120" w:line="360" w:lineRule="auto"/>
        <w:ind w:right="-46"/>
        <w:jc w:val="both"/>
        <w:rPr>
          <w:rFonts w:ascii="Sylfaen" w:hAnsi="Sylfaen"/>
          <w:color w:val="000000" w:themeColor="text1"/>
        </w:rPr>
      </w:pPr>
      <w:r w:rsidRPr="00530F48">
        <w:rPr>
          <w:rFonts w:ascii="Sylfaen" w:hAnsi="Sylfaen"/>
          <w:color w:val="000000" w:themeColor="text1"/>
        </w:rPr>
        <w:lastRenderedPageBreak/>
        <w:t>Despite its obvious qualities both theoretically and empirically, M4 should nevertheless not be held up as a magic bullet for conducting future macroeconomic policy.  In the early 1980s £M3 (then the relevant broad money indicator) was the nominal anchor for policy at a time when the authorities were seeking to conduct a gradual disinflation (Goodhart, 1989: 302-305).  Despite an explosion in £M3, the government largely ignored the implied message that monetary policy was too loose.  Yet a rapid rather than gradual disinflation was nevertheless carried out successively (Goodhart, 1989: 302-305).  In this case, a rapid increase in the demand for bank deposits had occurred that was related to the abolition of exchange controls and the ending of quantitative credit restrictions on banks (Congdon, 1992: 83-94).  This episode warns against putting too much faith in M4 or any other monetary aggregate within the context of deregulated financial markets.</w:t>
      </w:r>
    </w:p>
    <w:p w14:paraId="04347079" w14:textId="77777777" w:rsidR="00530F48" w:rsidRPr="00530F48" w:rsidRDefault="00530F48" w:rsidP="00C27311">
      <w:pPr>
        <w:tabs>
          <w:tab w:val="right" w:pos="9026"/>
          <w:tab w:val="left" w:pos="9214"/>
        </w:tabs>
        <w:spacing w:before="120" w:after="120" w:line="360" w:lineRule="auto"/>
        <w:ind w:right="-46"/>
        <w:jc w:val="both"/>
        <w:rPr>
          <w:rFonts w:ascii="Sylfaen" w:hAnsi="Sylfaen"/>
          <w:color w:val="000000" w:themeColor="text1"/>
        </w:rPr>
      </w:pPr>
      <w:r w:rsidRPr="00530F48">
        <w:rPr>
          <w:rFonts w:ascii="Sylfaen" w:hAnsi="Sylfaen"/>
          <w:color w:val="000000" w:themeColor="text1"/>
        </w:rPr>
        <w:t>Congdon (1989) has argued that the early 1980s episode constituted a ‘one-off’ step-change in people’s demand for deposits as a proportion of their income due to unusually rapid financial deregulation, and that a return to a broad money target after 1985 would have resulted in superior macroeconomic management throughout 1986-92.  This is a proposition that cannot be tested, but Congdon does emphasise that any broad money target needs to be seen in a ‘medium term’ perspective with overshoots and undershoots of such targets being placed in context and not acted on mechanically if policy errors are to be avoided (Congdon, 2005a: 52).</w:t>
      </w:r>
    </w:p>
    <w:p w14:paraId="6ACB7240" w14:textId="77777777" w:rsidR="00530F48" w:rsidRPr="00530F48" w:rsidRDefault="00530F48" w:rsidP="00C27311">
      <w:pPr>
        <w:tabs>
          <w:tab w:val="right" w:pos="9026"/>
          <w:tab w:val="left" w:pos="9214"/>
        </w:tabs>
        <w:spacing w:before="120" w:after="120" w:line="360" w:lineRule="auto"/>
        <w:ind w:right="-46"/>
        <w:jc w:val="both"/>
        <w:rPr>
          <w:rFonts w:ascii="Sylfaen" w:hAnsi="Sylfaen"/>
          <w:color w:val="000000" w:themeColor="text1"/>
        </w:rPr>
      </w:pPr>
      <w:r w:rsidRPr="00530F48">
        <w:rPr>
          <w:rFonts w:ascii="Sylfaen" w:hAnsi="Sylfaen"/>
          <w:color w:val="000000" w:themeColor="text1"/>
        </w:rPr>
        <w:t xml:space="preserve">The author by and large agrees with </w:t>
      </w:r>
      <w:proofErr w:type="gramStart"/>
      <w:r w:rsidRPr="00530F48">
        <w:rPr>
          <w:rFonts w:ascii="Sylfaen" w:hAnsi="Sylfaen"/>
          <w:color w:val="000000" w:themeColor="text1"/>
        </w:rPr>
        <w:t>Congdon, but</w:t>
      </w:r>
      <w:proofErr w:type="gramEnd"/>
      <w:r w:rsidRPr="00530F48">
        <w:rPr>
          <w:rFonts w:ascii="Sylfaen" w:hAnsi="Sylfaen"/>
          <w:color w:val="000000" w:themeColor="text1"/>
        </w:rPr>
        <w:t xml:space="preserve"> is far less optimistic that policy can be run in such a manner when money supply targets can be overshot and undershot by vast amounts in the short term due to the instability of the velocity of circulation within a short timeframe.  Inflation targeting in the United Kingdom could become problematic in the near future with consistently above target inflation eventually to higher inflation expectations, whatever the Bank of England may say about inflation returning to target in the medium term.  The problems of an M4 target with regards to inflation expectations should M4 grow above its prospective target rate, with the Bank pleading that this is merely down to more rapid-than-usual financial innovation, can only be imagined.  In light of this, this article rejects the idea of returning to a broad money target in spite of M4’s obvious qualities.</w:t>
      </w:r>
    </w:p>
    <w:p w14:paraId="19EAE61B" w14:textId="77777777" w:rsidR="00530F48" w:rsidRPr="00530F48" w:rsidRDefault="00530F48" w:rsidP="00C27311">
      <w:pPr>
        <w:tabs>
          <w:tab w:val="right" w:pos="9026"/>
          <w:tab w:val="left" w:pos="9214"/>
        </w:tabs>
        <w:spacing w:before="120" w:after="120" w:line="360" w:lineRule="auto"/>
        <w:ind w:right="-46"/>
        <w:jc w:val="both"/>
        <w:rPr>
          <w:rFonts w:ascii="Sylfaen" w:hAnsi="Sylfaen"/>
          <w:b/>
          <w:color w:val="000000" w:themeColor="text1"/>
        </w:rPr>
      </w:pPr>
    </w:p>
    <w:p w14:paraId="4C2F00D5" w14:textId="3EA8F928" w:rsidR="00530F48" w:rsidRPr="00530F48" w:rsidRDefault="00530F48" w:rsidP="00C27311">
      <w:pPr>
        <w:pStyle w:val="Heading1"/>
        <w:tabs>
          <w:tab w:val="right" w:pos="9026"/>
        </w:tabs>
        <w:spacing w:before="120" w:after="120" w:line="360" w:lineRule="auto"/>
        <w:jc w:val="both"/>
        <w:rPr>
          <w:rFonts w:ascii="Sylfaen" w:hAnsi="Sylfaen"/>
          <w:b/>
          <w:bCs/>
          <w:color w:val="000000" w:themeColor="text1"/>
          <w:sz w:val="22"/>
          <w:szCs w:val="22"/>
        </w:rPr>
      </w:pPr>
      <w:r w:rsidRPr="00530F48">
        <w:rPr>
          <w:rFonts w:ascii="Sylfaen" w:hAnsi="Sylfaen"/>
          <w:b/>
          <w:bCs/>
          <w:color w:val="000000" w:themeColor="text1"/>
          <w:sz w:val="22"/>
          <w:szCs w:val="22"/>
        </w:rPr>
        <w:lastRenderedPageBreak/>
        <w:t>A New Dual Mandate</w:t>
      </w:r>
    </w:p>
    <w:p w14:paraId="5BABD983" w14:textId="77777777" w:rsidR="00530F48" w:rsidRPr="00530F48" w:rsidRDefault="00530F48" w:rsidP="00C27311">
      <w:pPr>
        <w:tabs>
          <w:tab w:val="right" w:pos="9026"/>
          <w:tab w:val="left" w:pos="9214"/>
        </w:tabs>
        <w:spacing w:before="120" w:after="120" w:line="360" w:lineRule="auto"/>
        <w:ind w:right="-46"/>
        <w:jc w:val="both"/>
        <w:rPr>
          <w:rFonts w:ascii="Sylfaen" w:hAnsi="Sylfaen"/>
          <w:color w:val="000000" w:themeColor="text1"/>
        </w:rPr>
      </w:pPr>
      <w:r w:rsidRPr="00530F48">
        <w:rPr>
          <w:rFonts w:ascii="Sylfaen" w:hAnsi="Sylfaen"/>
          <w:color w:val="000000" w:themeColor="text1"/>
        </w:rPr>
        <w:t xml:space="preserve">A development that should be noted is the return to the Bank of England of the powers to supervise banking.  This follows the widely acknowledged failure of the tripartite structure in which authority was split between the Financial Services Authority, the </w:t>
      </w:r>
      <w:proofErr w:type="gramStart"/>
      <w:r w:rsidRPr="00530F48">
        <w:rPr>
          <w:rFonts w:ascii="Sylfaen" w:hAnsi="Sylfaen"/>
          <w:color w:val="000000" w:themeColor="text1"/>
        </w:rPr>
        <w:t>Treasury</w:t>
      </w:r>
      <w:proofErr w:type="gramEnd"/>
      <w:r w:rsidRPr="00530F48">
        <w:rPr>
          <w:rFonts w:ascii="Sylfaen" w:hAnsi="Sylfaen"/>
          <w:color w:val="000000" w:themeColor="text1"/>
        </w:rPr>
        <w:t xml:space="preserve"> and the Bank of England.  In light of this development, what is required is a new mandate for the Bank of England that ties together supervision of the banking sector, an inflation target and a more privileged role for M4.  This could help to avoid the sort of asset booms and the resulting problems that have </w:t>
      </w:r>
      <w:proofErr w:type="spellStart"/>
      <w:r w:rsidRPr="00530F48">
        <w:rPr>
          <w:rFonts w:ascii="Sylfaen" w:hAnsi="Sylfaen"/>
          <w:color w:val="000000" w:themeColor="text1"/>
        </w:rPr>
        <w:t>bedeviled</w:t>
      </w:r>
      <w:proofErr w:type="spellEnd"/>
      <w:r w:rsidRPr="00530F48">
        <w:rPr>
          <w:rFonts w:ascii="Sylfaen" w:hAnsi="Sylfaen"/>
          <w:color w:val="000000" w:themeColor="text1"/>
        </w:rPr>
        <w:t xml:space="preserve"> macroeconomic management in the United Kingdom in recent times.</w:t>
      </w:r>
    </w:p>
    <w:p w14:paraId="0845BE06" w14:textId="77777777" w:rsidR="00530F48" w:rsidRPr="00530F48" w:rsidRDefault="00530F48" w:rsidP="00C27311">
      <w:pPr>
        <w:tabs>
          <w:tab w:val="right" w:pos="9026"/>
          <w:tab w:val="left" w:pos="9214"/>
        </w:tabs>
        <w:spacing w:before="120" w:after="120" w:line="360" w:lineRule="auto"/>
        <w:ind w:right="-46"/>
        <w:jc w:val="both"/>
        <w:rPr>
          <w:rFonts w:ascii="Sylfaen" w:hAnsi="Sylfaen"/>
          <w:color w:val="000000" w:themeColor="text1"/>
        </w:rPr>
      </w:pPr>
      <w:r w:rsidRPr="00530F48">
        <w:rPr>
          <w:rFonts w:ascii="Sylfaen" w:hAnsi="Sylfaen"/>
          <w:color w:val="000000" w:themeColor="text1"/>
        </w:rPr>
        <w:t>The author will firstly state upfront that an inflation target should remain as part of the mandate from Parliament.  The inflation index used and the specific rate targeted are technical matters which need not concern us in this paper.  The reasons for the maintenance of the inflation target were highlighted in an earlier section.  But the caveat given earlier was that an inflation target alone would no longer suffice in light of the weaknesses displayed by the inflation targeting regime in the run up to, and since the beginning of, the crisis of 2007-10.</w:t>
      </w:r>
    </w:p>
    <w:p w14:paraId="7697ABA4" w14:textId="77777777" w:rsidR="00530F48" w:rsidRPr="00530F48" w:rsidRDefault="00530F48" w:rsidP="00C27311">
      <w:pPr>
        <w:tabs>
          <w:tab w:val="right" w:pos="9026"/>
          <w:tab w:val="left" w:pos="9214"/>
        </w:tabs>
        <w:spacing w:before="120" w:after="120" w:line="360" w:lineRule="auto"/>
        <w:ind w:right="-46"/>
        <w:jc w:val="both"/>
        <w:rPr>
          <w:rFonts w:ascii="Sylfaen" w:hAnsi="Sylfaen"/>
          <w:color w:val="000000" w:themeColor="text1"/>
        </w:rPr>
      </w:pPr>
      <w:r w:rsidRPr="00530F48">
        <w:rPr>
          <w:rFonts w:ascii="Sylfaen" w:hAnsi="Sylfaen"/>
          <w:color w:val="000000" w:themeColor="text1"/>
        </w:rPr>
        <w:t xml:space="preserve">The corollary to the existing mandate should be an obligation on the Bank of England to ‘ensure sustainable growth in the banking system’.  This can be done through the use of interest rates to restrict the speed at which banks can expand their balance sheets.  There are two reasons for expanding the Bank’s mandate.  Firstly, this will provide a suitable obligation on the Bank in relation to its reacquired role as supervisor of the banking sector and it can answer to parliamentary committees accordingly.  But the second reason is perhaps more important.  A banking sector that grows too slowly relative to the output of the economy is analogous to a contraction in the money </w:t>
      </w:r>
      <w:proofErr w:type="gramStart"/>
      <w:r w:rsidRPr="00530F48">
        <w:rPr>
          <w:rFonts w:ascii="Sylfaen" w:hAnsi="Sylfaen"/>
          <w:color w:val="000000" w:themeColor="text1"/>
        </w:rPr>
        <w:t>supply, and</w:t>
      </w:r>
      <w:proofErr w:type="gramEnd"/>
      <w:r w:rsidRPr="00530F48">
        <w:rPr>
          <w:rFonts w:ascii="Sylfaen" w:hAnsi="Sylfaen"/>
          <w:color w:val="000000" w:themeColor="text1"/>
        </w:rPr>
        <w:t xml:space="preserve"> is likely to result in deflation as was feared in 2008-09.  In contrast, a banking sector growing at a much more rapid rate than the economy will inevitably become associated with asset booms and inflation, with the sort of disaster that occurred in 2007-10 a possibility.  As such, sustainable growth in the banking sector would undoubtedly lead to better economic outcomes (Greenwood, 2009: 41).</w:t>
      </w:r>
    </w:p>
    <w:p w14:paraId="33A0AD03" w14:textId="77777777" w:rsidR="00530F48" w:rsidRPr="00530F48" w:rsidRDefault="00530F48" w:rsidP="00C27311">
      <w:pPr>
        <w:tabs>
          <w:tab w:val="right" w:pos="9026"/>
          <w:tab w:val="left" w:pos="9214"/>
        </w:tabs>
        <w:spacing w:before="120" w:after="120" w:line="360" w:lineRule="auto"/>
        <w:ind w:right="-46"/>
        <w:jc w:val="both"/>
        <w:rPr>
          <w:rFonts w:ascii="Sylfaen" w:hAnsi="Sylfaen"/>
          <w:color w:val="000000" w:themeColor="text1"/>
        </w:rPr>
      </w:pPr>
      <w:r w:rsidRPr="00530F48">
        <w:rPr>
          <w:rFonts w:ascii="Sylfaen" w:hAnsi="Sylfaen"/>
          <w:color w:val="000000" w:themeColor="text1"/>
        </w:rPr>
        <w:t xml:space="preserve">M4, consisting mostly of the banking system’s deposit liabilities (notes and coins in circulation form only a tiny proportion of M4), provides a good proxy for growth in the banking system.  A mandate for ensuring sustainable growth in the banking system therefore constitutes an informal target for M4, with all the benefits of such a target but without the drawbacks highlighted in the previous </w:t>
      </w:r>
      <w:r w:rsidRPr="00530F48">
        <w:rPr>
          <w:rFonts w:ascii="Sylfaen" w:hAnsi="Sylfaen"/>
          <w:color w:val="000000" w:themeColor="text1"/>
        </w:rPr>
        <w:lastRenderedPageBreak/>
        <w:t xml:space="preserve">section.  The unique qualities of M4 in warning of asset booms and inflations as well as asset price collapses and deflations (Congdon, 2005b: 87-107) could then take a more central role in policymaking.  But </w:t>
      </w:r>
      <w:proofErr w:type="gramStart"/>
      <w:r w:rsidRPr="00530F48">
        <w:rPr>
          <w:rFonts w:ascii="Sylfaen" w:hAnsi="Sylfaen"/>
          <w:color w:val="000000" w:themeColor="text1"/>
        </w:rPr>
        <w:t>short term</w:t>
      </w:r>
      <w:proofErr w:type="gramEnd"/>
      <w:r w:rsidRPr="00530F48">
        <w:rPr>
          <w:rFonts w:ascii="Sylfaen" w:hAnsi="Sylfaen"/>
          <w:color w:val="000000" w:themeColor="text1"/>
        </w:rPr>
        <w:t xml:space="preserve"> instabilities resulting from the likelihood of variations in the velocity of circulation in the short run can be safely ignored, with policy decisions instead taken within the medium term framework called for by Congdon (2005a).  Additionally, the maintenance of the inflation target will continue to provide a numerical target by which to hold the Bank to account.</w:t>
      </w:r>
    </w:p>
    <w:p w14:paraId="361A1E70" w14:textId="77777777" w:rsidR="00530F48" w:rsidRPr="00530F48" w:rsidRDefault="00530F48" w:rsidP="00C27311">
      <w:pPr>
        <w:tabs>
          <w:tab w:val="right" w:pos="9026"/>
          <w:tab w:val="left" w:pos="9214"/>
        </w:tabs>
        <w:spacing w:before="120" w:after="120" w:line="360" w:lineRule="auto"/>
        <w:ind w:right="-46"/>
        <w:jc w:val="both"/>
        <w:rPr>
          <w:rFonts w:ascii="Sylfaen" w:hAnsi="Sylfaen"/>
          <w:color w:val="000000" w:themeColor="text1"/>
        </w:rPr>
      </w:pPr>
      <w:r w:rsidRPr="00530F48">
        <w:rPr>
          <w:rFonts w:ascii="Sylfaen" w:hAnsi="Sylfaen"/>
          <w:color w:val="000000" w:themeColor="text1"/>
        </w:rPr>
        <w:t xml:space="preserve">There are two immediate objections to such a mandate which I will now confront.  Firstly, that additional M4 (and, indeed, M0) monitoring ranges to buttress inflation targeting were tried in the United Kingdom during the early part of 1992-2007 but failed.  M0 and M4 were widely disregarded and were soon dropped as a result.  This objection ignores the fact that a mandate for ‘sustainable growth in the banking sector’ should acquire much more attention from politicians, the </w:t>
      </w:r>
      <w:proofErr w:type="gramStart"/>
      <w:r w:rsidRPr="00530F48">
        <w:rPr>
          <w:rFonts w:ascii="Sylfaen" w:hAnsi="Sylfaen"/>
          <w:color w:val="000000" w:themeColor="text1"/>
        </w:rPr>
        <w:t>media</w:t>
      </w:r>
      <w:proofErr w:type="gramEnd"/>
      <w:r w:rsidRPr="00530F48">
        <w:rPr>
          <w:rFonts w:ascii="Sylfaen" w:hAnsi="Sylfaen"/>
          <w:color w:val="000000" w:themeColor="text1"/>
        </w:rPr>
        <w:t xml:space="preserve"> and the public in light of the fact that the recent crisis was caused by too rapid an expansion of the banking sector prior to 2007 (Greenwood, 2009: 41) followed by an uncalled-for contraction during 2007-09.  These sorts of violent swings can be avoided in future if the proposed framework is adopted.</w:t>
      </w:r>
    </w:p>
    <w:p w14:paraId="230E7A11" w14:textId="77777777" w:rsidR="00530F48" w:rsidRPr="00530F48" w:rsidRDefault="00530F48" w:rsidP="00C27311">
      <w:pPr>
        <w:tabs>
          <w:tab w:val="right" w:pos="9026"/>
          <w:tab w:val="left" w:pos="9214"/>
        </w:tabs>
        <w:spacing w:before="120" w:after="120" w:line="360" w:lineRule="auto"/>
        <w:ind w:right="-46"/>
        <w:jc w:val="both"/>
        <w:rPr>
          <w:rFonts w:ascii="Sylfaen" w:hAnsi="Sylfaen"/>
          <w:color w:val="000000" w:themeColor="text1"/>
        </w:rPr>
      </w:pPr>
      <w:r w:rsidRPr="00530F48">
        <w:rPr>
          <w:rFonts w:ascii="Sylfaen" w:hAnsi="Sylfaen"/>
          <w:color w:val="000000" w:themeColor="text1"/>
        </w:rPr>
        <w:t>A second objection is based on the idea that dual mandates are likely to lead to a conflict between the two aims, with one inevitably falling by the wayside.  The author does not disagree that a mandate that involved numerical targets for both growth and inflation would lead to one being privileged over the other.  But in the case of a dual mandate consisting of a quantitative inflation target and a mandated demand for sustainable growth in the banking system such a conflict does not exist, as the two aims are mutually reinforcing.  Sustainable growth in the banking system is a precondition of, not an impediment to, low and stable inflation in the medium to long term.</w:t>
      </w:r>
    </w:p>
    <w:p w14:paraId="1F961AFB" w14:textId="77777777" w:rsidR="00530F48" w:rsidRPr="00530F48" w:rsidRDefault="00530F48" w:rsidP="00C27311">
      <w:pPr>
        <w:pStyle w:val="Heading1"/>
        <w:tabs>
          <w:tab w:val="right" w:pos="9026"/>
        </w:tabs>
        <w:spacing w:before="120" w:after="120" w:line="360" w:lineRule="auto"/>
        <w:jc w:val="both"/>
        <w:rPr>
          <w:rFonts w:ascii="Sylfaen" w:hAnsi="Sylfaen"/>
          <w:color w:val="000000" w:themeColor="text1"/>
          <w:sz w:val="22"/>
          <w:szCs w:val="22"/>
        </w:rPr>
      </w:pPr>
    </w:p>
    <w:p w14:paraId="3265B884" w14:textId="34C25DD2" w:rsidR="00530F48" w:rsidRPr="00530F48" w:rsidRDefault="00530F48" w:rsidP="00C27311">
      <w:pPr>
        <w:pStyle w:val="Heading1"/>
        <w:tabs>
          <w:tab w:val="right" w:pos="9026"/>
        </w:tabs>
        <w:spacing w:before="120" w:after="120" w:line="360" w:lineRule="auto"/>
        <w:jc w:val="both"/>
        <w:rPr>
          <w:rFonts w:ascii="Sylfaen" w:hAnsi="Sylfaen"/>
          <w:b/>
          <w:bCs/>
          <w:color w:val="000000" w:themeColor="text1"/>
          <w:sz w:val="22"/>
          <w:szCs w:val="22"/>
        </w:rPr>
      </w:pPr>
      <w:r w:rsidRPr="00530F48">
        <w:rPr>
          <w:rFonts w:ascii="Sylfaen" w:hAnsi="Sylfaen"/>
          <w:b/>
          <w:bCs/>
          <w:color w:val="000000" w:themeColor="text1"/>
          <w:sz w:val="22"/>
          <w:szCs w:val="22"/>
        </w:rPr>
        <w:t>A Brief Detour: Overfunding and the Constitutional Implications</w:t>
      </w:r>
    </w:p>
    <w:p w14:paraId="704555C3" w14:textId="77777777" w:rsidR="00530F48" w:rsidRPr="00530F48" w:rsidRDefault="00530F48" w:rsidP="00C27311">
      <w:pPr>
        <w:tabs>
          <w:tab w:val="right" w:pos="9026"/>
          <w:tab w:val="left" w:pos="9214"/>
        </w:tabs>
        <w:spacing w:before="120" w:after="120" w:line="360" w:lineRule="auto"/>
        <w:ind w:right="-46"/>
        <w:jc w:val="both"/>
        <w:rPr>
          <w:rFonts w:ascii="Sylfaen" w:hAnsi="Sylfaen"/>
          <w:color w:val="000000" w:themeColor="text1"/>
        </w:rPr>
      </w:pPr>
      <w:r w:rsidRPr="00530F48">
        <w:rPr>
          <w:rFonts w:ascii="Sylfaen" w:hAnsi="Sylfaen"/>
          <w:color w:val="000000" w:themeColor="text1"/>
        </w:rPr>
        <w:t xml:space="preserve">Although the section above rejects two objections to the proposed framework, two more pressing ones are acknowledged briefly here.  Central banks around the world have become more constitutionally privileged in recent times with the Bank of England, among others, only becoming independent in the last fifteen years (Bernanke et al., 1999: 169-171).  Part of the reason for this shift has been the increasing acceptance that there is no </w:t>
      </w:r>
      <w:proofErr w:type="gramStart"/>
      <w:r w:rsidRPr="00530F48">
        <w:rPr>
          <w:rFonts w:ascii="Sylfaen" w:hAnsi="Sylfaen"/>
          <w:color w:val="000000" w:themeColor="text1"/>
        </w:rPr>
        <w:t>long term</w:t>
      </w:r>
      <w:proofErr w:type="gramEnd"/>
      <w:r w:rsidRPr="00530F48">
        <w:rPr>
          <w:rFonts w:ascii="Sylfaen" w:hAnsi="Sylfaen"/>
          <w:color w:val="000000" w:themeColor="text1"/>
        </w:rPr>
        <w:t xml:space="preserve"> trade-off between inflation and </w:t>
      </w:r>
      <w:r w:rsidRPr="00530F48">
        <w:rPr>
          <w:rFonts w:ascii="Sylfaen" w:hAnsi="Sylfaen"/>
          <w:color w:val="000000" w:themeColor="text1"/>
        </w:rPr>
        <w:lastRenderedPageBreak/>
        <w:t>unemployment, and hence the best that can be done through macroeconomic policy is to secure a low and stable rate of inflation (Goodhart, 1995: 60-63).  In light of this, monetary policy should therefore be handed to technocrats (Goodhart, 1995: 60-63).</w:t>
      </w:r>
    </w:p>
    <w:p w14:paraId="2EF81878" w14:textId="77777777" w:rsidR="00530F48" w:rsidRPr="00530F48" w:rsidRDefault="00530F48" w:rsidP="00C27311">
      <w:pPr>
        <w:tabs>
          <w:tab w:val="right" w:pos="9026"/>
          <w:tab w:val="left" w:pos="9214"/>
        </w:tabs>
        <w:spacing w:before="120" w:after="120" w:line="360" w:lineRule="auto"/>
        <w:ind w:right="-46"/>
        <w:jc w:val="both"/>
        <w:rPr>
          <w:rFonts w:ascii="Sylfaen" w:hAnsi="Sylfaen"/>
          <w:color w:val="000000" w:themeColor="text1"/>
        </w:rPr>
      </w:pPr>
      <w:r w:rsidRPr="00530F48">
        <w:rPr>
          <w:rFonts w:ascii="Sylfaen" w:hAnsi="Sylfaen"/>
          <w:color w:val="000000" w:themeColor="text1"/>
        </w:rPr>
        <w:t xml:space="preserve">This paper does not challenge that thinking, but it should be noted that independence in setting interest rates has recently had QE added to it so as to counteract the recent recession.  QE has so far been pursued only with the express permission of the government.  But in an era of very high deficits and macroeconomic instability, funding policy is likely to prove more important than in recent times.  This could also include overfunding (issuing more gilt-edged securities than required to fund the deficit) should high inflation re-emerge, as was practiced in the United Kingdom during the first half of the 1980s.  If funding policy is to play a more active role than hitherto, then the present </w:t>
      </w:r>
      <w:r w:rsidRPr="00530F48">
        <w:rPr>
          <w:rFonts w:ascii="Sylfaen" w:hAnsi="Sylfaen"/>
          <w:i/>
          <w:color w:val="000000" w:themeColor="text1"/>
        </w:rPr>
        <w:t>ad hoc</w:t>
      </w:r>
      <w:r w:rsidRPr="00530F48">
        <w:rPr>
          <w:rFonts w:ascii="Sylfaen" w:hAnsi="Sylfaen"/>
          <w:color w:val="000000" w:themeColor="text1"/>
        </w:rPr>
        <w:t xml:space="preserve"> arrangements between Parliament and the Bank could prove awkward.</w:t>
      </w:r>
    </w:p>
    <w:p w14:paraId="7ECF8C88" w14:textId="77777777" w:rsidR="00530F48" w:rsidRPr="00530F48" w:rsidRDefault="00530F48" w:rsidP="00C27311">
      <w:pPr>
        <w:tabs>
          <w:tab w:val="right" w:pos="9026"/>
          <w:tab w:val="left" w:pos="9214"/>
        </w:tabs>
        <w:spacing w:before="120" w:after="120" w:line="360" w:lineRule="auto"/>
        <w:ind w:right="-46"/>
        <w:jc w:val="both"/>
        <w:rPr>
          <w:rFonts w:ascii="Sylfaen" w:hAnsi="Sylfaen"/>
          <w:color w:val="000000" w:themeColor="text1"/>
        </w:rPr>
      </w:pPr>
      <w:r w:rsidRPr="00530F48">
        <w:rPr>
          <w:rFonts w:ascii="Sylfaen" w:hAnsi="Sylfaen"/>
          <w:color w:val="000000" w:themeColor="text1"/>
        </w:rPr>
        <w:t>A transfer of responsibility for funding policy to the Bank in addition to its existing roles in financial supervision and the setting of interest rates under the mandate proposed in this paper could, in the opinion of the author, prove the most appropriate framework for future macroeconomic policy.  But he does not deny the constitutional implications of such a move, as the Bank would become remarkably powerful by the standards of unelected institutions.  Whether this is good for democracy is an open question that the author will not go into now, as it would risk going wildly off topic.  It is nevertheless an issue that should be openly acknowledged.</w:t>
      </w:r>
    </w:p>
    <w:p w14:paraId="7B4F2E8B" w14:textId="3A3EB047" w:rsidR="00530F48" w:rsidRDefault="00530F48" w:rsidP="00C27311">
      <w:pPr>
        <w:tabs>
          <w:tab w:val="right" w:pos="9026"/>
          <w:tab w:val="left" w:pos="9214"/>
        </w:tabs>
        <w:spacing w:before="120" w:after="120" w:line="360" w:lineRule="auto"/>
        <w:ind w:right="-46"/>
        <w:jc w:val="both"/>
        <w:rPr>
          <w:rFonts w:ascii="Sylfaen" w:hAnsi="Sylfaen"/>
          <w:color w:val="000000" w:themeColor="text1"/>
        </w:rPr>
      </w:pPr>
      <w:r w:rsidRPr="00530F48">
        <w:rPr>
          <w:rFonts w:ascii="Sylfaen" w:hAnsi="Sylfaen"/>
          <w:color w:val="000000" w:themeColor="text1"/>
        </w:rPr>
        <w:t xml:space="preserve">Alongside this is a potential for a conflict of interest between the mandate to ensure stable growth in the banking sector and the role of the Bank of England in prudential supervision.  Provided the Bank is able to demonstrate to Parliament that its performance in neither area is being undermined by its responsibility for the other then this could prove to be an advantage, as the Bank will have first-hand knowledge of conditions in the banking sector and can consider its interest rate responses in light of these to ensure sustainable growth in the banking sector.  </w:t>
      </w:r>
      <w:proofErr w:type="gramStart"/>
      <w:r w:rsidRPr="00530F48">
        <w:rPr>
          <w:rFonts w:ascii="Sylfaen" w:hAnsi="Sylfaen"/>
          <w:color w:val="000000" w:themeColor="text1"/>
        </w:rPr>
        <w:t>Nevertheless</w:t>
      </w:r>
      <w:proofErr w:type="gramEnd"/>
      <w:r w:rsidRPr="00530F48">
        <w:rPr>
          <w:rFonts w:ascii="Sylfaen" w:hAnsi="Sylfaen"/>
          <w:color w:val="000000" w:themeColor="text1"/>
        </w:rPr>
        <w:t xml:space="preserve"> this is a significant issue that merits further study.</w:t>
      </w:r>
    </w:p>
    <w:p w14:paraId="11FD71FB" w14:textId="77777777" w:rsidR="00530F48" w:rsidRPr="00530F48" w:rsidRDefault="00530F48" w:rsidP="00C27311">
      <w:pPr>
        <w:tabs>
          <w:tab w:val="right" w:pos="9026"/>
          <w:tab w:val="left" w:pos="9214"/>
        </w:tabs>
        <w:spacing w:before="120" w:after="120" w:line="360" w:lineRule="auto"/>
        <w:ind w:right="-46"/>
        <w:jc w:val="both"/>
        <w:rPr>
          <w:rFonts w:ascii="Sylfaen" w:hAnsi="Sylfaen"/>
          <w:color w:val="000000" w:themeColor="text1"/>
        </w:rPr>
      </w:pPr>
    </w:p>
    <w:p w14:paraId="0120FD70" w14:textId="56575730" w:rsidR="00530F48" w:rsidRPr="00530F48" w:rsidRDefault="00530F48" w:rsidP="00C27311">
      <w:pPr>
        <w:pStyle w:val="Heading1"/>
        <w:tabs>
          <w:tab w:val="right" w:pos="9026"/>
        </w:tabs>
        <w:spacing w:before="120" w:after="120" w:line="360" w:lineRule="auto"/>
        <w:jc w:val="both"/>
        <w:rPr>
          <w:rFonts w:ascii="Sylfaen" w:hAnsi="Sylfaen"/>
          <w:b/>
          <w:bCs/>
          <w:color w:val="000000" w:themeColor="text1"/>
          <w:sz w:val="22"/>
          <w:szCs w:val="22"/>
        </w:rPr>
      </w:pPr>
      <w:r w:rsidRPr="00530F48">
        <w:rPr>
          <w:rFonts w:ascii="Sylfaen" w:hAnsi="Sylfaen"/>
          <w:b/>
          <w:bCs/>
          <w:color w:val="000000" w:themeColor="text1"/>
          <w:sz w:val="22"/>
          <w:szCs w:val="22"/>
        </w:rPr>
        <w:t>Conclusion</w:t>
      </w:r>
    </w:p>
    <w:p w14:paraId="1D171DB4" w14:textId="77777777" w:rsidR="00530F48" w:rsidRPr="00530F48" w:rsidRDefault="00530F48" w:rsidP="00C27311">
      <w:pPr>
        <w:tabs>
          <w:tab w:val="right" w:pos="9026"/>
          <w:tab w:val="left" w:pos="9214"/>
        </w:tabs>
        <w:spacing w:before="120" w:after="120" w:line="360" w:lineRule="auto"/>
        <w:ind w:right="-46"/>
        <w:jc w:val="both"/>
        <w:rPr>
          <w:rFonts w:ascii="Sylfaen" w:hAnsi="Sylfaen"/>
          <w:color w:val="000000" w:themeColor="text1"/>
        </w:rPr>
      </w:pPr>
      <w:r w:rsidRPr="00530F48">
        <w:rPr>
          <w:rFonts w:ascii="Sylfaen" w:hAnsi="Sylfaen"/>
          <w:color w:val="000000" w:themeColor="text1"/>
        </w:rPr>
        <w:t xml:space="preserve">For those who reject the assumptions laid out in the introduction in this paper the proposals that follow </w:t>
      </w:r>
      <w:proofErr w:type="gramStart"/>
      <w:r w:rsidRPr="00530F48">
        <w:rPr>
          <w:rFonts w:ascii="Sylfaen" w:hAnsi="Sylfaen"/>
          <w:color w:val="000000" w:themeColor="text1"/>
        </w:rPr>
        <w:t>are</w:t>
      </w:r>
      <w:proofErr w:type="gramEnd"/>
      <w:r w:rsidRPr="00530F48">
        <w:rPr>
          <w:rFonts w:ascii="Sylfaen" w:hAnsi="Sylfaen"/>
          <w:color w:val="000000" w:themeColor="text1"/>
        </w:rPr>
        <w:t xml:space="preserve"> clearly of no value.  For those who do accept them the author hopes that the proposals </w:t>
      </w:r>
      <w:r w:rsidRPr="00530F48">
        <w:rPr>
          <w:rFonts w:ascii="Sylfaen" w:hAnsi="Sylfaen"/>
          <w:color w:val="000000" w:themeColor="text1"/>
        </w:rPr>
        <w:lastRenderedPageBreak/>
        <w:t xml:space="preserve">that follow do at least provide an alternative to the present and, in the author’s view, inadequate framework for macroeconomic policy.  Inflation targeting was and remains a system of ‘constrained discretion’ (Bernanke et al., 1999: 22), as is the macroeconomic framework proposed in this paper.  In the uncertain world of economic management in which a ‘magic’ policy rule remains chimerical, a consistently successful system of constrained discretion remains the best we are likely to </w:t>
      </w:r>
      <w:proofErr w:type="gramStart"/>
      <w:r w:rsidRPr="00530F48">
        <w:rPr>
          <w:rFonts w:ascii="Sylfaen" w:hAnsi="Sylfaen"/>
          <w:color w:val="000000" w:themeColor="text1"/>
        </w:rPr>
        <w:t>do</w:t>
      </w:r>
      <w:proofErr w:type="gramEnd"/>
      <w:r w:rsidRPr="00530F48">
        <w:rPr>
          <w:rFonts w:ascii="Sylfaen" w:hAnsi="Sylfaen"/>
          <w:color w:val="000000" w:themeColor="text1"/>
        </w:rPr>
        <w:t xml:space="preserve"> and evolution remains our best hope for finding it.</w:t>
      </w:r>
    </w:p>
    <w:p w14:paraId="6FB8BC27" w14:textId="77777777" w:rsidR="00530F48" w:rsidRPr="00530F48" w:rsidRDefault="00530F48" w:rsidP="00C27311">
      <w:pPr>
        <w:tabs>
          <w:tab w:val="right" w:pos="9026"/>
        </w:tabs>
        <w:spacing w:before="120" w:after="120" w:line="360" w:lineRule="auto"/>
        <w:jc w:val="both"/>
        <w:rPr>
          <w:rFonts w:ascii="Sylfaen" w:hAnsi="Sylfaen"/>
          <w:color w:val="000000" w:themeColor="text1"/>
        </w:rPr>
      </w:pPr>
    </w:p>
    <w:p w14:paraId="724F9E45" w14:textId="77777777" w:rsidR="006740DB" w:rsidRPr="00530F48" w:rsidRDefault="006740DB" w:rsidP="00C27311">
      <w:pPr>
        <w:pStyle w:val="Heading1"/>
        <w:tabs>
          <w:tab w:val="right" w:pos="9026"/>
        </w:tabs>
        <w:spacing w:before="120" w:after="120" w:line="360" w:lineRule="auto"/>
        <w:jc w:val="both"/>
        <w:rPr>
          <w:rFonts w:ascii="Sylfaen" w:hAnsi="Sylfaen"/>
          <w:b/>
          <w:bCs/>
          <w:color w:val="000000" w:themeColor="text1"/>
          <w:sz w:val="22"/>
          <w:szCs w:val="22"/>
        </w:rPr>
      </w:pPr>
      <w:r w:rsidRPr="00530F48">
        <w:rPr>
          <w:rFonts w:ascii="Sylfaen" w:hAnsi="Sylfaen"/>
          <w:b/>
          <w:bCs/>
          <w:color w:val="000000" w:themeColor="text1"/>
          <w:sz w:val="22"/>
          <w:szCs w:val="22"/>
        </w:rPr>
        <w:t>Bibliography</w:t>
      </w:r>
    </w:p>
    <w:p w14:paraId="6E96258E" w14:textId="77777777" w:rsidR="00530F48" w:rsidRPr="00530F48" w:rsidRDefault="00530F48" w:rsidP="00C27311">
      <w:pPr>
        <w:tabs>
          <w:tab w:val="right" w:pos="9026"/>
          <w:tab w:val="left" w:pos="9214"/>
        </w:tabs>
        <w:spacing w:before="120" w:after="120" w:line="360" w:lineRule="auto"/>
        <w:ind w:right="-46"/>
        <w:jc w:val="both"/>
        <w:rPr>
          <w:rFonts w:ascii="Sylfaen" w:hAnsi="Sylfaen"/>
          <w:color w:val="000000" w:themeColor="text1"/>
        </w:rPr>
      </w:pPr>
      <w:r w:rsidRPr="00530F48">
        <w:rPr>
          <w:rFonts w:ascii="Sylfaen" w:hAnsi="Sylfaen"/>
          <w:color w:val="000000" w:themeColor="text1"/>
        </w:rPr>
        <w:t xml:space="preserve">‘Ouch!’, </w:t>
      </w:r>
      <w:r w:rsidRPr="00530F48">
        <w:rPr>
          <w:rFonts w:ascii="Sylfaen" w:hAnsi="Sylfaen"/>
          <w:i/>
          <w:color w:val="000000" w:themeColor="text1"/>
        </w:rPr>
        <w:t>The Economist</w:t>
      </w:r>
      <w:r w:rsidRPr="00530F48">
        <w:rPr>
          <w:rFonts w:ascii="Sylfaen" w:hAnsi="Sylfaen"/>
          <w:color w:val="000000" w:themeColor="text1"/>
        </w:rPr>
        <w:t xml:space="preserve"> (2010a), 23</w:t>
      </w:r>
      <w:r w:rsidRPr="00530F48">
        <w:rPr>
          <w:rFonts w:ascii="Sylfaen" w:hAnsi="Sylfaen"/>
          <w:color w:val="000000" w:themeColor="text1"/>
          <w:vertAlign w:val="superscript"/>
        </w:rPr>
        <w:t>rd</w:t>
      </w:r>
      <w:r w:rsidRPr="00530F48">
        <w:rPr>
          <w:rFonts w:ascii="Sylfaen" w:hAnsi="Sylfaen"/>
          <w:color w:val="000000" w:themeColor="text1"/>
        </w:rPr>
        <w:t xml:space="preserve"> October 2010, 13.</w:t>
      </w:r>
    </w:p>
    <w:p w14:paraId="112BB50C" w14:textId="77777777" w:rsidR="00530F48" w:rsidRPr="00530F48" w:rsidRDefault="00530F48" w:rsidP="00C27311">
      <w:pPr>
        <w:tabs>
          <w:tab w:val="right" w:pos="9026"/>
          <w:tab w:val="left" w:pos="9214"/>
        </w:tabs>
        <w:spacing w:before="120" w:after="120" w:line="360" w:lineRule="auto"/>
        <w:ind w:right="-46"/>
        <w:jc w:val="both"/>
        <w:rPr>
          <w:rFonts w:ascii="Sylfaen" w:hAnsi="Sylfaen"/>
          <w:color w:val="000000" w:themeColor="text1"/>
        </w:rPr>
      </w:pPr>
      <w:r w:rsidRPr="00530F48">
        <w:rPr>
          <w:rFonts w:ascii="Sylfaen" w:hAnsi="Sylfaen"/>
          <w:color w:val="000000" w:themeColor="text1"/>
        </w:rPr>
        <w:t xml:space="preserve">‘The growth surprise: So far, so good’, </w:t>
      </w:r>
      <w:r w:rsidRPr="00530F48">
        <w:rPr>
          <w:rFonts w:ascii="Sylfaen" w:hAnsi="Sylfaen"/>
          <w:i/>
          <w:color w:val="000000" w:themeColor="text1"/>
        </w:rPr>
        <w:t>The Economist</w:t>
      </w:r>
      <w:r w:rsidRPr="00530F48">
        <w:rPr>
          <w:rFonts w:ascii="Sylfaen" w:hAnsi="Sylfaen"/>
          <w:color w:val="000000" w:themeColor="text1"/>
        </w:rPr>
        <w:t xml:space="preserve"> (2010b), 30</w:t>
      </w:r>
      <w:r w:rsidRPr="00530F48">
        <w:rPr>
          <w:rFonts w:ascii="Sylfaen" w:hAnsi="Sylfaen"/>
          <w:color w:val="000000" w:themeColor="text1"/>
          <w:vertAlign w:val="superscript"/>
        </w:rPr>
        <w:t>th</w:t>
      </w:r>
      <w:r w:rsidRPr="00530F48">
        <w:rPr>
          <w:rFonts w:ascii="Sylfaen" w:hAnsi="Sylfaen"/>
          <w:color w:val="000000" w:themeColor="text1"/>
        </w:rPr>
        <w:t xml:space="preserve"> October 2010, 34.</w:t>
      </w:r>
    </w:p>
    <w:p w14:paraId="54CD3598" w14:textId="77777777" w:rsidR="00530F48" w:rsidRPr="00530F48" w:rsidRDefault="00530F48" w:rsidP="00C27311">
      <w:pPr>
        <w:tabs>
          <w:tab w:val="right" w:pos="9026"/>
          <w:tab w:val="left" w:pos="9214"/>
        </w:tabs>
        <w:spacing w:before="120" w:after="120" w:line="360" w:lineRule="auto"/>
        <w:ind w:right="-46"/>
        <w:jc w:val="both"/>
        <w:rPr>
          <w:rFonts w:ascii="Sylfaen" w:hAnsi="Sylfaen"/>
          <w:color w:val="000000" w:themeColor="text1"/>
        </w:rPr>
      </w:pPr>
      <w:r w:rsidRPr="00530F48">
        <w:rPr>
          <w:rFonts w:ascii="Sylfaen" w:hAnsi="Sylfaen"/>
          <w:color w:val="000000" w:themeColor="text1"/>
        </w:rPr>
        <w:t xml:space="preserve">Bernanke, Ben S., Laubach, Thomas., Mishkin, Frederic S. and Posen, Adam S. (1999) </w:t>
      </w:r>
      <w:r w:rsidRPr="00530F48">
        <w:rPr>
          <w:rFonts w:ascii="Sylfaen" w:hAnsi="Sylfaen"/>
          <w:i/>
          <w:color w:val="000000" w:themeColor="text1"/>
        </w:rPr>
        <w:t>Inflation Targeting: Lessons from the International Experience</w:t>
      </w:r>
      <w:r w:rsidRPr="00530F48">
        <w:rPr>
          <w:rFonts w:ascii="Sylfaen" w:hAnsi="Sylfaen"/>
          <w:color w:val="000000" w:themeColor="text1"/>
        </w:rPr>
        <w:t>. Princeton: Princeton University Press.</w:t>
      </w:r>
    </w:p>
    <w:p w14:paraId="5F8DF6D0" w14:textId="77777777" w:rsidR="00530F48" w:rsidRPr="00530F48" w:rsidRDefault="00530F48" w:rsidP="00C27311">
      <w:pPr>
        <w:tabs>
          <w:tab w:val="right" w:pos="9026"/>
          <w:tab w:val="left" w:pos="9214"/>
        </w:tabs>
        <w:spacing w:before="120" w:after="120" w:line="360" w:lineRule="auto"/>
        <w:ind w:right="-46"/>
        <w:jc w:val="both"/>
        <w:rPr>
          <w:rFonts w:ascii="Sylfaen" w:hAnsi="Sylfaen"/>
          <w:color w:val="000000" w:themeColor="text1"/>
        </w:rPr>
      </w:pPr>
      <w:r w:rsidRPr="00530F48">
        <w:rPr>
          <w:rFonts w:ascii="Sylfaen" w:hAnsi="Sylfaen"/>
          <w:color w:val="000000" w:themeColor="text1"/>
        </w:rPr>
        <w:t xml:space="preserve">Budd, Alan. (2005) </w:t>
      </w:r>
      <w:r w:rsidRPr="00530F48">
        <w:rPr>
          <w:rFonts w:ascii="Sylfaen" w:hAnsi="Sylfaen"/>
          <w:i/>
          <w:color w:val="000000" w:themeColor="text1"/>
        </w:rPr>
        <w:t>Black Wednesday: A re-examination of Britain’s experience in the Exchange Rate Mechanism</w:t>
      </w:r>
      <w:r w:rsidRPr="00530F48">
        <w:rPr>
          <w:rFonts w:ascii="Sylfaen" w:hAnsi="Sylfaen"/>
          <w:color w:val="000000" w:themeColor="text1"/>
        </w:rPr>
        <w:t>. London: Institute of Economic Affairs.</w:t>
      </w:r>
    </w:p>
    <w:p w14:paraId="6442674C" w14:textId="77777777" w:rsidR="00530F48" w:rsidRPr="00530F48" w:rsidRDefault="00530F48" w:rsidP="00C27311">
      <w:pPr>
        <w:tabs>
          <w:tab w:val="right" w:pos="9026"/>
          <w:tab w:val="left" w:pos="9214"/>
        </w:tabs>
        <w:spacing w:before="120" w:after="120" w:line="360" w:lineRule="auto"/>
        <w:ind w:right="-46"/>
        <w:jc w:val="both"/>
        <w:rPr>
          <w:rFonts w:ascii="Sylfaen" w:hAnsi="Sylfaen"/>
          <w:color w:val="000000" w:themeColor="text1"/>
        </w:rPr>
      </w:pPr>
      <w:r w:rsidRPr="00530F48">
        <w:rPr>
          <w:rFonts w:ascii="Sylfaen" w:hAnsi="Sylfaen"/>
          <w:color w:val="000000" w:themeColor="text1"/>
        </w:rPr>
        <w:t xml:space="preserve">Congdon, Tim. (1989) </w:t>
      </w:r>
      <w:r w:rsidRPr="00530F48">
        <w:rPr>
          <w:rFonts w:ascii="Sylfaen" w:hAnsi="Sylfaen"/>
          <w:i/>
          <w:color w:val="000000" w:themeColor="text1"/>
        </w:rPr>
        <w:t>Monetarism Lost, and why it must be regained</w:t>
      </w:r>
      <w:r w:rsidRPr="00530F48">
        <w:rPr>
          <w:rFonts w:ascii="Sylfaen" w:hAnsi="Sylfaen"/>
          <w:color w:val="000000" w:themeColor="text1"/>
        </w:rPr>
        <w:t>. London: Centre for Policy Studies.</w:t>
      </w:r>
    </w:p>
    <w:p w14:paraId="6281B15D" w14:textId="77777777" w:rsidR="00530F48" w:rsidRPr="00530F48" w:rsidRDefault="00530F48" w:rsidP="00C27311">
      <w:pPr>
        <w:tabs>
          <w:tab w:val="right" w:pos="9026"/>
          <w:tab w:val="left" w:pos="9214"/>
        </w:tabs>
        <w:spacing w:before="120" w:after="120" w:line="360" w:lineRule="auto"/>
        <w:ind w:right="-46"/>
        <w:jc w:val="both"/>
        <w:rPr>
          <w:rFonts w:ascii="Sylfaen" w:hAnsi="Sylfaen"/>
          <w:color w:val="000000" w:themeColor="text1"/>
        </w:rPr>
      </w:pPr>
      <w:r w:rsidRPr="00530F48">
        <w:rPr>
          <w:rFonts w:ascii="Sylfaen" w:hAnsi="Sylfaen"/>
          <w:color w:val="000000" w:themeColor="text1"/>
        </w:rPr>
        <w:t xml:space="preserve">Congdon, Tim. (1992) </w:t>
      </w:r>
      <w:r w:rsidRPr="00530F48">
        <w:rPr>
          <w:rFonts w:ascii="Sylfaen" w:hAnsi="Sylfaen"/>
          <w:i/>
          <w:color w:val="000000" w:themeColor="text1"/>
        </w:rPr>
        <w:t>Reflections on Monetarism: Britain’s Vain Search for a Successful Economic Strategy</w:t>
      </w:r>
      <w:r w:rsidRPr="00530F48">
        <w:rPr>
          <w:rFonts w:ascii="Sylfaen" w:hAnsi="Sylfaen"/>
          <w:color w:val="000000" w:themeColor="text1"/>
        </w:rPr>
        <w:t>. Cheltenham: Edward Elgar.</w:t>
      </w:r>
    </w:p>
    <w:p w14:paraId="247E2610" w14:textId="77777777" w:rsidR="00530F48" w:rsidRPr="00530F48" w:rsidRDefault="00530F48" w:rsidP="00C27311">
      <w:pPr>
        <w:tabs>
          <w:tab w:val="right" w:pos="9026"/>
          <w:tab w:val="left" w:pos="9214"/>
        </w:tabs>
        <w:spacing w:before="120" w:after="120" w:line="360" w:lineRule="auto"/>
        <w:ind w:right="-46"/>
        <w:jc w:val="both"/>
        <w:rPr>
          <w:rFonts w:ascii="Sylfaen" w:hAnsi="Sylfaen"/>
          <w:color w:val="000000" w:themeColor="text1"/>
        </w:rPr>
      </w:pPr>
      <w:r w:rsidRPr="00530F48">
        <w:rPr>
          <w:rFonts w:ascii="Sylfaen" w:hAnsi="Sylfaen"/>
          <w:color w:val="000000" w:themeColor="text1"/>
        </w:rPr>
        <w:t xml:space="preserve">Congdon, Tim (2005a) ‘Commentary’, in Alan Budd, </w:t>
      </w:r>
      <w:r w:rsidRPr="00530F48">
        <w:rPr>
          <w:rFonts w:ascii="Sylfaen" w:hAnsi="Sylfaen"/>
          <w:i/>
          <w:color w:val="000000" w:themeColor="text1"/>
        </w:rPr>
        <w:t>Black Wednesday: A re-examination of Britain’s experience in the Exchange Rate Mechanism</w:t>
      </w:r>
      <w:r w:rsidRPr="00530F48">
        <w:rPr>
          <w:rFonts w:ascii="Sylfaen" w:hAnsi="Sylfaen"/>
          <w:color w:val="000000" w:themeColor="text1"/>
        </w:rPr>
        <w:t>. London: Institute of Economic Affairs, 43-55.</w:t>
      </w:r>
    </w:p>
    <w:p w14:paraId="1686EF29" w14:textId="77777777" w:rsidR="00530F48" w:rsidRPr="00530F48" w:rsidRDefault="00530F48" w:rsidP="00C27311">
      <w:pPr>
        <w:tabs>
          <w:tab w:val="right" w:pos="9026"/>
          <w:tab w:val="left" w:pos="9214"/>
        </w:tabs>
        <w:spacing w:before="120" w:after="120" w:line="360" w:lineRule="auto"/>
        <w:ind w:right="-46"/>
        <w:jc w:val="both"/>
        <w:rPr>
          <w:rFonts w:ascii="Sylfaen" w:hAnsi="Sylfaen"/>
          <w:color w:val="000000" w:themeColor="text1"/>
        </w:rPr>
      </w:pPr>
      <w:r w:rsidRPr="00530F48">
        <w:rPr>
          <w:rFonts w:ascii="Sylfaen" w:hAnsi="Sylfaen"/>
          <w:color w:val="000000" w:themeColor="text1"/>
        </w:rPr>
        <w:t xml:space="preserve">Congdon, Tim (2005b) </w:t>
      </w:r>
      <w:r w:rsidRPr="00530F48">
        <w:rPr>
          <w:rFonts w:ascii="Sylfaen" w:hAnsi="Sylfaen"/>
          <w:i/>
          <w:color w:val="000000" w:themeColor="text1"/>
        </w:rPr>
        <w:t>Money and Asset Prices in Boom and Bust</w:t>
      </w:r>
      <w:r w:rsidRPr="00530F48">
        <w:rPr>
          <w:rFonts w:ascii="Sylfaen" w:hAnsi="Sylfaen"/>
          <w:color w:val="000000" w:themeColor="text1"/>
        </w:rPr>
        <w:t>. London: Institute of Economic Affairs.</w:t>
      </w:r>
    </w:p>
    <w:p w14:paraId="5191A5FA" w14:textId="77777777" w:rsidR="00530F48" w:rsidRPr="00530F48" w:rsidRDefault="00530F48" w:rsidP="00C27311">
      <w:pPr>
        <w:tabs>
          <w:tab w:val="right" w:pos="9026"/>
          <w:tab w:val="left" w:pos="9214"/>
        </w:tabs>
        <w:spacing w:before="120" w:after="120" w:line="360" w:lineRule="auto"/>
        <w:ind w:right="-46"/>
        <w:jc w:val="both"/>
        <w:rPr>
          <w:rFonts w:ascii="Sylfaen" w:hAnsi="Sylfaen"/>
          <w:color w:val="000000" w:themeColor="text1"/>
        </w:rPr>
      </w:pPr>
      <w:r w:rsidRPr="00530F48">
        <w:rPr>
          <w:rFonts w:ascii="Sylfaen" w:hAnsi="Sylfaen"/>
          <w:color w:val="000000" w:themeColor="text1"/>
        </w:rPr>
        <w:t xml:space="preserve">Congdon, Tim. (2006) ‘The blunders of boom and bust’, </w:t>
      </w:r>
      <w:r w:rsidRPr="00530F48">
        <w:rPr>
          <w:rFonts w:ascii="Sylfaen" w:hAnsi="Sylfaen"/>
          <w:i/>
          <w:color w:val="000000" w:themeColor="text1"/>
        </w:rPr>
        <w:t>Sunday Telegraph</w:t>
      </w:r>
      <w:r w:rsidRPr="00530F48">
        <w:rPr>
          <w:rFonts w:ascii="Sylfaen" w:hAnsi="Sylfaen"/>
          <w:color w:val="000000" w:themeColor="text1"/>
        </w:rPr>
        <w:t>, 3</w:t>
      </w:r>
      <w:r w:rsidRPr="00530F48">
        <w:rPr>
          <w:rFonts w:ascii="Sylfaen" w:hAnsi="Sylfaen"/>
          <w:color w:val="000000" w:themeColor="text1"/>
          <w:vertAlign w:val="superscript"/>
        </w:rPr>
        <w:t>rd</w:t>
      </w:r>
      <w:r w:rsidRPr="00530F48">
        <w:rPr>
          <w:rFonts w:ascii="Sylfaen" w:hAnsi="Sylfaen"/>
          <w:color w:val="000000" w:themeColor="text1"/>
        </w:rPr>
        <w:t xml:space="preserve"> September 2006.</w:t>
      </w:r>
    </w:p>
    <w:p w14:paraId="5B99367E" w14:textId="77777777" w:rsidR="00530F48" w:rsidRPr="00530F48" w:rsidRDefault="00530F48" w:rsidP="00C27311">
      <w:pPr>
        <w:tabs>
          <w:tab w:val="right" w:pos="9026"/>
          <w:tab w:val="left" w:pos="9214"/>
        </w:tabs>
        <w:spacing w:before="120" w:after="120" w:line="360" w:lineRule="auto"/>
        <w:ind w:right="-46"/>
        <w:jc w:val="both"/>
        <w:rPr>
          <w:rFonts w:ascii="Sylfaen" w:hAnsi="Sylfaen"/>
          <w:color w:val="000000" w:themeColor="text1"/>
        </w:rPr>
      </w:pPr>
      <w:r w:rsidRPr="00530F48">
        <w:rPr>
          <w:rFonts w:ascii="Sylfaen" w:hAnsi="Sylfaen"/>
          <w:color w:val="000000" w:themeColor="text1"/>
        </w:rPr>
        <w:t xml:space="preserve">Congdon, Tim. (2007) </w:t>
      </w:r>
      <w:r w:rsidRPr="00530F48">
        <w:rPr>
          <w:rFonts w:ascii="Sylfaen" w:hAnsi="Sylfaen"/>
          <w:i/>
          <w:color w:val="000000" w:themeColor="text1"/>
        </w:rPr>
        <w:t>Keynes, the Keynesians and Monetarism</w:t>
      </w:r>
      <w:r w:rsidRPr="00530F48">
        <w:rPr>
          <w:rFonts w:ascii="Sylfaen" w:hAnsi="Sylfaen"/>
          <w:color w:val="000000" w:themeColor="text1"/>
        </w:rPr>
        <w:t>. Cheltenham: Edward Elgar.</w:t>
      </w:r>
    </w:p>
    <w:p w14:paraId="1FCC7557" w14:textId="77777777" w:rsidR="00530F48" w:rsidRPr="00530F48" w:rsidRDefault="00530F48" w:rsidP="00C27311">
      <w:pPr>
        <w:tabs>
          <w:tab w:val="right" w:pos="9026"/>
          <w:tab w:val="left" w:pos="9214"/>
        </w:tabs>
        <w:spacing w:before="120" w:after="120" w:line="360" w:lineRule="auto"/>
        <w:ind w:right="-46"/>
        <w:jc w:val="both"/>
        <w:rPr>
          <w:rFonts w:ascii="Sylfaen" w:hAnsi="Sylfaen"/>
          <w:color w:val="000000" w:themeColor="text1"/>
        </w:rPr>
      </w:pPr>
      <w:r w:rsidRPr="00530F48">
        <w:rPr>
          <w:rFonts w:ascii="Sylfaen" w:hAnsi="Sylfaen"/>
          <w:color w:val="000000" w:themeColor="text1"/>
        </w:rPr>
        <w:t xml:space="preserve">Fisher, Irving. (1912) </w:t>
      </w:r>
      <w:r w:rsidRPr="00530F48">
        <w:rPr>
          <w:rFonts w:ascii="Sylfaen" w:hAnsi="Sylfaen"/>
          <w:i/>
          <w:color w:val="000000" w:themeColor="text1"/>
        </w:rPr>
        <w:t>Elementary Principles of Economics</w:t>
      </w:r>
      <w:r w:rsidRPr="00530F48">
        <w:rPr>
          <w:rFonts w:ascii="Sylfaen" w:hAnsi="Sylfaen"/>
          <w:color w:val="000000" w:themeColor="text1"/>
        </w:rPr>
        <w:t xml:space="preserve"> (New York: Macmillan).</w:t>
      </w:r>
    </w:p>
    <w:p w14:paraId="01BE3DDC" w14:textId="77777777" w:rsidR="00530F48" w:rsidRPr="00530F48" w:rsidRDefault="00530F48" w:rsidP="00C27311">
      <w:pPr>
        <w:tabs>
          <w:tab w:val="right" w:pos="9026"/>
          <w:tab w:val="left" w:pos="9214"/>
        </w:tabs>
        <w:spacing w:before="120" w:after="120" w:line="360" w:lineRule="auto"/>
        <w:ind w:right="-46"/>
        <w:jc w:val="both"/>
        <w:rPr>
          <w:rFonts w:ascii="Sylfaen" w:hAnsi="Sylfaen"/>
          <w:color w:val="000000" w:themeColor="text1"/>
        </w:rPr>
      </w:pPr>
      <w:r w:rsidRPr="00530F48">
        <w:rPr>
          <w:rFonts w:ascii="Sylfaen" w:hAnsi="Sylfaen"/>
          <w:color w:val="000000" w:themeColor="text1"/>
        </w:rPr>
        <w:t xml:space="preserve">Friedman, Milton. (1968) ‘The Role of Monetary Policy’, </w:t>
      </w:r>
      <w:r w:rsidRPr="00530F48">
        <w:rPr>
          <w:rFonts w:ascii="Sylfaen" w:hAnsi="Sylfaen"/>
          <w:i/>
          <w:color w:val="000000" w:themeColor="text1"/>
        </w:rPr>
        <w:t>American Economic Review</w:t>
      </w:r>
      <w:r w:rsidRPr="00530F48">
        <w:rPr>
          <w:rFonts w:ascii="Sylfaen" w:hAnsi="Sylfaen"/>
          <w:color w:val="000000" w:themeColor="text1"/>
        </w:rPr>
        <w:t xml:space="preserve">, </w:t>
      </w:r>
      <w:r w:rsidRPr="00530F48">
        <w:rPr>
          <w:rFonts w:ascii="Sylfaen" w:hAnsi="Sylfaen"/>
          <w:b/>
          <w:color w:val="000000" w:themeColor="text1"/>
        </w:rPr>
        <w:t>58</w:t>
      </w:r>
      <w:r w:rsidRPr="00530F48">
        <w:rPr>
          <w:rFonts w:ascii="Sylfaen" w:hAnsi="Sylfaen"/>
          <w:color w:val="000000" w:themeColor="text1"/>
        </w:rPr>
        <w:t>, 1-17.</w:t>
      </w:r>
    </w:p>
    <w:p w14:paraId="7A57DDAF" w14:textId="77777777" w:rsidR="00530F48" w:rsidRPr="00530F48" w:rsidRDefault="00530F48" w:rsidP="00C27311">
      <w:pPr>
        <w:tabs>
          <w:tab w:val="right" w:pos="9026"/>
          <w:tab w:val="left" w:pos="9214"/>
        </w:tabs>
        <w:spacing w:before="120" w:after="120" w:line="360" w:lineRule="auto"/>
        <w:ind w:right="-46"/>
        <w:jc w:val="both"/>
        <w:rPr>
          <w:rFonts w:ascii="Sylfaen" w:hAnsi="Sylfaen"/>
          <w:color w:val="000000" w:themeColor="text1"/>
        </w:rPr>
      </w:pPr>
      <w:r w:rsidRPr="00530F48">
        <w:rPr>
          <w:rFonts w:ascii="Sylfaen" w:hAnsi="Sylfaen"/>
          <w:color w:val="000000" w:themeColor="text1"/>
        </w:rPr>
        <w:lastRenderedPageBreak/>
        <w:t xml:space="preserve">Goodhart, C.A.E. (1989) ‘The Conduct of Monetary Policy’, </w:t>
      </w:r>
      <w:r w:rsidRPr="00530F48">
        <w:rPr>
          <w:rFonts w:ascii="Sylfaen" w:hAnsi="Sylfaen"/>
          <w:i/>
          <w:color w:val="000000" w:themeColor="text1"/>
        </w:rPr>
        <w:t>Economic Journal</w:t>
      </w:r>
      <w:r w:rsidRPr="00530F48">
        <w:rPr>
          <w:rFonts w:ascii="Sylfaen" w:hAnsi="Sylfaen"/>
          <w:color w:val="000000" w:themeColor="text1"/>
        </w:rPr>
        <w:t xml:space="preserve">, </w:t>
      </w:r>
      <w:r w:rsidRPr="00530F48">
        <w:rPr>
          <w:rFonts w:ascii="Sylfaen" w:hAnsi="Sylfaen"/>
          <w:b/>
          <w:color w:val="000000" w:themeColor="text1"/>
        </w:rPr>
        <w:t>99</w:t>
      </w:r>
      <w:r w:rsidRPr="00530F48">
        <w:rPr>
          <w:rFonts w:ascii="Sylfaen" w:hAnsi="Sylfaen"/>
          <w:color w:val="000000" w:themeColor="text1"/>
        </w:rPr>
        <w:t>, 293-346.</w:t>
      </w:r>
    </w:p>
    <w:p w14:paraId="17E08EB2" w14:textId="77777777" w:rsidR="00530F48" w:rsidRPr="00530F48" w:rsidRDefault="00530F48" w:rsidP="00C27311">
      <w:pPr>
        <w:tabs>
          <w:tab w:val="right" w:pos="9026"/>
          <w:tab w:val="left" w:pos="9214"/>
        </w:tabs>
        <w:spacing w:before="120" w:after="120" w:line="360" w:lineRule="auto"/>
        <w:ind w:right="-46"/>
        <w:jc w:val="both"/>
        <w:rPr>
          <w:rFonts w:ascii="Sylfaen" w:hAnsi="Sylfaen"/>
          <w:color w:val="000000" w:themeColor="text1"/>
        </w:rPr>
      </w:pPr>
      <w:r w:rsidRPr="00530F48">
        <w:rPr>
          <w:rFonts w:ascii="Sylfaen" w:hAnsi="Sylfaen"/>
          <w:color w:val="000000" w:themeColor="text1"/>
        </w:rPr>
        <w:t xml:space="preserve">Goodhart, C.A.E. (1995) </w:t>
      </w:r>
      <w:r w:rsidRPr="00530F48">
        <w:rPr>
          <w:rFonts w:ascii="Sylfaen" w:hAnsi="Sylfaen"/>
          <w:i/>
          <w:color w:val="000000" w:themeColor="text1"/>
        </w:rPr>
        <w:t>The Central Bank and the Financial System</w:t>
      </w:r>
      <w:r w:rsidRPr="00530F48">
        <w:rPr>
          <w:rFonts w:ascii="Sylfaen" w:hAnsi="Sylfaen"/>
          <w:color w:val="000000" w:themeColor="text1"/>
        </w:rPr>
        <w:t>. Basingstoke: Macmillan.</w:t>
      </w:r>
    </w:p>
    <w:p w14:paraId="1CCF007B" w14:textId="77777777" w:rsidR="00530F48" w:rsidRPr="00530F48" w:rsidRDefault="00530F48" w:rsidP="00C27311">
      <w:pPr>
        <w:tabs>
          <w:tab w:val="right" w:pos="9026"/>
          <w:tab w:val="left" w:pos="9214"/>
        </w:tabs>
        <w:spacing w:before="120" w:after="120" w:line="360" w:lineRule="auto"/>
        <w:ind w:right="-46"/>
        <w:jc w:val="both"/>
        <w:rPr>
          <w:rFonts w:ascii="Sylfaen" w:hAnsi="Sylfaen"/>
          <w:color w:val="000000" w:themeColor="text1"/>
        </w:rPr>
      </w:pPr>
      <w:r w:rsidRPr="00530F48">
        <w:rPr>
          <w:rFonts w:ascii="Sylfaen" w:hAnsi="Sylfaen"/>
          <w:color w:val="000000" w:themeColor="text1"/>
        </w:rPr>
        <w:t xml:space="preserve">Greenwood, John. (2009) ‘The Successes and Failures of UK Monetary Policy, 2000-08’, in Philip Booth (Eds.), </w:t>
      </w:r>
      <w:r w:rsidRPr="00530F48">
        <w:rPr>
          <w:rFonts w:ascii="Sylfaen" w:hAnsi="Sylfaen"/>
          <w:i/>
          <w:color w:val="000000" w:themeColor="text1"/>
        </w:rPr>
        <w:t>Verdict on the Crash: Causes and Policy Implications</w:t>
      </w:r>
      <w:r w:rsidRPr="00530F48">
        <w:rPr>
          <w:rFonts w:ascii="Sylfaen" w:hAnsi="Sylfaen"/>
          <w:color w:val="000000" w:themeColor="text1"/>
        </w:rPr>
        <w:t>. London: Institute of Economic Affairs, 37-43.</w:t>
      </w:r>
    </w:p>
    <w:p w14:paraId="4C5242E7" w14:textId="77777777" w:rsidR="00530F48" w:rsidRPr="00530F48" w:rsidRDefault="00530F48" w:rsidP="00C27311">
      <w:pPr>
        <w:tabs>
          <w:tab w:val="right" w:pos="9026"/>
          <w:tab w:val="left" w:pos="9214"/>
        </w:tabs>
        <w:spacing w:before="120" w:after="120" w:line="360" w:lineRule="auto"/>
        <w:ind w:right="-46"/>
        <w:jc w:val="both"/>
        <w:rPr>
          <w:rFonts w:ascii="Sylfaen" w:hAnsi="Sylfaen"/>
          <w:color w:val="000000" w:themeColor="text1"/>
        </w:rPr>
      </w:pPr>
      <w:r w:rsidRPr="00530F48">
        <w:rPr>
          <w:rFonts w:ascii="Sylfaen" w:hAnsi="Sylfaen"/>
          <w:color w:val="000000" w:themeColor="text1"/>
        </w:rPr>
        <w:t xml:space="preserve">Lamont, Norman. (2006) ‘Out of the Ashes’, in Howard Davies (Eds.), </w:t>
      </w:r>
      <w:r w:rsidRPr="00530F48">
        <w:rPr>
          <w:rFonts w:ascii="Sylfaen" w:hAnsi="Sylfaen"/>
          <w:i/>
          <w:color w:val="000000" w:themeColor="text1"/>
        </w:rPr>
        <w:t>The Chancellors’ Tales: Managing the British Economy</w:t>
      </w:r>
      <w:r w:rsidRPr="00530F48">
        <w:rPr>
          <w:rFonts w:ascii="Sylfaen" w:hAnsi="Sylfaen"/>
          <w:color w:val="000000" w:themeColor="text1"/>
        </w:rPr>
        <w:t>. Cambridge: Polity Press, 147-178.</w:t>
      </w:r>
    </w:p>
    <w:p w14:paraId="0ADD780E" w14:textId="77777777" w:rsidR="00530F48" w:rsidRPr="00530F48" w:rsidRDefault="00530F48" w:rsidP="00C27311">
      <w:pPr>
        <w:tabs>
          <w:tab w:val="right" w:pos="9026"/>
          <w:tab w:val="left" w:pos="9214"/>
        </w:tabs>
        <w:spacing w:before="120" w:after="120" w:line="360" w:lineRule="auto"/>
        <w:ind w:right="-46"/>
        <w:jc w:val="both"/>
        <w:rPr>
          <w:rFonts w:ascii="Sylfaen" w:hAnsi="Sylfaen" w:cstheme="majorBidi"/>
          <w:color w:val="000000" w:themeColor="text1"/>
        </w:rPr>
      </w:pPr>
      <w:r w:rsidRPr="00530F48">
        <w:rPr>
          <w:rFonts w:ascii="Sylfaen" w:hAnsi="Sylfaen"/>
          <w:color w:val="000000" w:themeColor="text1"/>
        </w:rPr>
        <w:t xml:space="preserve">Phelps, Edmund. (1968) ‘Money-Wage Dynamics and Labour-Market Equilibrium’, </w:t>
      </w:r>
      <w:r w:rsidRPr="00530F48">
        <w:rPr>
          <w:rFonts w:ascii="Sylfaen" w:hAnsi="Sylfaen"/>
          <w:i/>
          <w:color w:val="000000" w:themeColor="text1"/>
        </w:rPr>
        <w:t>Journal of Political Economy</w:t>
      </w:r>
      <w:r w:rsidRPr="00530F48">
        <w:rPr>
          <w:rFonts w:ascii="Sylfaen" w:hAnsi="Sylfaen"/>
          <w:color w:val="000000" w:themeColor="text1"/>
        </w:rPr>
        <w:t xml:space="preserve">, </w:t>
      </w:r>
      <w:r w:rsidRPr="00530F48">
        <w:rPr>
          <w:rFonts w:ascii="Sylfaen" w:hAnsi="Sylfaen"/>
          <w:b/>
          <w:color w:val="000000" w:themeColor="text1"/>
        </w:rPr>
        <w:t>76</w:t>
      </w:r>
      <w:r w:rsidRPr="00530F48">
        <w:rPr>
          <w:rFonts w:ascii="Sylfaen" w:hAnsi="Sylfaen"/>
          <w:color w:val="000000" w:themeColor="text1"/>
        </w:rPr>
        <w:t>, 678-711.</w:t>
      </w:r>
    </w:p>
    <w:sdt>
      <w:sdtPr>
        <w:rPr>
          <w:rFonts w:ascii="Sylfaen" w:hAnsi="Sylfaen"/>
          <w:color w:val="000000" w:themeColor="text1"/>
        </w:rPr>
        <w:id w:val="5698571"/>
        <w:showingPlcHdr/>
        <w:bibliography/>
      </w:sdtPr>
      <w:sdtEndPr/>
      <w:sdtContent>
        <w:p w14:paraId="1BE9291F" w14:textId="4825D62C" w:rsidR="006740DB" w:rsidRPr="00530F48" w:rsidRDefault="00530F48" w:rsidP="00C27311">
          <w:pPr>
            <w:tabs>
              <w:tab w:val="right" w:pos="9026"/>
            </w:tabs>
            <w:spacing w:before="120" w:after="120" w:line="360" w:lineRule="auto"/>
            <w:jc w:val="both"/>
            <w:rPr>
              <w:rFonts w:ascii="Sylfaen" w:hAnsi="Sylfaen"/>
              <w:color w:val="000000" w:themeColor="text1"/>
            </w:rPr>
          </w:pPr>
          <w:r w:rsidRPr="00530F48">
            <w:rPr>
              <w:rFonts w:ascii="Sylfaen" w:hAnsi="Sylfaen"/>
              <w:color w:val="000000" w:themeColor="text1"/>
            </w:rPr>
            <w:t xml:space="preserve">     </w:t>
          </w:r>
        </w:p>
      </w:sdtContent>
    </w:sdt>
    <w:p w14:paraId="5DECB3DF" w14:textId="5B702911" w:rsidR="00A649EF" w:rsidRPr="00530F48" w:rsidRDefault="004B5389" w:rsidP="00C27311">
      <w:pPr>
        <w:tabs>
          <w:tab w:val="right" w:pos="9026"/>
        </w:tabs>
        <w:spacing w:before="120" w:after="120" w:line="360" w:lineRule="auto"/>
        <w:jc w:val="both"/>
        <w:rPr>
          <w:rFonts w:ascii="Sylfaen" w:eastAsia="Times New Roman" w:hAnsi="Sylfaen" w:cs="Times New Roman"/>
          <w:color w:val="000000" w:themeColor="text1"/>
          <w:lang w:eastAsia="en-GB"/>
        </w:rPr>
      </w:pPr>
      <w:r w:rsidRPr="00530F48">
        <w:rPr>
          <w:rFonts w:ascii="Sylfaen" w:eastAsia="Times New Roman" w:hAnsi="Sylfaen" w:cs="Arial"/>
          <w:color w:val="000000" w:themeColor="text1"/>
          <w:shd w:val="clear" w:color="auto" w:fill="FFFFFF"/>
          <w:lang w:eastAsia="en-GB"/>
        </w:rPr>
        <w:t>©</w:t>
      </w:r>
      <w:r w:rsidR="00530F48" w:rsidRPr="00530F48">
        <w:rPr>
          <w:rFonts w:ascii="Sylfaen" w:eastAsia="Times New Roman" w:hAnsi="Sylfaen" w:cs="Arial"/>
          <w:color w:val="000000" w:themeColor="text1"/>
          <w:shd w:val="clear" w:color="auto" w:fill="FFFFFF"/>
          <w:lang w:eastAsia="en-GB"/>
        </w:rPr>
        <w:t>Richard Wade</w:t>
      </w:r>
      <w:r w:rsidR="001A2A5F" w:rsidRPr="00530F48">
        <w:rPr>
          <w:rFonts w:ascii="Sylfaen" w:eastAsia="Times New Roman" w:hAnsi="Sylfaen" w:cs="Arial"/>
          <w:color w:val="000000" w:themeColor="text1"/>
          <w:shd w:val="clear" w:color="auto" w:fill="FFFFFF"/>
          <w:lang w:eastAsia="en-GB"/>
        </w:rPr>
        <w:t>.</w:t>
      </w:r>
      <w:r w:rsidRPr="00530F48">
        <w:rPr>
          <w:rFonts w:ascii="Sylfaen" w:eastAsia="Times New Roman" w:hAnsi="Sylfaen" w:cs="Arial"/>
          <w:color w:val="000000" w:themeColor="text1"/>
          <w:shd w:val="clear" w:color="auto" w:fill="FFFFFF"/>
          <w:lang w:eastAsia="en-GB"/>
        </w:rPr>
        <w:t xml:space="preserve"> This article is licensed under a Creative Commons Attribution 4.0 International Licence (CC BY).</w:t>
      </w:r>
    </w:p>
    <w:sectPr w:rsidR="00A649EF" w:rsidRPr="00530F48" w:rsidSect="00BE6334">
      <w:headerReference w:type="default" r:id="rId8"/>
      <w:footerReference w:type="default" r:id="rId9"/>
      <w:footerReference w:type="firs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B8BBF9" w14:textId="77777777" w:rsidR="00FE5E51" w:rsidRDefault="00FE5E51" w:rsidP="002B247D">
      <w:pPr>
        <w:spacing w:after="0" w:line="240" w:lineRule="auto"/>
      </w:pPr>
      <w:r>
        <w:separator/>
      </w:r>
    </w:p>
  </w:endnote>
  <w:endnote w:type="continuationSeparator" w:id="0">
    <w:p w14:paraId="3BB5D525" w14:textId="77777777" w:rsidR="00FE5E51" w:rsidRDefault="00FE5E51"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Helvetica">
    <w:panose1 w:val="00000000000000000000"/>
    <w:charset w:val="00"/>
    <w:family w:val="auto"/>
    <w:notTrueType/>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dobe Garamond Pro">
    <w:altName w:val="Times New Roman"/>
    <w:panose1 w:val="020B0604020202020204"/>
    <w:charset w:val="00"/>
    <w:family w:val="roman"/>
    <w:notTrueType/>
    <w:pitch w:val="variable"/>
    <w:sig w:usb0="00000007" w:usb1="00000001" w:usb2="00000000" w:usb3="00000000" w:csb0="00000093" w:csb1="00000000"/>
  </w:font>
  <w:font w:name="Liberation Serif">
    <w:altName w:val="MS Mincho"/>
    <w:panose1 w:val="020B0604020202020204"/>
    <w:charset w:val="80"/>
    <w:family w:val="roman"/>
    <w:pitch w:val="variable"/>
  </w:font>
  <w:font w:name="DejaVu Sans">
    <w:altName w:val="MS Mincho"/>
    <w:panose1 w:val="020B0604020202020204"/>
    <w:charset w:val="80"/>
    <w:family w:val="auto"/>
    <w:pitch w:val="variable"/>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2040503050203030202"/>
    <w:charset w:val="01"/>
    <w:family w:val="roman"/>
    <w:pitch w:val="variable"/>
    <w:sig w:usb0="0000A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rPr>
            <w:rFonts w:ascii="Sylfaen" w:hAnsi="Sylfaen"/>
          </w:rPr>
        </w:pPr>
      </w:p>
      <w:p w14:paraId="3655714B" w14:textId="414009F4" w:rsidR="00BE6334" w:rsidRPr="00990D5E" w:rsidRDefault="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D35A7A">
          <w:rPr>
            <w:rFonts w:ascii="Sylfaen" w:hAnsi="Sylfaen"/>
            <w:noProof/>
          </w:rPr>
          <w:t>2</w:t>
        </w:r>
        <w:r w:rsidRPr="00990D5E">
          <w:rPr>
            <w:rFonts w:ascii="Sylfaen" w:hAnsi="Sylfaen"/>
            <w:noProof/>
          </w:rPr>
          <w:fldChar w:fldCharType="end"/>
        </w:r>
      </w:p>
      <w:p w14:paraId="01B5BDD7" w14:textId="1EECD896" w:rsidR="00BE6334" w:rsidRPr="00990D5E" w:rsidRDefault="00BE6334" w:rsidP="008B2EFC">
        <w:pPr>
          <w:pStyle w:val="Footer"/>
          <w:jc w:val="center"/>
          <w:rPr>
            <w:rFonts w:ascii="Sylfaen" w:hAnsi="Sylfaen"/>
            <w:noProof/>
            <w:sz w:val="20"/>
            <w:szCs w:val="20"/>
          </w:rPr>
        </w:pPr>
        <w:r w:rsidRPr="00990D5E">
          <w:rPr>
            <w:rFonts w:ascii="Sylfaen" w:hAnsi="Sylfaen"/>
            <w:noProof/>
            <w:sz w:val="20"/>
            <w:szCs w:val="20"/>
          </w:rPr>
          <w:t>This article is CC B</w:t>
        </w:r>
        <w:r w:rsidR="00B60FEA">
          <w:rPr>
            <w:rFonts w:ascii="Sylfaen" w:hAnsi="Sylfaen"/>
            <w:noProof/>
            <w:sz w:val="20"/>
            <w:szCs w:val="20"/>
          </w:rPr>
          <w:t xml:space="preserve">Y </w:t>
        </w:r>
        <w:r w:rsidR="00377E4F">
          <w:rPr>
            <w:rFonts w:ascii="Sylfaen" w:hAnsi="Sylfaen"/>
            <w:noProof/>
            <w:sz w:val="20"/>
            <w:szCs w:val="20"/>
          </w:rPr>
          <w:t>Richard Wade</w:t>
        </w:r>
        <w:r w:rsidRPr="00990D5E">
          <w:rPr>
            <w:rFonts w:ascii="Sylfaen" w:hAnsi="Sylfaen"/>
            <w:noProof/>
            <w:sz w:val="20"/>
            <w:szCs w:val="20"/>
          </w:rPr>
          <w:tab/>
        </w:r>
        <w:r w:rsidRPr="00990D5E">
          <w:rPr>
            <w:rFonts w:ascii="Sylfaen" w:hAnsi="Sylfaen"/>
            <w:noProof/>
            <w:sz w:val="20"/>
            <w:szCs w:val="20"/>
          </w:rPr>
          <w:tab/>
          <w:t xml:space="preserve">Essex Student Journal, </w:t>
        </w:r>
        <w:r w:rsidR="00091FA9">
          <w:rPr>
            <w:rFonts w:ascii="Sylfaen" w:hAnsi="Sylfaen"/>
            <w:noProof/>
            <w:sz w:val="20"/>
            <w:szCs w:val="20"/>
          </w:rPr>
          <w:t>201</w:t>
        </w:r>
        <w:r w:rsidR="00B60FEA">
          <w:rPr>
            <w:rFonts w:ascii="Sylfaen" w:hAnsi="Sylfaen"/>
            <w:noProof/>
            <w:sz w:val="20"/>
            <w:szCs w:val="20"/>
          </w:rPr>
          <w:t>1</w:t>
        </w:r>
        <w:r w:rsidR="00091FA9">
          <w:rPr>
            <w:rFonts w:ascii="Sylfaen" w:hAnsi="Sylfaen"/>
            <w:noProof/>
            <w:sz w:val="20"/>
            <w:szCs w:val="20"/>
          </w:rPr>
          <w:t xml:space="preserve">, </w:t>
        </w:r>
        <w:r w:rsidR="008B2EFC">
          <w:rPr>
            <w:rFonts w:ascii="Sylfaen" w:hAnsi="Sylfaen"/>
            <w:noProof/>
            <w:sz w:val="20"/>
            <w:szCs w:val="20"/>
          </w:rPr>
          <w:t>Vol.</w:t>
        </w:r>
        <w:r w:rsidR="003738EB">
          <w:rPr>
            <w:rFonts w:ascii="Sylfaen" w:hAnsi="Sylfaen"/>
            <w:noProof/>
            <w:sz w:val="20"/>
            <w:szCs w:val="20"/>
          </w:rPr>
          <w:t>3</w:t>
        </w:r>
        <w:r w:rsidR="004B324C">
          <w:rPr>
            <w:rFonts w:ascii="Sylfaen" w:hAnsi="Sylfaen"/>
            <w:noProof/>
            <w:sz w:val="20"/>
            <w:szCs w:val="20"/>
          </w:rPr>
          <w:t>(</w:t>
        </w:r>
        <w:r w:rsidR="003738EB">
          <w:rPr>
            <w:rFonts w:ascii="Sylfaen" w:hAnsi="Sylfaen"/>
            <w:noProof/>
            <w:sz w:val="20"/>
            <w:szCs w:val="20"/>
          </w:rPr>
          <w:t>2</w:t>
        </w:r>
        <w:r w:rsidR="008B2EFC">
          <w:rPr>
            <w:rFonts w:ascii="Sylfaen" w:hAnsi="Sylfaen"/>
            <w:noProof/>
            <w:sz w:val="20"/>
            <w:szCs w:val="20"/>
          </w:rPr>
          <w:t>)</w:t>
        </w:r>
      </w:p>
    </w:sdtContent>
  </w:sdt>
  <w:p w14:paraId="793C577F" w14:textId="6A66E136" w:rsidR="00BE6334" w:rsidRPr="00990D5E" w:rsidRDefault="00BE6334">
    <w:pPr>
      <w:pStyle w:val="Footer"/>
      <w:rPr>
        <w:rFonts w:ascii="Sylfaen" w:hAnsi="Sylfaen"/>
        <w:sz w:val="20"/>
        <w:szCs w:val="20"/>
      </w:rPr>
    </w:pPr>
    <w:r w:rsidRPr="00990D5E">
      <w:rPr>
        <w:rFonts w:ascii="Sylfaen" w:hAnsi="Sylfaen"/>
        <w:sz w:val="20"/>
        <w:szCs w:val="20"/>
      </w:rPr>
      <w:t xml:space="preserve">DOI: </w:t>
    </w:r>
    <w:r w:rsidR="004B5389">
      <w:rPr>
        <w:rFonts w:ascii="Sylfaen" w:hAnsi="Sylfaen"/>
        <w:sz w:val="20"/>
        <w:szCs w:val="20"/>
      </w:rPr>
      <w:t>https://doi.org/10.5526/esj</w:t>
    </w:r>
    <w:r w:rsidR="001374B7">
      <w:rPr>
        <w:rFonts w:ascii="Sylfaen" w:hAnsi="Sylfaen"/>
        <w:sz w:val="20"/>
        <w:szCs w:val="20"/>
      </w:rPr>
      <w:t>1</w:t>
    </w:r>
    <w:r w:rsidR="003738EB">
      <w:rPr>
        <w:rFonts w:ascii="Sylfaen" w:hAnsi="Sylfaen"/>
        <w:sz w:val="20"/>
        <w:szCs w:val="20"/>
      </w:rPr>
      <w:t>10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rPr>
            <w:rFonts w:ascii="Sylfaen" w:hAnsi="Sylfaen"/>
          </w:rPr>
        </w:pPr>
      </w:p>
      <w:p w14:paraId="17E0F48F" w14:textId="12DA4930" w:rsidR="00BE6334" w:rsidRPr="00990D5E" w:rsidRDefault="00BE6334" w:rsidP="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A55EA2">
          <w:rPr>
            <w:rFonts w:ascii="Sylfaen" w:hAnsi="Sylfaen"/>
            <w:noProof/>
          </w:rPr>
          <w:t>1</w:t>
        </w:r>
        <w:r w:rsidRPr="00990D5E">
          <w:rPr>
            <w:rFonts w:ascii="Sylfaen" w:hAnsi="Sylfaen"/>
            <w:noProof/>
          </w:rPr>
          <w:fldChar w:fldCharType="end"/>
        </w:r>
      </w:p>
      <w:p w14:paraId="6152AABE" w14:textId="71506AF6" w:rsidR="00BE6334" w:rsidRPr="00990D5E" w:rsidRDefault="00A55EA2" w:rsidP="00A55EA2">
        <w:pPr>
          <w:pStyle w:val="Footer"/>
          <w:jc w:val="center"/>
          <w:rPr>
            <w:rFonts w:ascii="Sylfaen" w:hAnsi="Sylfaen"/>
            <w:sz w:val="20"/>
            <w:szCs w:val="20"/>
          </w:rPr>
        </w:pPr>
        <w:r>
          <w:rPr>
            <w:rFonts w:ascii="Sylfaen" w:hAnsi="Sylfaen"/>
            <w:noProof/>
            <w:sz w:val="20"/>
            <w:szCs w:val="20"/>
          </w:rPr>
          <w:tab/>
        </w:r>
        <w:r>
          <w:rPr>
            <w:rFonts w:ascii="Sylfaen" w:hAnsi="Sylfaen"/>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DC410" w14:textId="77777777" w:rsidR="00FE5E51" w:rsidRDefault="00FE5E51" w:rsidP="002B247D">
      <w:pPr>
        <w:spacing w:after="0" w:line="240" w:lineRule="auto"/>
      </w:pPr>
      <w:r>
        <w:separator/>
      </w:r>
    </w:p>
  </w:footnote>
  <w:footnote w:type="continuationSeparator" w:id="0">
    <w:p w14:paraId="61A46FAF" w14:textId="77777777" w:rsidR="00FE5E51" w:rsidRDefault="00FE5E51" w:rsidP="002B247D">
      <w:pPr>
        <w:spacing w:after="0" w:line="240" w:lineRule="auto"/>
      </w:pPr>
      <w:r>
        <w:continuationSeparator/>
      </w:r>
    </w:p>
  </w:footnote>
  <w:footnote w:id="1">
    <w:p w14:paraId="157584A4" w14:textId="77777777" w:rsidR="00392577" w:rsidRPr="00530F48" w:rsidRDefault="00392577" w:rsidP="00392577">
      <w:pPr>
        <w:pStyle w:val="FootnoteText"/>
        <w:jc w:val="both"/>
        <w:rPr>
          <w:rFonts w:ascii="Sylfaen" w:hAnsi="Sylfaen"/>
          <w:sz w:val="22"/>
          <w:szCs w:val="22"/>
        </w:rPr>
      </w:pPr>
      <w:r>
        <w:rPr>
          <w:rStyle w:val="FootnoteReference"/>
        </w:rPr>
        <w:footnoteRef/>
      </w:r>
      <w:r>
        <w:t xml:space="preserve"> </w:t>
      </w:r>
      <w:r w:rsidRPr="00530F48">
        <w:rPr>
          <w:rFonts w:ascii="Sylfaen" w:hAnsi="Sylfaen"/>
          <w:bCs/>
          <w:sz w:val="22"/>
          <w:szCs w:val="22"/>
        </w:rPr>
        <w:t>M4</w:t>
      </w:r>
      <w:r w:rsidRPr="00530F48">
        <w:rPr>
          <w:rFonts w:ascii="Sylfaen" w:hAnsi="Sylfaen"/>
          <w:sz w:val="22"/>
          <w:szCs w:val="22"/>
        </w:rPr>
        <w:t xml:space="preserve"> is technically defined as: Cash outside banks (</w:t>
      </w:r>
      <w:proofErr w:type="gramStart"/>
      <w:r w:rsidRPr="00530F48">
        <w:rPr>
          <w:rFonts w:ascii="Sylfaen" w:hAnsi="Sylfaen"/>
          <w:sz w:val="22"/>
          <w:szCs w:val="22"/>
        </w:rPr>
        <w:t>i.e.</w:t>
      </w:r>
      <w:proofErr w:type="gramEnd"/>
      <w:r w:rsidRPr="00530F48">
        <w:rPr>
          <w:rFonts w:ascii="Sylfaen" w:hAnsi="Sylfaen"/>
          <w:sz w:val="22"/>
          <w:szCs w:val="22"/>
        </w:rPr>
        <w:t xml:space="preserve"> in circulation with the public and non-bank firms) + private-sector retail bank and building society deposits + Private-sector wholesale bank and building society deposits and Certificates of Deposit.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47A22" w14:textId="77777777" w:rsidR="00377E4F" w:rsidRPr="00377E4F" w:rsidRDefault="00377E4F" w:rsidP="00377E4F">
    <w:pPr>
      <w:ind w:left="567"/>
      <w:jc w:val="both"/>
      <w:rPr>
        <w:rFonts w:ascii="Sylfaen" w:hAnsi="Sylfaen"/>
        <w:bCs/>
      </w:rPr>
    </w:pPr>
    <w:r w:rsidRPr="00377E4F">
      <w:rPr>
        <w:rFonts w:ascii="Sylfaen" w:hAnsi="Sylfaen"/>
        <w:bCs/>
      </w:rPr>
      <w:t>A Post-Great Recession Mandate for the Bank of England</w:t>
    </w:r>
  </w:p>
  <w:p w14:paraId="2194D3E8" w14:textId="3FFBDFC4" w:rsidR="002B247D" w:rsidRPr="00C16C2B" w:rsidRDefault="002B247D" w:rsidP="003711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8744A"/>
    <w:multiLevelType w:val="hybridMultilevel"/>
    <w:tmpl w:val="B2A880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990382"/>
    <w:multiLevelType w:val="hybridMultilevel"/>
    <w:tmpl w:val="71DA563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844788950">
    <w:abstractNumId w:val="0"/>
  </w:num>
  <w:num w:numId="2" w16cid:durableId="19622212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FC1"/>
    <w:rsid w:val="00000CD0"/>
    <w:rsid w:val="000078B4"/>
    <w:rsid w:val="00012A2C"/>
    <w:rsid w:val="00015849"/>
    <w:rsid w:val="00047AFC"/>
    <w:rsid w:val="00055BDC"/>
    <w:rsid w:val="00057F3F"/>
    <w:rsid w:val="0007187A"/>
    <w:rsid w:val="00082008"/>
    <w:rsid w:val="0008416C"/>
    <w:rsid w:val="00091FA9"/>
    <w:rsid w:val="000964AE"/>
    <w:rsid w:val="000C1884"/>
    <w:rsid w:val="000F2587"/>
    <w:rsid w:val="000F42DB"/>
    <w:rsid w:val="00110743"/>
    <w:rsid w:val="00120E22"/>
    <w:rsid w:val="001374B7"/>
    <w:rsid w:val="00162A07"/>
    <w:rsid w:val="001A154B"/>
    <w:rsid w:val="001A2A5F"/>
    <w:rsid w:val="001B53B8"/>
    <w:rsid w:val="001E254C"/>
    <w:rsid w:val="00206196"/>
    <w:rsid w:val="00221F4A"/>
    <w:rsid w:val="00240FC1"/>
    <w:rsid w:val="00265164"/>
    <w:rsid w:val="002722D8"/>
    <w:rsid w:val="002B247D"/>
    <w:rsid w:val="002C2942"/>
    <w:rsid w:val="002C4464"/>
    <w:rsid w:val="002D11F2"/>
    <w:rsid w:val="002E3823"/>
    <w:rsid w:val="00313E93"/>
    <w:rsid w:val="00331418"/>
    <w:rsid w:val="00332A4A"/>
    <w:rsid w:val="003409FD"/>
    <w:rsid w:val="00353C3A"/>
    <w:rsid w:val="0036695E"/>
    <w:rsid w:val="003711B8"/>
    <w:rsid w:val="003738EB"/>
    <w:rsid w:val="00374289"/>
    <w:rsid w:val="00377D09"/>
    <w:rsid w:val="00377E4F"/>
    <w:rsid w:val="003831DC"/>
    <w:rsid w:val="00392577"/>
    <w:rsid w:val="003F3860"/>
    <w:rsid w:val="00400497"/>
    <w:rsid w:val="00406ECA"/>
    <w:rsid w:val="00436D69"/>
    <w:rsid w:val="00454967"/>
    <w:rsid w:val="00460E64"/>
    <w:rsid w:val="004B324C"/>
    <w:rsid w:val="004B5389"/>
    <w:rsid w:val="004B5C95"/>
    <w:rsid w:val="004D7DC2"/>
    <w:rsid w:val="00530F48"/>
    <w:rsid w:val="005364B0"/>
    <w:rsid w:val="00542A90"/>
    <w:rsid w:val="00567BD9"/>
    <w:rsid w:val="005B5099"/>
    <w:rsid w:val="005B6433"/>
    <w:rsid w:val="00637440"/>
    <w:rsid w:val="00642356"/>
    <w:rsid w:val="00643FA7"/>
    <w:rsid w:val="006740DB"/>
    <w:rsid w:val="006A4B53"/>
    <w:rsid w:val="006A63BE"/>
    <w:rsid w:val="006B4C4E"/>
    <w:rsid w:val="0072460B"/>
    <w:rsid w:val="00724B61"/>
    <w:rsid w:val="00734861"/>
    <w:rsid w:val="007545D8"/>
    <w:rsid w:val="007622B5"/>
    <w:rsid w:val="0077089A"/>
    <w:rsid w:val="007814FF"/>
    <w:rsid w:val="007836F1"/>
    <w:rsid w:val="007905E4"/>
    <w:rsid w:val="007B2C62"/>
    <w:rsid w:val="007C1E3C"/>
    <w:rsid w:val="007C25E7"/>
    <w:rsid w:val="007E748D"/>
    <w:rsid w:val="008129E5"/>
    <w:rsid w:val="00815815"/>
    <w:rsid w:val="0082508B"/>
    <w:rsid w:val="008630EA"/>
    <w:rsid w:val="008B2EFC"/>
    <w:rsid w:val="008C46A8"/>
    <w:rsid w:val="008D4727"/>
    <w:rsid w:val="008E033B"/>
    <w:rsid w:val="008F1A78"/>
    <w:rsid w:val="008F3F5C"/>
    <w:rsid w:val="00913AF1"/>
    <w:rsid w:val="009176E9"/>
    <w:rsid w:val="0095179D"/>
    <w:rsid w:val="00971BE8"/>
    <w:rsid w:val="00974F46"/>
    <w:rsid w:val="00990D5E"/>
    <w:rsid w:val="009A0883"/>
    <w:rsid w:val="009B5DD4"/>
    <w:rsid w:val="009C10A8"/>
    <w:rsid w:val="009E26F7"/>
    <w:rsid w:val="00A10993"/>
    <w:rsid w:val="00A136B5"/>
    <w:rsid w:val="00A160AD"/>
    <w:rsid w:val="00A24D87"/>
    <w:rsid w:val="00A538B5"/>
    <w:rsid w:val="00A55EA2"/>
    <w:rsid w:val="00A649EF"/>
    <w:rsid w:val="00A720EE"/>
    <w:rsid w:val="00A74ED5"/>
    <w:rsid w:val="00AA6F9E"/>
    <w:rsid w:val="00AD7E8C"/>
    <w:rsid w:val="00B322FB"/>
    <w:rsid w:val="00B32B29"/>
    <w:rsid w:val="00B60FEA"/>
    <w:rsid w:val="00B77266"/>
    <w:rsid w:val="00B93DD7"/>
    <w:rsid w:val="00BC0C64"/>
    <w:rsid w:val="00BD7D62"/>
    <w:rsid w:val="00BE6334"/>
    <w:rsid w:val="00C10E0E"/>
    <w:rsid w:val="00C16C2B"/>
    <w:rsid w:val="00C27311"/>
    <w:rsid w:val="00C4128C"/>
    <w:rsid w:val="00C522C3"/>
    <w:rsid w:val="00C75A94"/>
    <w:rsid w:val="00C77F0A"/>
    <w:rsid w:val="00C97519"/>
    <w:rsid w:val="00CF259F"/>
    <w:rsid w:val="00D13840"/>
    <w:rsid w:val="00D35A7A"/>
    <w:rsid w:val="00D57D76"/>
    <w:rsid w:val="00D65147"/>
    <w:rsid w:val="00D661AD"/>
    <w:rsid w:val="00D768AA"/>
    <w:rsid w:val="00DA1689"/>
    <w:rsid w:val="00DC2C3A"/>
    <w:rsid w:val="00DD1181"/>
    <w:rsid w:val="00DD7512"/>
    <w:rsid w:val="00DE33E6"/>
    <w:rsid w:val="00E2107C"/>
    <w:rsid w:val="00E355F6"/>
    <w:rsid w:val="00E51292"/>
    <w:rsid w:val="00E570CA"/>
    <w:rsid w:val="00E7484F"/>
    <w:rsid w:val="00E76F91"/>
    <w:rsid w:val="00E77FF0"/>
    <w:rsid w:val="00E86C3C"/>
    <w:rsid w:val="00E91DB0"/>
    <w:rsid w:val="00EB7799"/>
    <w:rsid w:val="00ED039A"/>
    <w:rsid w:val="00ED729A"/>
    <w:rsid w:val="00ED7A40"/>
    <w:rsid w:val="00EF3A2B"/>
    <w:rsid w:val="00EF4443"/>
    <w:rsid w:val="00F37DFA"/>
    <w:rsid w:val="00F45B1E"/>
    <w:rsid w:val="00F54D81"/>
    <w:rsid w:val="00F57F04"/>
    <w:rsid w:val="00F70AFA"/>
    <w:rsid w:val="00F70BD2"/>
    <w:rsid w:val="00F95B28"/>
    <w:rsid w:val="00FB1C2A"/>
    <w:rsid w:val="00FC033B"/>
    <w:rsid w:val="00FC77AB"/>
    <w:rsid w:val="00FD1F13"/>
    <w:rsid w:val="00FE5E51"/>
    <w:rsid w:val="00FE7DF3"/>
    <w:rsid w:val="00FF32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24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820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820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1"/>
    <w:qFormat/>
    <w:rsid w:val="00240FC1"/>
    <w:pPr>
      <w:spacing w:after="0" w:line="480" w:lineRule="auto"/>
    </w:pPr>
    <w:rPr>
      <w:rFonts w:eastAsiaTheme="minorEastAsia"/>
      <w:sz w:val="24"/>
      <w:szCs w:val="24"/>
      <w:lang w:val="en-US" w:eastAsia="ja-JP"/>
    </w:rPr>
  </w:style>
  <w:style w:type="character" w:styleId="Emphasis">
    <w:name w:val="Emphasis"/>
    <w:basedOn w:val="DefaultParagraphFont"/>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2B247D"/>
    <w:rPr>
      <w:rFonts w:asciiTheme="majorHAnsi" w:eastAsiaTheme="majorEastAsia" w:hAnsiTheme="majorHAnsi" w:cstheme="majorBidi"/>
      <w:color w:val="365F91" w:themeColor="accent1" w:themeShade="BF"/>
      <w:sz w:val="32"/>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rsid w:val="00A10993"/>
    <w:rPr>
      <w:rFonts w:ascii="Times New Roman" w:hAnsi="Times New Roman" w:cs="Times New Roman"/>
      <w:sz w:val="24"/>
      <w:szCs w:val="24"/>
      <w:lang w:val="en-US"/>
    </w:rPr>
  </w:style>
  <w:style w:type="character" w:styleId="FootnoteReference">
    <w:name w:val="footnote reference"/>
    <w:basedOn w:val="DefaultParagraphFont"/>
    <w:unhideWhenUsed/>
    <w:rsid w:val="00A10993"/>
    <w:rPr>
      <w:vertAlign w:val="superscript"/>
    </w:rPr>
  </w:style>
  <w:style w:type="character" w:customStyle="1" w:styleId="Heading2Char">
    <w:name w:val="Heading 2 Char"/>
    <w:basedOn w:val="DefaultParagraphFont"/>
    <w:link w:val="Heading2"/>
    <w:uiPriority w:val="9"/>
    <w:rsid w:val="0008200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82008"/>
    <w:rPr>
      <w:rFonts w:asciiTheme="majorHAnsi" w:eastAsiaTheme="majorEastAsia" w:hAnsiTheme="majorHAnsi" w:cstheme="majorBidi"/>
      <w:color w:val="243F60" w:themeColor="accent1" w:themeShade="7F"/>
      <w:sz w:val="24"/>
      <w:szCs w:val="24"/>
    </w:rPr>
  </w:style>
  <w:style w:type="paragraph" w:styleId="NormalWeb">
    <w:name w:val="Normal (Web)"/>
    <w:basedOn w:val="Normal"/>
    <w:unhideWhenUsed/>
    <w:rsid w:val="0036695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PlainText">
    <w:name w:val="Plain Text"/>
    <w:basedOn w:val="Normal"/>
    <w:link w:val="PlainTextChar"/>
    <w:uiPriority w:val="99"/>
    <w:unhideWhenUsed/>
    <w:rsid w:val="00EF4443"/>
    <w:pPr>
      <w:spacing w:after="0" w:line="240" w:lineRule="auto"/>
    </w:pPr>
    <w:rPr>
      <w:rFonts w:ascii="Arial" w:hAnsi="Arial" w:cs="Arial"/>
      <w:sz w:val="20"/>
      <w:szCs w:val="20"/>
    </w:rPr>
  </w:style>
  <w:style w:type="character" w:customStyle="1" w:styleId="PlainTextChar">
    <w:name w:val="Plain Text Char"/>
    <w:basedOn w:val="DefaultParagraphFont"/>
    <w:link w:val="PlainText"/>
    <w:uiPriority w:val="99"/>
    <w:rsid w:val="00EF4443"/>
    <w:rPr>
      <w:rFonts w:ascii="Arial" w:hAnsi="Arial" w:cs="Arial"/>
      <w:sz w:val="20"/>
      <w:szCs w:val="20"/>
    </w:rPr>
  </w:style>
  <w:style w:type="character" w:styleId="Hyperlink">
    <w:name w:val="Hyperlink"/>
    <w:basedOn w:val="DefaultParagraphFont"/>
    <w:uiPriority w:val="99"/>
    <w:unhideWhenUsed/>
    <w:rsid w:val="009176E9"/>
    <w:rPr>
      <w:color w:val="0000FF" w:themeColor="hyperlink"/>
      <w:u w:val="single"/>
    </w:rPr>
  </w:style>
  <w:style w:type="paragraph" w:customStyle="1" w:styleId="Body1">
    <w:name w:val="Body 1"/>
    <w:rsid w:val="000F42DB"/>
    <w:pPr>
      <w:spacing w:before="120" w:after="120" w:line="300" w:lineRule="atLeast"/>
      <w:jc w:val="both"/>
      <w:outlineLvl w:val="0"/>
    </w:pPr>
    <w:rPr>
      <w:rFonts w:ascii="Helvetica" w:eastAsia="Arial Unicode MS" w:hAnsi="Helvetica" w:cs="Times New Roman"/>
      <w:color w:val="000000"/>
      <w:szCs w:val="20"/>
      <w:u w:color="000000"/>
      <w:lang w:val="en-US"/>
    </w:rPr>
  </w:style>
  <w:style w:type="paragraph" w:styleId="TOC2">
    <w:name w:val="toc 2"/>
    <w:basedOn w:val="Normal"/>
    <w:next w:val="Normal"/>
    <w:autoRedefine/>
    <w:uiPriority w:val="39"/>
    <w:unhideWhenUsed/>
    <w:qFormat/>
    <w:rsid w:val="00B93DD7"/>
    <w:pPr>
      <w:spacing w:after="0" w:line="240" w:lineRule="auto"/>
      <w:ind w:left="284"/>
      <w:jc w:val="both"/>
    </w:pPr>
    <w:rPr>
      <w:rFonts w:ascii="Adobe Garamond Pro" w:eastAsia="Times New Roman" w:hAnsi="Adobe Garamond Pro" w:cs="Times New Roman"/>
      <w:i/>
      <w:smallCaps/>
      <w:lang w:eastAsia="en-GB"/>
    </w:rPr>
  </w:style>
  <w:style w:type="paragraph" w:styleId="ListParagraph">
    <w:name w:val="List Paragraph"/>
    <w:basedOn w:val="Normal"/>
    <w:uiPriority w:val="99"/>
    <w:qFormat/>
    <w:rsid w:val="00B93DD7"/>
    <w:pPr>
      <w:widowControl w:val="0"/>
      <w:suppressAutoHyphens/>
      <w:spacing w:after="0" w:line="240" w:lineRule="auto"/>
      <w:ind w:left="720"/>
    </w:pPr>
    <w:rPr>
      <w:rFonts w:ascii="Liberation Serif" w:eastAsia="DejaVu Sans" w:hAnsi="Liberation Serif" w:cs="DejaVu Sans"/>
      <w:kern w:val="1"/>
      <w:sz w:val="24"/>
      <w:szCs w:val="24"/>
      <w:lang w:val="en-US" w:eastAsia="hi-IN" w:bidi="hi-IN"/>
    </w:rPr>
  </w:style>
  <w:style w:type="character" w:customStyle="1" w:styleId="googqs-tidbit1">
    <w:name w:val="goog_qs-tidbit1"/>
    <w:rsid w:val="00DE33E6"/>
    <w:rPr>
      <w:vanish w:val="0"/>
      <w:webHidden w:val="0"/>
      <w:specVanish w:val="0"/>
    </w:rPr>
  </w:style>
  <w:style w:type="character" w:styleId="CommentReference">
    <w:name w:val="annotation reference"/>
    <w:unhideWhenUsed/>
    <w:rsid w:val="00DE33E6"/>
    <w:rPr>
      <w:sz w:val="16"/>
      <w:szCs w:val="16"/>
    </w:rPr>
  </w:style>
  <w:style w:type="character" w:styleId="FollowedHyperlink">
    <w:name w:val="FollowedHyperlink"/>
    <w:basedOn w:val="DefaultParagraphFont"/>
    <w:uiPriority w:val="99"/>
    <w:semiHidden/>
    <w:unhideWhenUsed/>
    <w:rsid w:val="00C97519"/>
    <w:rPr>
      <w:color w:val="800080" w:themeColor="followedHyperlink"/>
      <w:u w:val="single"/>
    </w:rPr>
  </w:style>
  <w:style w:type="character" w:styleId="UnresolvedMention">
    <w:name w:val="Unresolved Mention"/>
    <w:basedOn w:val="DefaultParagraphFont"/>
    <w:uiPriority w:val="99"/>
    <w:semiHidden/>
    <w:unhideWhenUsed/>
    <w:rsid w:val="00C97519"/>
    <w:rPr>
      <w:color w:val="605E5C"/>
      <w:shd w:val="clear" w:color="auto" w:fill="E1DFDD"/>
    </w:rPr>
  </w:style>
  <w:style w:type="paragraph" w:styleId="Caption">
    <w:name w:val="caption"/>
    <w:basedOn w:val="Normal"/>
    <w:next w:val="Normal"/>
    <w:uiPriority w:val="35"/>
    <w:unhideWhenUsed/>
    <w:qFormat/>
    <w:rsid w:val="006B4C4E"/>
    <w:pPr>
      <w:spacing w:line="240" w:lineRule="auto"/>
    </w:pPr>
    <w:rPr>
      <w:i/>
      <w:iCs/>
      <w:color w:val="1F497D" w:themeColor="text2"/>
      <w:sz w:val="18"/>
      <w:szCs w:val="18"/>
    </w:rPr>
  </w:style>
  <w:style w:type="character" w:customStyle="1" w:styleId="apple-style-span">
    <w:name w:val="apple-style-span"/>
    <w:basedOn w:val="DefaultParagraphFont"/>
    <w:rsid w:val="00000CD0"/>
  </w:style>
  <w:style w:type="character" w:customStyle="1" w:styleId="apple-converted-space">
    <w:name w:val="apple-converted-space"/>
    <w:basedOn w:val="DefaultParagraphFont"/>
    <w:uiPriority w:val="99"/>
    <w:rsid w:val="00000CD0"/>
  </w:style>
  <w:style w:type="character" w:customStyle="1" w:styleId="name">
    <w:name w:val="name"/>
    <w:basedOn w:val="DefaultParagraphFont"/>
    <w:rsid w:val="00F54D81"/>
  </w:style>
  <w:style w:type="character" w:styleId="Strong">
    <w:name w:val="Strong"/>
    <w:basedOn w:val="DefaultParagraphFont"/>
    <w:uiPriority w:val="22"/>
    <w:qFormat/>
    <w:rsid w:val="00F54D81"/>
    <w:rPr>
      <w:b/>
      <w:bCs/>
    </w:rPr>
  </w:style>
  <w:style w:type="table" w:styleId="TableGrid">
    <w:name w:val="Table Grid"/>
    <w:basedOn w:val="TableNormal"/>
    <w:uiPriority w:val="99"/>
    <w:rsid w:val="00724B61"/>
    <w:pPr>
      <w:spacing w:after="0" w:line="240" w:lineRule="auto"/>
    </w:pPr>
    <w:rPr>
      <w:rFonts w:ascii="Century" w:eastAsia="MS Mincho" w:hAnsi="Century" w:cs="Mangal"/>
      <w:sz w:val="20"/>
      <w:szCs w:val="20"/>
      <w:lang w:val="en-US" w:eastAsia="ja-JP"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rsid w:val="00724B61"/>
    <w:pPr>
      <w:widowControl w:val="0"/>
      <w:snapToGrid w:val="0"/>
      <w:spacing w:after="0" w:line="240" w:lineRule="auto"/>
    </w:pPr>
    <w:rPr>
      <w:rFonts w:ascii="Century" w:eastAsia="MS Mincho" w:hAnsi="Century" w:cs="Mangal"/>
      <w:kern w:val="2"/>
      <w:sz w:val="21"/>
      <w:lang w:eastAsia="ja-JP"/>
    </w:rPr>
  </w:style>
  <w:style w:type="character" w:customStyle="1" w:styleId="EndnoteTextChar">
    <w:name w:val="Endnote Text Char"/>
    <w:basedOn w:val="DefaultParagraphFont"/>
    <w:link w:val="EndnoteText"/>
    <w:uiPriority w:val="99"/>
    <w:semiHidden/>
    <w:rsid w:val="00724B61"/>
    <w:rPr>
      <w:rFonts w:ascii="Century" w:eastAsia="MS Mincho" w:hAnsi="Century" w:cs="Mangal"/>
      <w:kern w:val="2"/>
      <w:sz w:val="21"/>
      <w:lang w:eastAsia="ja-JP"/>
    </w:rPr>
  </w:style>
  <w:style w:type="character" w:styleId="EndnoteReference">
    <w:name w:val="endnote reference"/>
    <w:basedOn w:val="DefaultParagraphFont"/>
    <w:uiPriority w:val="99"/>
    <w:semiHidden/>
    <w:rsid w:val="00724B61"/>
    <w:rPr>
      <w:rFonts w:cs="Times New Roman"/>
      <w:vertAlign w:val="superscript"/>
    </w:rPr>
  </w:style>
  <w:style w:type="paragraph" w:styleId="BalloonText">
    <w:name w:val="Balloon Text"/>
    <w:basedOn w:val="Normal"/>
    <w:link w:val="BalloonTextChar"/>
    <w:uiPriority w:val="99"/>
    <w:semiHidden/>
    <w:rsid w:val="00724B61"/>
    <w:pPr>
      <w:widowControl w:val="0"/>
      <w:spacing w:after="0" w:line="240" w:lineRule="auto"/>
      <w:jc w:val="both"/>
    </w:pPr>
    <w:rPr>
      <w:rFonts w:ascii="Tahoma" w:eastAsia="MS Mincho" w:hAnsi="Tahoma" w:cs="Tahoma"/>
      <w:kern w:val="2"/>
      <w:sz w:val="16"/>
      <w:szCs w:val="16"/>
      <w:lang w:eastAsia="ja-JP"/>
    </w:rPr>
  </w:style>
  <w:style w:type="character" w:customStyle="1" w:styleId="BalloonTextChar">
    <w:name w:val="Balloon Text Char"/>
    <w:basedOn w:val="DefaultParagraphFont"/>
    <w:link w:val="BalloonText"/>
    <w:uiPriority w:val="99"/>
    <w:semiHidden/>
    <w:rsid w:val="00724B61"/>
    <w:rPr>
      <w:rFonts w:ascii="Tahoma" w:eastAsia="MS Mincho" w:hAnsi="Tahoma" w:cs="Tahoma"/>
      <w:kern w:val="2"/>
      <w:sz w:val="16"/>
      <w:szCs w:val="16"/>
      <w:lang w:eastAsia="ja-JP"/>
    </w:rPr>
  </w:style>
  <w:style w:type="paragraph" w:styleId="CommentText">
    <w:name w:val="annotation text"/>
    <w:basedOn w:val="Normal"/>
    <w:link w:val="CommentTextChar"/>
    <w:uiPriority w:val="99"/>
    <w:semiHidden/>
    <w:rsid w:val="00724B61"/>
    <w:pPr>
      <w:widowControl w:val="0"/>
      <w:spacing w:after="0" w:line="240" w:lineRule="auto"/>
      <w:jc w:val="both"/>
    </w:pPr>
    <w:rPr>
      <w:rFonts w:ascii="Century" w:eastAsia="MS Mincho" w:hAnsi="Century" w:cs="Mangal"/>
      <w:kern w:val="2"/>
      <w:sz w:val="20"/>
      <w:szCs w:val="20"/>
      <w:lang w:eastAsia="ja-JP"/>
    </w:rPr>
  </w:style>
  <w:style w:type="character" w:customStyle="1" w:styleId="CommentTextChar">
    <w:name w:val="Comment Text Char"/>
    <w:basedOn w:val="DefaultParagraphFont"/>
    <w:link w:val="CommentText"/>
    <w:uiPriority w:val="99"/>
    <w:semiHidden/>
    <w:rsid w:val="00724B61"/>
    <w:rPr>
      <w:rFonts w:ascii="Century" w:eastAsia="MS Mincho" w:hAnsi="Century" w:cs="Mangal"/>
      <w:kern w:val="2"/>
      <w:sz w:val="20"/>
      <w:szCs w:val="20"/>
      <w:lang w:eastAsia="ja-JP"/>
    </w:rPr>
  </w:style>
  <w:style w:type="paragraph" w:styleId="CommentSubject">
    <w:name w:val="annotation subject"/>
    <w:basedOn w:val="CommentText"/>
    <w:next w:val="CommentText"/>
    <w:link w:val="CommentSubjectChar"/>
    <w:uiPriority w:val="99"/>
    <w:semiHidden/>
    <w:rsid w:val="00724B61"/>
    <w:rPr>
      <w:b/>
      <w:bCs/>
    </w:rPr>
  </w:style>
  <w:style w:type="character" w:customStyle="1" w:styleId="CommentSubjectChar">
    <w:name w:val="Comment Subject Char"/>
    <w:basedOn w:val="CommentTextChar"/>
    <w:link w:val="CommentSubject"/>
    <w:uiPriority w:val="99"/>
    <w:semiHidden/>
    <w:rsid w:val="00724B61"/>
    <w:rPr>
      <w:rFonts w:ascii="Century" w:eastAsia="MS Mincho" w:hAnsi="Century" w:cs="Mangal"/>
      <w:b/>
      <w:bCs/>
      <w:kern w:val="2"/>
      <w:sz w:val="20"/>
      <w:szCs w:val="20"/>
      <w:lang w:eastAsia="ja-JP"/>
    </w:rPr>
  </w:style>
  <w:style w:type="paragraph" w:styleId="Revision">
    <w:name w:val="Revision"/>
    <w:hidden/>
    <w:uiPriority w:val="99"/>
    <w:semiHidden/>
    <w:rsid w:val="00724B61"/>
    <w:pPr>
      <w:spacing w:after="0" w:line="240" w:lineRule="auto"/>
    </w:pPr>
    <w:rPr>
      <w:rFonts w:ascii="Century" w:eastAsia="MS Mincho" w:hAnsi="Century" w:cs="Mangal"/>
      <w:kern w:val="2"/>
      <w:sz w:val="21"/>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15171190">
      <w:bodyDiv w:val="1"/>
      <w:marLeft w:val="0"/>
      <w:marRight w:val="0"/>
      <w:marTop w:val="0"/>
      <w:marBottom w:val="0"/>
      <w:divBdr>
        <w:top w:val="none" w:sz="0" w:space="0" w:color="auto"/>
        <w:left w:val="none" w:sz="0" w:space="0" w:color="auto"/>
        <w:bottom w:val="none" w:sz="0" w:space="0" w:color="auto"/>
        <w:right w:val="none" w:sz="0" w:space="0" w:color="auto"/>
      </w:divBdr>
      <w:divsChild>
        <w:div w:id="1168446873">
          <w:marLeft w:val="0"/>
          <w:marRight w:val="0"/>
          <w:marTop w:val="0"/>
          <w:marBottom w:val="0"/>
          <w:divBdr>
            <w:top w:val="none" w:sz="0" w:space="0" w:color="auto"/>
            <w:left w:val="none" w:sz="0" w:space="0" w:color="auto"/>
            <w:bottom w:val="none" w:sz="0" w:space="0" w:color="auto"/>
            <w:right w:val="none" w:sz="0" w:space="0" w:color="auto"/>
          </w:divBdr>
          <w:divsChild>
            <w:div w:id="957949246">
              <w:marLeft w:val="0"/>
              <w:marRight w:val="0"/>
              <w:marTop w:val="0"/>
              <w:marBottom w:val="0"/>
              <w:divBdr>
                <w:top w:val="none" w:sz="0" w:space="0" w:color="auto"/>
                <w:left w:val="none" w:sz="0" w:space="0" w:color="auto"/>
                <w:bottom w:val="none" w:sz="0" w:space="0" w:color="auto"/>
                <w:right w:val="none" w:sz="0" w:space="0" w:color="auto"/>
              </w:divBdr>
              <w:divsChild>
                <w:div w:id="86475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276988524">
      <w:bodyDiv w:val="1"/>
      <w:marLeft w:val="0"/>
      <w:marRight w:val="0"/>
      <w:marTop w:val="0"/>
      <w:marBottom w:val="0"/>
      <w:divBdr>
        <w:top w:val="none" w:sz="0" w:space="0" w:color="auto"/>
        <w:left w:val="none" w:sz="0" w:space="0" w:color="auto"/>
        <w:bottom w:val="none" w:sz="0" w:space="0" w:color="auto"/>
        <w:right w:val="none" w:sz="0" w:space="0" w:color="auto"/>
      </w:divBdr>
      <w:divsChild>
        <w:div w:id="1400439717">
          <w:marLeft w:val="0"/>
          <w:marRight w:val="0"/>
          <w:marTop w:val="0"/>
          <w:marBottom w:val="0"/>
          <w:divBdr>
            <w:top w:val="none" w:sz="0" w:space="0" w:color="auto"/>
            <w:left w:val="none" w:sz="0" w:space="0" w:color="auto"/>
            <w:bottom w:val="none" w:sz="0" w:space="0" w:color="auto"/>
            <w:right w:val="none" w:sz="0" w:space="0" w:color="auto"/>
          </w:divBdr>
          <w:divsChild>
            <w:div w:id="43455485">
              <w:marLeft w:val="0"/>
              <w:marRight w:val="0"/>
              <w:marTop w:val="0"/>
              <w:marBottom w:val="0"/>
              <w:divBdr>
                <w:top w:val="none" w:sz="0" w:space="0" w:color="auto"/>
                <w:left w:val="none" w:sz="0" w:space="0" w:color="auto"/>
                <w:bottom w:val="none" w:sz="0" w:space="0" w:color="auto"/>
                <w:right w:val="none" w:sz="0" w:space="0" w:color="auto"/>
              </w:divBdr>
              <w:divsChild>
                <w:div w:id="67452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082572">
      <w:bodyDiv w:val="1"/>
      <w:marLeft w:val="0"/>
      <w:marRight w:val="0"/>
      <w:marTop w:val="0"/>
      <w:marBottom w:val="0"/>
      <w:divBdr>
        <w:top w:val="none" w:sz="0" w:space="0" w:color="auto"/>
        <w:left w:val="none" w:sz="0" w:space="0" w:color="auto"/>
        <w:bottom w:val="none" w:sz="0" w:space="0" w:color="auto"/>
        <w:right w:val="none" w:sz="0" w:space="0" w:color="auto"/>
      </w:divBdr>
      <w:divsChild>
        <w:div w:id="1202014208">
          <w:marLeft w:val="0"/>
          <w:marRight w:val="0"/>
          <w:marTop w:val="0"/>
          <w:marBottom w:val="0"/>
          <w:divBdr>
            <w:top w:val="none" w:sz="0" w:space="0" w:color="auto"/>
            <w:left w:val="none" w:sz="0" w:space="0" w:color="auto"/>
            <w:bottom w:val="none" w:sz="0" w:space="0" w:color="auto"/>
            <w:right w:val="none" w:sz="0" w:space="0" w:color="auto"/>
          </w:divBdr>
          <w:divsChild>
            <w:div w:id="1251889099">
              <w:marLeft w:val="0"/>
              <w:marRight w:val="0"/>
              <w:marTop w:val="0"/>
              <w:marBottom w:val="0"/>
              <w:divBdr>
                <w:top w:val="none" w:sz="0" w:space="0" w:color="auto"/>
                <w:left w:val="none" w:sz="0" w:space="0" w:color="auto"/>
                <w:bottom w:val="none" w:sz="0" w:space="0" w:color="auto"/>
                <w:right w:val="none" w:sz="0" w:space="0" w:color="auto"/>
              </w:divBdr>
              <w:divsChild>
                <w:div w:id="426273554">
                  <w:marLeft w:val="0"/>
                  <w:marRight w:val="0"/>
                  <w:marTop w:val="0"/>
                  <w:marBottom w:val="0"/>
                  <w:divBdr>
                    <w:top w:val="none" w:sz="0" w:space="0" w:color="auto"/>
                    <w:left w:val="none" w:sz="0" w:space="0" w:color="auto"/>
                    <w:bottom w:val="none" w:sz="0" w:space="0" w:color="auto"/>
                    <w:right w:val="none" w:sz="0" w:space="0" w:color="auto"/>
                  </w:divBdr>
                </w:div>
              </w:divsChild>
            </w:div>
            <w:div w:id="978151810">
              <w:marLeft w:val="0"/>
              <w:marRight w:val="0"/>
              <w:marTop w:val="0"/>
              <w:marBottom w:val="0"/>
              <w:divBdr>
                <w:top w:val="none" w:sz="0" w:space="0" w:color="auto"/>
                <w:left w:val="none" w:sz="0" w:space="0" w:color="auto"/>
                <w:bottom w:val="none" w:sz="0" w:space="0" w:color="auto"/>
                <w:right w:val="none" w:sz="0" w:space="0" w:color="auto"/>
              </w:divBdr>
              <w:divsChild>
                <w:div w:id="94196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19144">
          <w:marLeft w:val="0"/>
          <w:marRight w:val="0"/>
          <w:marTop w:val="0"/>
          <w:marBottom w:val="0"/>
          <w:divBdr>
            <w:top w:val="none" w:sz="0" w:space="0" w:color="auto"/>
            <w:left w:val="none" w:sz="0" w:space="0" w:color="auto"/>
            <w:bottom w:val="none" w:sz="0" w:space="0" w:color="auto"/>
            <w:right w:val="none" w:sz="0" w:space="0" w:color="auto"/>
          </w:divBdr>
          <w:divsChild>
            <w:div w:id="589581341">
              <w:marLeft w:val="0"/>
              <w:marRight w:val="0"/>
              <w:marTop w:val="0"/>
              <w:marBottom w:val="0"/>
              <w:divBdr>
                <w:top w:val="none" w:sz="0" w:space="0" w:color="auto"/>
                <w:left w:val="none" w:sz="0" w:space="0" w:color="auto"/>
                <w:bottom w:val="none" w:sz="0" w:space="0" w:color="auto"/>
                <w:right w:val="none" w:sz="0" w:space="0" w:color="auto"/>
              </w:divBdr>
              <w:divsChild>
                <w:div w:id="923299759">
                  <w:marLeft w:val="0"/>
                  <w:marRight w:val="0"/>
                  <w:marTop w:val="0"/>
                  <w:marBottom w:val="0"/>
                  <w:divBdr>
                    <w:top w:val="none" w:sz="0" w:space="0" w:color="auto"/>
                    <w:left w:val="none" w:sz="0" w:space="0" w:color="auto"/>
                    <w:bottom w:val="none" w:sz="0" w:space="0" w:color="auto"/>
                    <w:right w:val="none" w:sz="0" w:space="0" w:color="auto"/>
                  </w:divBdr>
                </w:div>
              </w:divsChild>
            </w:div>
            <w:div w:id="414325458">
              <w:marLeft w:val="0"/>
              <w:marRight w:val="0"/>
              <w:marTop w:val="0"/>
              <w:marBottom w:val="0"/>
              <w:divBdr>
                <w:top w:val="none" w:sz="0" w:space="0" w:color="auto"/>
                <w:left w:val="none" w:sz="0" w:space="0" w:color="auto"/>
                <w:bottom w:val="none" w:sz="0" w:space="0" w:color="auto"/>
                <w:right w:val="none" w:sz="0" w:space="0" w:color="auto"/>
              </w:divBdr>
              <w:divsChild>
                <w:div w:id="252709499">
                  <w:marLeft w:val="0"/>
                  <w:marRight w:val="0"/>
                  <w:marTop w:val="0"/>
                  <w:marBottom w:val="0"/>
                  <w:divBdr>
                    <w:top w:val="none" w:sz="0" w:space="0" w:color="auto"/>
                    <w:left w:val="none" w:sz="0" w:space="0" w:color="auto"/>
                    <w:bottom w:val="none" w:sz="0" w:space="0" w:color="auto"/>
                    <w:right w:val="none" w:sz="0" w:space="0" w:color="auto"/>
                  </w:divBdr>
                </w:div>
              </w:divsChild>
            </w:div>
            <w:div w:id="1657494478">
              <w:marLeft w:val="0"/>
              <w:marRight w:val="0"/>
              <w:marTop w:val="0"/>
              <w:marBottom w:val="0"/>
              <w:divBdr>
                <w:top w:val="none" w:sz="0" w:space="0" w:color="auto"/>
                <w:left w:val="none" w:sz="0" w:space="0" w:color="auto"/>
                <w:bottom w:val="none" w:sz="0" w:space="0" w:color="auto"/>
                <w:right w:val="none" w:sz="0" w:space="0" w:color="auto"/>
              </w:divBdr>
              <w:divsChild>
                <w:div w:id="176692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044121">
          <w:marLeft w:val="0"/>
          <w:marRight w:val="0"/>
          <w:marTop w:val="0"/>
          <w:marBottom w:val="0"/>
          <w:divBdr>
            <w:top w:val="none" w:sz="0" w:space="0" w:color="auto"/>
            <w:left w:val="none" w:sz="0" w:space="0" w:color="auto"/>
            <w:bottom w:val="none" w:sz="0" w:space="0" w:color="auto"/>
            <w:right w:val="none" w:sz="0" w:space="0" w:color="auto"/>
          </w:divBdr>
          <w:divsChild>
            <w:div w:id="502857774">
              <w:marLeft w:val="0"/>
              <w:marRight w:val="0"/>
              <w:marTop w:val="0"/>
              <w:marBottom w:val="0"/>
              <w:divBdr>
                <w:top w:val="none" w:sz="0" w:space="0" w:color="auto"/>
                <w:left w:val="none" w:sz="0" w:space="0" w:color="auto"/>
                <w:bottom w:val="none" w:sz="0" w:space="0" w:color="auto"/>
                <w:right w:val="none" w:sz="0" w:space="0" w:color="auto"/>
              </w:divBdr>
              <w:divsChild>
                <w:div w:id="162400461">
                  <w:marLeft w:val="0"/>
                  <w:marRight w:val="0"/>
                  <w:marTop w:val="0"/>
                  <w:marBottom w:val="0"/>
                  <w:divBdr>
                    <w:top w:val="none" w:sz="0" w:space="0" w:color="auto"/>
                    <w:left w:val="none" w:sz="0" w:space="0" w:color="auto"/>
                    <w:bottom w:val="none" w:sz="0" w:space="0" w:color="auto"/>
                    <w:right w:val="none" w:sz="0" w:space="0" w:color="auto"/>
                  </w:divBdr>
                </w:div>
              </w:divsChild>
            </w:div>
            <w:div w:id="1815950776">
              <w:marLeft w:val="0"/>
              <w:marRight w:val="0"/>
              <w:marTop w:val="0"/>
              <w:marBottom w:val="0"/>
              <w:divBdr>
                <w:top w:val="none" w:sz="0" w:space="0" w:color="auto"/>
                <w:left w:val="none" w:sz="0" w:space="0" w:color="auto"/>
                <w:bottom w:val="none" w:sz="0" w:space="0" w:color="auto"/>
                <w:right w:val="none" w:sz="0" w:space="0" w:color="auto"/>
              </w:divBdr>
              <w:divsChild>
                <w:div w:id="1736245744">
                  <w:marLeft w:val="0"/>
                  <w:marRight w:val="0"/>
                  <w:marTop w:val="0"/>
                  <w:marBottom w:val="0"/>
                  <w:divBdr>
                    <w:top w:val="none" w:sz="0" w:space="0" w:color="auto"/>
                    <w:left w:val="none" w:sz="0" w:space="0" w:color="auto"/>
                    <w:bottom w:val="none" w:sz="0" w:space="0" w:color="auto"/>
                    <w:right w:val="none" w:sz="0" w:space="0" w:color="auto"/>
                  </w:divBdr>
                </w:div>
              </w:divsChild>
            </w:div>
            <w:div w:id="1981958847">
              <w:marLeft w:val="0"/>
              <w:marRight w:val="0"/>
              <w:marTop w:val="0"/>
              <w:marBottom w:val="0"/>
              <w:divBdr>
                <w:top w:val="none" w:sz="0" w:space="0" w:color="auto"/>
                <w:left w:val="none" w:sz="0" w:space="0" w:color="auto"/>
                <w:bottom w:val="none" w:sz="0" w:space="0" w:color="auto"/>
                <w:right w:val="none" w:sz="0" w:space="0" w:color="auto"/>
              </w:divBdr>
              <w:divsChild>
                <w:div w:id="196981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503346">
          <w:marLeft w:val="0"/>
          <w:marRight w:val="0"/>
          <w:marTop w:val="0"/>
          <w:marBottom w:val="0"/>
          <w:divBdr>
            <w:top w:val="none" w:sz="0" w:space="0" w:color="auto"/>
            <w:left w:val="none" w:sz="0" w:space="0" w:color="auto"/>
            <w:bottom w:val="none" w:sz="0" w:space="0" w:color="auto"/>
            <w:right w:val="none" w:sz="0" w:space="0" w:color="auto"/>
          </w:divBdr>
          <w:divsChild>
            <w:div w:id="1269504903">
              <w:marLeft w:val="0"/>
              <w:marRight w:val="0"/>
              <w:marTop w:val="0"/>
              <w:marBottom w:val="0"/>
              <w:divBdr>
                <w:top w:val="none" w:sz="0" w:space="0" w:color="auto"/>
                <w:left w:val="none" w:sz="0" w:space="0" w:color="auto"/>
                <w:bottom w:val="none" w:sz="0" w:space="0" w:color="auto"/>
                <w:right w:val="none" w:sz="0" w:space="0" w:color="auto"/>
              </w:divBdr>
              <w:divsChild>
                <w:div w:id="819538629">
                  <w:marLeft w:val="0"/>
                  <w:marRight w:val="0"/>
                  <w:marTop w:val="0"/>
                  <w:marBottom w:val="0"/>
                  <w:divBdr>
                    <w:top w:val="none" w:sz="0" w:space="0" w:color="auto"/>
                    <w:left w:val="none" w:sz="0" w:space="0" w:color="auto"/>
                    <w:bottom w:val="none" w:sz="0" w:space="0" w:color="auto"/>
                    <w:right w:val="none" w:sz="0" w:space="0" w:color="auto"/>
                  </w:divBdr>
                </w:div>
              </w:divsChild>
            </w:div>
            <w:div w:id="1468552953">
              <w:marLeft w:val="0"/>
              <w:marRight w:val="0"/>
              <w:marTop w:val="0"/>
              <w:marBottom w:val="0"/>
              <w:divBdr>
                <w:top w:val="none" w:sz="0" w:space="0" w:color="auto"/>
                <w:left w:val="none" w:sz="0" w:space="0" w:color="auto"/>
                <w:bottom w:val="none" w:sz="0" w:space="0" w:color="auto"/>
                <w:right w:val="none" w:sz="0" w:space="0" w:color="auto"/>
              </w:divBdr>
              <w:divsChild>
                <w:div w:id="757215715">
                  <w:marLeft w:val="0"/>
                  <w:marRight w:val="0"/>
                  <w:marTop w:val="0"/>
                  <w:marBottom w:val="0"/>
                  <w:divBdr>
                    <w:top w:val="none" w:sz="0" w:space="0" w:color="auto"/>
                    <w:left w:val="none" w:sz="0" w:space="0" w:color="auto"/>
                    <w:bottom w:val="none" w:sz="0" w:space="0" w:color="auto"/>
                    <w:right w:val="none" w:sz="0" w:space="0" w:color="auto"/>
                  </w:divBdr>
                </w:div>
              </w:divsChild>
            </w:div>
            <w:div w:id="1128354586">
              <w:marLeft w:val="0"/>
              <w:marRight w:val="0"/>
              <w:marTop w:val="0"/>
              <w:marBottom w:val="0"/>
              <w:divBdr>
                <w:top w:val="none" w:sz="0" w:space="0" w:color="auto"/>
                <w:left w:val="none" w:sz="0" w:space="0" w:color="auto"/>
                <w:bottom w:val="none" w:sz="0" w:space="0" w:color="auto"/>
                <w:right w:val="none" w:sz="0" w:space="0" w:color="auto"/>
              </w:divBdr>
              <w:divsChild>
                <w:div w:id="81029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088245">
          <w:marLeft w:val="0"/>
          <w:marRight w:val="0"/>
          <w:marTop w:val="0"/>
          <w:marBottom w:val="0"/>
          <w:divBdr>
            <w:top w:val="none" w:sz="0" w:space="0" w:color="auto"/>
            <w:left w:val="none" w:sz="0" w:space="0" w:color="auto"/>
            <w:bottom w:val="none" w:sz="0" w:space="0" w:color="auto"/>
            <w:right w:val="none" w:sz="0" w:space="0" w:color="auto"/>
          </w:divBdr>
          <w:divsChild>
            <w:div w:id="663356049">
              <w:marLeft w:val="0"/>
              <w:marRight w:val="0"/>
              <w:marTop w:val="0"/>
              <w:marBottom w:val="0"/>
              <w:divBdr>
                <w:top w:val="none" w:sz="0" w:space="0" w:color="auto"/>
                <w:left w:val="none" w:sz="0" w:space="0" w:color="auto"/>
                <w:bottom w:val="none" w:sz="0" w:space="0" w:color="auto"/>
                <w:right w:val="none" w:sz="0" w:space="0" w:color="auto"/>
              </w:divBdr>
              <w:divsChild>
                <w:div w:id="1233075802">
                  <w:marLeft w:val="0"/>
                  <w:marRight w:val="0"/>
                  <w:marTop w:val="0"/>
                  <w:marBottom w:val="0"/>
                  <w:divBdr>
                    <w:top w:val="none" w:sz="0" w:space="0" w:color="auto"/>
                    <w:left w:val="none" w:sz="0" w:space="0" w:color="auto"/>
                    <w:bottom w:val="none" w:sz="0" w:space="0" w:color="auto"/>
                    <w:right w:val="none" w:sz="0" w:space="0" w:color="auto"/>
                  </w:divBdr>
                </w:div>
              </w:divsChild>
            </w:div>
            <w:div w:id="1840272512">
              <w:marLeft w:val="0"/>
              <w:marRight w:val="0"/>
              <w:marTop w:val="0"/>
              <w:marBottom w:val="0"/>
              <w:divBdr>
                <w:top w:val="none" w:sz="0" w:space="0" w:color="auto"/>
                <w:left w:val="none" w:sz="0" w:space="0" w:color="auto"/>
                <w:bottom w:val="none" w:sz="0" w:space="0" w:color="auto"/>
                <w:right w:val="none" w:sz="0" w:space="0" w:color="auto"/>
              </w:divBdr>
              <w:divsChild>
                <w:div w:id="1780952167">
                  <w:marLeft w:val="0"/>
                  <w:marRight w:val="0"/>
                  <w:marTop w:val="0"/>
                  <w:marBottom w:val="0"/>
                  <w:divBdr>
                    <w:top w:val="none" w:sz="0" w:space="0" w:color="auto"/>
                    <w:left w:val="none" w:sz="0" w:space="0" w:color="auto"/>
                    <w:bottom w:val="none" w:sz="0" w:space="0" w:color="auto"/>
                    <w:right w:val="none" w:sz="0" w:space="0" w:color="auto"/>
                  </w:divBdr>
                </w:div>
              </w:divsChild>
            </w:div>
            <w:div w:id="451020218">
              <w:marLeft w:val="0"/>
              <w:marRight w:val="0"/>
              <w:marTop w:val="0"/>
              <w:marBottom w:val="0"/>
              <w:divBdr>
                <w:top w:val="none" w:sz="0" w:space="0" w:color="auto"/>
                <w:left w:val="none" w:sz="0" w:space="0" w:color="auto"/>
                <w:bottom w:val="none" w:sz="0" w:space="0" w:color="auto"/>
                <w:right w:val="none" w:sz="0" w:space="0" w:color="auto"/>
              </w:divBdr>
              <w:divsChild>
                <w:div w:id="109170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521088">
          <w:marLeft w:val="0"/>
          <w:marRight w:val="0"/>
          <w:marTop w:val="0"/>
          <w:marBottom w:val="0"/>
          <w:divBdr>
            <w:top w:val="none" w:sz="0" w:space="0" w:color="auto"/>
            <w:left w:val="none" w:sz="0" w:space="0" w:color="auto"/>
            <w:bottom w:val="none" w:sz="0" w:space="0" w:color="auto"/>
            <w:right w:val="none" w:sz="0" w:space="0" w:color="auto"/>
          </w:divBdr>
          <w:divsChild>
            <w:div w:id="981495385">
              <w:marLeft w:val="0"/>
              <w:marRight w:val="0"/>
              <w:marTop w:val="0"/>
              <w:marBottom w:val="0"/>
              <w:divBdr>
                <w:top w:val="none" w:sz="0" w:space="0" w:color="auto"/>
                <w:left w:val="none" w:sz="0" w:space="0" w:color="auto"/>
                <w:bottom w:val="none" w:sz="0" w:space="0" w:color="auto"/>
                <w:right w:val="none" w:sz="0" w:space="0" w:color="auto"/>
              </w:divBdr>
              <w:divsChild>
                <w:div w:id="1110971255">
                  <w:marLeft w:val="0"/>
                  <w:marRight w:val="0"/>
                  <w:marTop w:val="0"/>
                  <w:marBottom w:val="0"/>
                  <w:divBdr>
                    <w:top w:val="none" w:sz="0" w:space="0" w:color="auto"/>
                    <w:left w:val="none" w:sz="0" w:space="0" w:color="auto"/>
                    <w:bottom w:val="none" w:sz="0" w:space="0" w:color="auto"/>
                    <w:right w:val="none" w:sz="0" w:space="0" w:color="auto"/>
                  </w:divBdr>
                </w:div>
              </w:divsChild>
            </w:div>
            <w:div w:id="154997138">
              <w:marLeft w:val="0"/>
              <w:marRight w:val="0"/>
              <w:marTop w:val="0"/>
              <w:marBottom w:val="0"/>
              <w:divBdr>
                <w:top w:val="none" w:sz="0" w:space="0" w:color="auto"/>
                <w:left w:val="none" w:sz="0" w:space="0" w:color="auto"/>
                <w:bottom w:val="none" w:sz="0" w:space="0" w:color="auto"/>
                <w:right w:val="none" w:sz="0" w:space="0" w:color="auto"/>
              </w:divBdr>
              <w:divsChild>
                <w:div w:id="1670518369">
                  <w:marLeft w:val="0"/>
                  <w:marRight w:val="0"/>
                  <w:marTop w:val="0"/>
                  <w:marBottom w:val="0"/>
                  <w:divBdr>
                    <w:top w:val="none" w:sz="0" w:space="0" w:color="auto"/>
                    <w:left w:val="none" w:sz="0" w:space="0" w:color="auto"/>
                    <w:bottom w:val="none" w:sz="0" w:space="0" w:color="auto"/>
                    <w:right w:val="none" w:sz="0" w:space="0" w:color="auto"/>
                  </w:divBdr>
                </w:div>
              </w:divsChild>
            </w:div>
            <w:div w:id="2139250914">
              <w:marLeft w:val="0"/>
              <w:marRight w:val="0"/>
              <w:marTop w:val="0"/>
              <w:marBottom w:val="0"/>
              <w:divBdr>
                <w:top w:val="none" w:sz="0" w:space="0" w:color="auto"/>
                <w:left w:val="none" w:sz="0" w:space="0" w:color="auto"/>
                <w:bottom w:val="none" w:sz="0" w:space="0" w:color="auto"/>
                <w:right w:val="none" w:sz="0" w:space="0" w:color="auto"/>
              </w:divBdr>
              <w:divsChild>
                <w:div w:id="49298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898806">
          <w:marLeft w:val="0"/>
          <w:marRight w:val="0"/>
          <w:marTop w:val="0"/>
          <w:marBottom w:val="0"/>
          <w:divBdr>
            <w:top w:val="none" w:sz="0" w:space="0" w:color="auto"/>
            <w:left w:val="none" w:sz="0" w:space="0" w:color="auto"/>
            <w:bottom w:val="none" w:sz="0" w:space="0" w:color="auto"/>
            <w:right w:val="none" w:sz="0" w:space="0" w:color="auto"/>
          </w:divBdr>
          <w:divsChild>
            <w:div w:id="1584339435">
              <w:marLeft w:val="0"/>
              <w:marRight w:val="0"/>
              <w:marTop w:val="0"/>
              <w:marBottom w:val="0"/>
              <w:divBdr>
                <w:top w:val="none" w:sz="0" w:space="0" w:color="auto"/>
                <w:left w:val="none" w:sz="0" w:space="0" w:color="auto"/>
                <w:bottom w:val="none" w:sz="0" w:space="0" w:color="auto"/>
                <w:right w:val="none" w:sz="0" w:space="0" w:color="auto"/>
              </w:divBdr>
              <w:divsChild>
                <w:div w:id="113984909">
                  <w:marLeft w:val="0"/>
                  <w:marRight w:val="0"/>
                  <w:marTop w:val="0"/>
                  <w:marBottom w:val="0"/>
                  <w:divBdr>
                    <w:top w:val="none" w:sz="0" w:space="0" w:color="auto"/>
                    <w:left w:val="none" w:sz="0" w:space="0" w:color="auto"/>
                    <w:bottom w:val="none" w:sz="0" w:space="0" w:color="auto"/>
                    <w:right w:val="none" w:sz="0" w:space="0" w:color="auto"/>
                  </w:divBdr>
                </w:div>
              </w:divsChild>
            </w:div>
            <w:div w:id="2123111234">
              <w:marLeft w:val="0"/>
              <w:marRight w:val="0"/>
              <w:marTop w:val="0"/>
              <w:marBottom w:val="0"/>
              <w:divBdr>
                <w:top w:val="none" w:sz="0" w:space="0" w:color="auto"/>
                <w:left w:val="none" w:sz="0" w:space="0" w:color="auto"/>
                <w:bottom w:val="none" w:sz="0" w:space="0" w:color="auto"/>
                <w:right w:val="none" w:sz="0" w:space="0" w:color="auto"/>
              </w:divBdr>
              <w:divsChild>
                <w:div w:id="1324234993">
                  <w:marLeft w:val="0"/>
                  <w:marRight w:val="0"/>
                  <w:marTop w:val="0"/>
                  <w:marBottom w:val="0"/>
                  <w:divBdr>
                    <w:top w:val="none" w:sz="0" w:space="0" w:color="auto"/>
                    <w:left w:val="none" w:sz="0" w:space="0" w:color="auto"/>
                    <w:bottom w:val="none" w:sz="0" w:space="0" w:color="auto"/>
                    <w:right w:val="none" w:sz="0" w:space="0" w:color="auto"/>
                  </w:divBdr>
                </w:div>
              </w:divsChild>
            </w:div>
            <w:div w:id="1484661832">
              <w:marLeft w:val="0"/>
              <w:marRight w:val="0"/>
              <w:marTop w:val="0"/>
              <w:marBottom w:val="0"/>
              <w:divBdr>
                <w:top w:val="none" w:sz="0" w:space="0" w:color="auto"/>
                <w:left w:val="none" w:sz="0" w:space="0" w:color="auto"/>
                <w:bottom w:val="none" w:sz="0" w:space="0" w:color="auto"/>
                <w:right w:val="none" w:sz="0" w:space="0" w:color="auto"/>
              </w:divBdr>
              <w:divsChild>
                <w:div w:id="8670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917584">
          <w:marLeft w:val="0"/>
          <w:marRight w:val="0"/>
          <w:marTop w:val="0"/>
          <w:marBottom w:val="0"/>
          <w:divBdr>
            <w:top w:val="none" w:sz="0" w:space="0" w:color="auto"/>
            <w:left w:val="none" w:sz="0" w:space="0" w:color="auto"/>
            <w:bottom w:val="none" w:sz="0" w:space="0" w:color="auto"/>
            <w:right w:val="none" w:sz="0" w:space="0" w:color="auto"/>
          </w:divBdr>
          <w:divsChild>
            <w:div w:id="696127336">
              <w:marLeft w:val="0"/>
              <w:marRight w:val="0"/>
              <w:marTop w:val="0"/>
              <w:marBottom w:val="0"/>
              <w:divBdr>
                <w:top w:val="none" w:sz="0" w:space="0" w:color="auto"/>
                <w:left w:val="none" w:sz="0" w:space="0" w:color="auto"/>
                <w:bottom w:val="none" w:sz="0" w:space="0" w:color="auto"/>
                <w:right w:val="none" w:sz="0" w:space="0" w:color="auto"/>
              </w:divBdr>
              <w:divsChild>
                <w:div w:id="228031027">
                  <w:marLeft w:val="0"/>
                  <w:marRight w:val="0"/>
                  <w:marTop w:val="0"/>
                  <w:marBottom w:val="0"/>
                  <w:divBdr>
                    <w:top w:val="none" w:sz="0" w:space="0" w:color="auto"/>
                    <w:left w:val="none" w:sz="0" w:space="0" w:color="auto"/>
                    <w:bottom w:val="none" w:sz="0" w:space="0" w:color="auto"/>
                    <w:right w:val="none" w:sz="0" w:space="0" w:color="auto"/>
                  </w:divBdr>
                </w:div>
              </w:divsChild>
            </w:div>
            <w:div w:id="1457869004">
              <w:marLeft w:val="0"/>
              <w:marRight w:val="0"/>
              <w:marTop w:val="0"/>
              <w:marBottom w:val="0"/>
              <w:divBdr>
                <w:top w:val="none" w:sz="0" w:space="0" w:color="auto"/>
                <w:left w:val="none" w:sz="0" w:space="0" w:color="auto"/>
                <w:bottom w:val="none" w:sz="0" w:space="0" w:color="auto"/>
                <w:right w:val="none" w:sz="0" w:space="0" w:color="auto"/>
              </w:divBdr>
              <w:divsChild>
                <w:div w:id="29164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68436749">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882286202">
      <w:bodyDiv w:val="1"/>
      <w:marLeft w:val="0"/>
      <w:marRight w:val="0"/>
      <w:marTop w:val="0"/>
      <w:marBottom w:val="0"/>
      <w:divBdr>
        <w:top w:val="none" w:sz="0" w:space="0" w:color="auto"/>
        <w:left w:val="none" w:sz="0" w:space="0" w:color="auto"/>
        <w:bottom w:val="none" w:sz="0" w:space="0" w:color="auto"/>
        <w:right w:val="none" w:sz="0" w:space="0" w:color="auto"/>
      </w:divBdr>
      <w:divsChild>
        <w:div w:id="583954109">
          <w:marLeft w:val="0"/>
          <w:marRight w:val="0"/>
          <w:marTop w:val="0"/>
          <w:marBottom w:val="0"/>
          <w:divBdr>
            <w:top w:val="none" w:sz="0" w:space="0" w:color="auto"/>
            <w:left w:val="none" w:sz="0" w:space="0" w:color="auto"/>
            <w:bottom w:val="none" w:sz="0" w:space="0" w:color="auto"/>
            <w:right w:val="none" w:sz="0" w:space="0" w:color="auto"/>
          </w:divBdr>
          <w:divsChild>
            <w:div w:id="477459096">
              <w:marLeft w:val="0"/>
              <w:marRight w:val="0"/>
              <w:marTop w:val="0"/>
              <w:marBottom w:val="0"/>
              <w:divBdr>
                <w:top w:val="none" w:sz="0" w:space="0" w:color="auto"/>
                <w:left w:val="none" w:sz="0" w:space="0" w:color="auto"/>
                <w:bottom w:val="none" w:sz="0" w:space="0" w:color="auto"/>
                <w:right w:val="none" w:sz="0" w:space="0" w:color="auto"/>
              </w:divBdr>
              <w:divsChild>
                <w:div w:id="312487910">
                  <w:marLeft w:val="0"/>
                  <w:marRight w:val="0"/>
                  <w:marTop w:val="0"/>
                  <w:marBottom w:val="0"/>
                  <w:divBdr>
                    <w:top w:val="none" w:sz="0" w:space="0" w:color="auto"/>
                    <w:left w:val="none" w:sz="0" w:space="0" w:color="auto"/>
                    <w:bottom w:val="none" w:sz="0" w:space="0" w:color="auto"/>
                    <w:right w:val="none" w:sz="0" w:space="0" w:color="auto"/>
                  </w:divBdr>
                </w:div>
              </w:divsChild>
            </w:div>
            <w:div w:id="134837133">
              <w:marLeft w:val="0"/>
              <w:marRight w:val="0"/>
              <w:marTop w:val="0"/>
              <w:marBottom w:val="0"/>
              <w:divBdr>
                <w:top w:val="none" w:sz="0" w:space="0" w:color="auto"/>
                <w:left w:val="none" w:sz="0" w:space="0" w:color="auto"/>
                <w:bottom w:val="none" w:sz="0" w:space="0" w:color="auto"/>
                <w:right w:val="none" w:sz="0" w:space="0" w:color="auto"/>
              </w:divBdr>
              <w:divsChild>
                <w:div w:id="148381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357735">
          <w:marLeft w:val="0"/>
          <w:marRight w:val="0"/>
          <w:marTop w:val="0"/>
          <w:marBottom w:val="0"/>
          <w:divBdr>
            <w:top w:val="none" w:sz="0" w:space="0" w:color="auto"/>
            <w:left w:val="none" w:sz="0" w:space="0" w:color="auto"/>
            <w:bottom w:val="none" w:sz="0" w:space="0" w:color="auto"/>
            <w:right w:val="none" w:sz="0" w:space="0" w:color="auto"/>
          </w:divBdr>
          <w:divsChild>
            <w:div w:id="13117339">
              <w:marLeft w:val="0"/>
              <w:marRight w:val="0"/>
              <w:marTop w:val="0"/>
              <w:marBottom w:val="0"/>
              <w:divBdr>
                <w:top w:val="none" w:sz="0" w:space="0" w:color="auto"/>
                <w:left w:val="none" w:sz="0" w:space="0" w:color="auto"/>
                <w:bottom w:val="none" w:sz="0" w:space="0" w:color="auto"/>
                <w:right w:val="none" w:sz="0" w:space="0" w:color="auto"/>
              </w:divBdr>
              <w:divsChild>
                <w:div w:id="37778887">
                  <w:marLeft w:val="0"/>
                  <w:marRight w:val="0"/>
                  <w:marTop w:val="0"/>
                  <w:marBottom w:val="0"/>
                  <w:divBdr>
                    <w:top w:val="none" w:sz="0" w:space="0" w:color="auto"/>
                    <w:left w:val="none" w:sz="0" w:space="0" w:color="auto"/>
                    <w:bottom w:val="none" w:sz="0" w:space="0" w:color="auto"/>
                    <w:right w:val="none" w:sz="0" w:space="0" w:color="auto"/>
                  </w:divBdr>
                </w:div>
              </w:divsChild>
            </w:div>
            <w:div w:id="1351106422">
              <w:marLeft w:val="0"/>
              <w:marRight w:val="0"/>
              <w:marTop w:val="0"/>
              <w:marBottom w:val="0"/>
              <w:divBdr>
                <w:top w:val="none" w:sz="0" w:space="0" w:color="auto"/>
                <w:left w:val="none" w:sz="0" w:space="0" w:color="auto"/>
                <w:bottom w:val="none" w:sz="0" w:space="0" w:color="auto"/>
                <w:right w:val="none" w:sz="0" w:space="0" w:color="auto"/>
              </w:divBdr>
              <w:divsChild>
                <w:div w:id="198287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
    <b:Tag>Jor86</b:Tag>
    <b:SourceType>Book</b:SourceType>
    <b:Guid>{3B277F3E-8D46-4EA1-965F-E4FB25C24436}</b:Guid>
    <b:Title>Seven Nights</b:Title>
    <b:Year>1986</b:Year>
    <b:City>London</b:City>
    <b:Publisher>Faber</b:Publisher>
    <b:Author>
      <b:Author>
        <b:NameList>
          <b:Person>
            <b:Last>Borges</b:Last>
            <b:First>Jorge</b:First>
            <b:Middle>Luis</b:Middle>
          </b:Person>
        </b:NameList>
      </b:Author>
    </b:Author>
    <b:RefOrder>1</b:RefOrder>
  </b:Source>
  <b:Source>
    <b:Tag>Bya00</b:Tag>
    <b:SourceType>BookSection</b:SourceType>
    <b:Guid>{0B2C2A03-C693-48A5-867E-175D9E4F1A89}</b:Guid>
    <b:Author>
      <b:Author>
        <b:NameList>
          <b:Person>
            <b:Last>Byatt</b:Last>
            <b:First>A.S.</b:First>
          </b:Person>
        </b:NameList>
      </b:Author>
      <b:BookAuthor>
        <b:NameList>
          <b:Person>
            <b:Last>Byatt</b:Last>
            <b:First>A.S.</b:First>
          </b:Person>
        </b:NameList>
      </b:BookAuthor>
    </b:Author>
    <b:Title>The Greatest Story Ever Told</b:Title>
    <b:Year>2000</b:Year>
    <b:City>London</b:City>
    <b:Publisher>Chatto &amp; Windus</b:Publisher>
    <b:BookTitle>On histories and stories: selected essays</b:BookTitle>
    <b:RefOrder>2</b:RefOrder>
  </b:Source>
  <b:Source>
    <b:Tag>Mar04</b:Tag>
    <b:SourceType>Book</b:SourceType>
    <b:Guid>{BC5A7BEA-300F-4403-968F-A600A381B157}</b:Guid>
    <b:Author>
      <b:Author>
        <b:NameList>
          <b:Person>
            <b:Last>Marzolph</b:Last>
            <b:First>Ulrich</b:First>
          </b:Person>
          <b:Person>
            <b:Last>Leeuwen</b:Last>
            <b:First>Richard</b:First>
            <b:Middle>van</b:Middle>
          </b:Person>
        </b:NameList>
      </b:Author>
    </b:Author>
    <b:Title>The Arabian Nights Encyclopedia</b:Title>
    <b:Year>2004</b:Year>
    <b:City>Santa Barbara, CA</b:City>
    <b:Publisher>ABC-CLIO</b:Publisher>
    <b:RefOrder>3</b:RefOrder>
  </b:Source>
  <b:Source>
    <b:Tag>Rob04</b:Tag>
    <b:SourceType>Book</b:SourceType>
    <b:Guid>{4F4EE535-7F49-47C4-84A4-FF21E1F3822F}</b:Guid>
    <b:Author>
      <b:Author>
        <b:NameList>
          <b:Person>
            <b:Last>Irwin</b:Last>
            <b:First>Robert</b:First>
          </b:Person>
        </b:NameList>
      </b:Author>
    </b:Author>
    <b:Title>The Arabian Nights: a companion</b:Title>
    <b:Year>2004</b:Year>
    <b:City>London</b:City>
    <b:Publisher>I.B. Tauris</b:Publisher>
    <b:RefOrder>4</b:RefOrder>
  </b:Source>
  <b:Source>
    <b:Tag>Fer96</b:Tag>
    <b:SourceType>Book</b:SourceType>
    <b:Guid>{4AD589DA-5249-444F-9F27-999B3388195D}</b:Guid>
    <b:Author>
      <b:Author>
        <b:NameList>
          <b:Person>
            <b:Last>Ghazoul</b:Last>
            <b:First>Ferial</b:First>
            <b:Middle>J.</b:Middle>
          </b:Person>
        </b:NameList>
      </b:Author>
    </b:Author>
    <b:Title>Nocturnal Poetics: The Arabian Nights in comparitive context</b:Title>
    <b:Year>1996</b:Year>
    <b:City>Cairo</b:City>
    <b:Publisher>University in Cairo Press</b:Publisher>
    <b:RefOrder>5</b:RefOrder>
  </b:Source>
  <b:Source>
    <b:Tag>Rob95</b:Tag>
    <b:SourceType>Book</b:SourceType>
    <b:Guid>{3E52CAFD-2244-441B-9B0C-A195BD238F24}</b:Guid>
    <b:Author>
      <b:Author>
        <b:NameList>
          <b:Person>
            <b:Last>Mack</b:Last>
            <b:First>Robert</b:First>
            <b:Middle>L.</b:Middle>
          </b:Person>
        </b:NameList>
      </b:Author>
    </b:Author>
    <b:Title>Arabian Nights' Entertainments</b:Title>
    <b:Year>1995</b:Year>
    <b:City>Oxford</b:City>
    <b:Publisher>Oxford University Press</b:Publisher>
    <b:RefOrder>6</b:RefOrder>
  </b:Source>
  <b:Source>
    <b:Tag>Wen03</b:Tag>
    <b:SourceType>ArticleInAPeriodical</b:SourceType>
    <b:Guid>{31FCDE72-84DD-4210-B4A7-63FE41E2B845}</b:Guid>
    <b:Title>Metamorphoses of Scheherazade in Literature and Film</b:Title>
    <b:Year>2003</b:Year>
    <b:Author>
      <b:Author>
        <b:NameList>
          <b:Person>
            <b:Last>Ouyang</b:Last>
            <b:First>Wen-Chin</b:First>
          </b:Person>
        </b:NameList>
      </b:Author>
    </b:Author>
    <b:PeriodicalTitle>Bulletin of the School of Oriental and African Studies, University of London</b:PeriodicalTitle>
    <b:Month>Vol. 66</b:Month>
    <b:Day>No. 3</b:Day>
    <b:Pages>402-418</b:Pages>
    <b:RefOrder>7</b:RefOrder>
  </b:Source>
  <b:Source>
    <b:Tag>Ann02</b:Tag>
    <b:SourceType>Book</b:SourceType>
    <b:Guid>{BDE1EE2B-6025-4E44-905B-4398B064FE8F}</b:Guid>
    <b:Title>British Discovery Literature and the Rise of Global Commerce</b:Title>
    <b:Year>2002</b:Year>
    <b:Author>
      <b:Author>
        <b:NameList>
          <b:Person>
            <b:Last>Neil</b:Last>
            <b:First>Anna</b:First>
          </b:Person>
        </b:NameList>
      </b:Author>
    </b:Author>
    <b:City>Basingstoke</b:City>
    <b:Publisher>Palgrave</b:Publisher>
    <b:RefOrder>8</b:RefOrder>
  </b:Source>
  <b:Source>
    <b:Tag>Jor99</b:Tag>
    <b:SourceType>BookSection</b:SourceType>
    <b:Guid>{546E3775-325D-4C8A-815E-A44DF06DA1EB}</b:Guid>
    <b:Title>Translators of 'The Thousand and One Nights'</b:Title>
    <b:Year>1999</b:Year>
    <b:City>London</b:City>
    <b:Publisher>Penguin</b:Publisher>
    <b:Author>
      <b:Author>
        <b:NameList>
          <b:Person>
            <b:Last>Borges</b:Last>
            <b:First>Jorge</b:First>
            <b:Middle>Luis</b:Middle>
          </b:Person>
        </b:NameList>
      </b:Author>
      <b:BookAuthor>
        <b:NameList>
          <b:Person>
            <b:Last>Weinberger</b:Last>
            <b:First>Eliot</b:First>
          </b:Person>
        </b:NameList>
      </b:BookAuthor>
    </b:Author>
    <b:BookTitle>The Total Library: non-fiction 1922-1986</b:BookTitle>
    <b:RefOrder>9</b:RefOrder>
  </b:Source>
  <b:Source>
    <b:Tag>Ran86</b:Tag>
    <b:SourceType>Book</b:SourceType>
    <b:Guid>{795A7197-0366-4E8C-838F-B43B0F06A84D}</b:Guid>
    <b:Title>Europe's myths of the Orient: devise and rule</b:Title>
    <b:Year>1986</b:Year>
    <b:City>Basingstoke</b:City>
    <b:Publisher>Macmillan</b:Publisher>
    <b:Author>
      <b:Author>
        <b:NameList>
          <b:Person>
            <b:Last>Kabbani</b:Last>
            <b:First>Rana</b:First>
          </b:Person>
        </b:NameList>
      </b:Author>
    </b:Author>
    <b:RefOrder>10</b:RefOrder>
  </b:Source>
  <b:Source>
    <b:Tag>Sir97</b:Tag>
    <b:SourceType>Book</b:SourceType>
    <b:Guid>{7B6720B4-4FA3-4C54-8FFD-780CF58F53DB}</b:Guid>
    <b:Author>
      <b:Author>
        <b:NameList>
          <b:Person>
            <b:Last>Burton</b:Last>
            <b:First>Sir</b:First>
            <b:Middle>Richard F.</b:Middle>
          </b:Person>
          <b:Person>
            <b:Last>Zipes</b:Last>
            <b:First>Jack</b:First>
          </b:Person>
        </b:NameList>
      </b:Author>
    </b:Author>
    <b:Title>Arabian Nights: A Selection</b:Title>
    <b:Year>1997</b:Year>
    <b:City>London</b:City>
    <b:Publisher>Penguin</b:Publisher>
    <b:RefOrder>11</b:RefOrder>
  </b:Source>
</b:Sources>
</file>

<file path=customXml/itemProps1.xml><?xml version="1.0" encoding="utf-8"?>
<ds:datastoreItem xmlns:ds="http://schemas.openxmlformats.org/officeDocument/2006/customXml" ds:itemID="{C812B3CB-AC8D-3149-A353-5B5BA1067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3727</Words>
  <Characters>21244</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Sundsbo, Katrine</dc:creator>
  <cp:keywords/>
  <dc:description/>
  <cp:lastModifiedBy>Kalatzi Pantera, Dafni</cp:lastModifiedBy>
  <cp:revision>4</cp:revision>
  <dcterms:created xsi:type="dcterms:W3CDTF">2022-05-18T10:26:00Z</dcterms:created>
  <dcterms:modified xsi:type="dcterms:W3CDTF">2022-05-18T10:29:00Z</dcterms:modified>
</cp:coreProperties>
</file>