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61AE4FA8" w:rsidR="00A538B5" w:rsidRPr="00A538B5" w:rsidRDefault="00F967D4"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61F5563B" w:rsidR="0020222F" w:rsidRPr="00143D64" w:rsidRDefault="00F967D4" w:rsidP="00B322FB">
      <w:pPr>
        <w:spacing w:after="160" w:line="360" w:lineRule="auto"/>
        <w:rPr>
          <w:rFonts w:ascii="Sylfaen" w:eastAsiaTheme="majorEastAsia" w:hAnsi="Sylfaen" w:cstheme="majorBidi"/>
          <w:spacing w:val="-10"/>
          <w:kern w:val="28"/>
          <w:sz w:val="48"/>
          <w:szCs w:val="52"/>
        </w:rPr>
      </w:pPr>
      <w:r w:rsidRPr="00143D64">
        <w:rPr>
          <w:rFonts w:ascii="Sylfaen" w:eastAsiaTheme="majorEastAsia" w:hAnsi="Sylfaen" w:cstheme="majorBidi"/>
          <w:spacing w:val="-10"/>
          <w:kern w:val="28"/>
          <w:sz w:val="48"/>
          <w:szCs w:val="52"/>
        </w:rPr>
        <w:t xml:space="preserve">‘A Wrinkled Face, a </w:t>
      </w:r>
      <w:proofErr w:type="spellStart"/>
      <w:r w:rsidRPr="00143D64">
        <w:rPr>
          <w:rFonts w:ascii="Sylfaen" w:eastAsiaTheme="majorEastAsia" w:hAnsi="Sylfaen" w:cstheme="majorBidi"/>
          <w:spacing w:val="-10"/>
          <w:kern w:val="28"/>
          <w:sz w:val="48"/>
          <w:szCs w:val="52"/>
        </w:rPr>
        <w:t>Furr’d</w:t>
      </w:r>
      <w:proofErr w:type="spellEnd"/>
      <w:r w:rsidRPr="00143D64">
        <w:rPr>
          <w:rFonts w:ascii="Sylfaen" w:eastAsiaTheme="majorEastAsia" w:hAnsi="Sylfaen" w:cstheme="majorBidi"/>
          <w:spacing w:val="-10"/>
          <w:kern w:val="28"/>
          <w:sz w:val="48"/>
          <w:szCs w:val="52"/>
        </w:rPr>
        <w:t xml:space="preserve"> Brow, a Hairy Lip [and] a </w:t>
      </w:r>
      <w:proofErr w:type="spellStart"/>
      <w:r w:rsidRPr="00143D64">
        <w:rPr>
          <w:rFonts w:ascii="Sylfaen" w:eastAsiaTheme="majorEastAsia" w:hAnsi="Sylfaen" w:cstheme="majorBidi"/>
          <w:spacing w:val="-10"/>
          <w:kern w:val="28"/>
          <w:sz w:val="48"/>
          <w:szCs w:val="52"/>
        </w:rPr>
        <w:t>Gobber</w:t>
      </w:r>
      <w:proofErr w:type="spellEnd"/>
      <w:r w:rsidRPr="00143D64">
        <w:rPr>
          <w:rFonts w:ascii="Sylfaen" w:eastAsiaTheme="majorEastAsia" w:hAnsi="Sylfaen" w:cstheme="majorBidi"/>
          <w:spacing w:val="-10"/>
          <w:kern w:val="28"/>
          <w:sz w:val="48"/>
          <w:szCs w:val="52"/>
        </w:rPr>
        <w:t xml:space="preserve"> Tooth’: Searching for the Victims of the Early Modern European Witch-Hunt, </w:t>
      </w:r>
      <w:r w:rsidRPr="00143D64">
        <w:rPr>
          <w:rFonts w:ascii="Sylfaen" w:eastAsiaTheme="majorEastAsia" w:hAnsi="Sylfaen" w:cstheme="majorBidi"/>
          <w:i/>
          <w:iCs/>
          <w:spacing w:val="-10"/>
          <w:kern w:val="28"/>
          <w:sz w:val="48"/>
          <w:szCs w:val="52"/>
        </w:rPr>
        <w:t>c.</w:t>
      </w:r>
      <w:r w:rsidRPr="00143D64">
        <w:rPr>
          <w:rFonts w:ascii="Sylfaen" w:eastAsiaTheme="majorEastAsia" w:hAnsi="Sylfaen" w:cstheme="majorBidi"/>
          <w:spacing w:val="-10"/>
          <w:kern w:val="28"/>
          <w:sz w:val="48"/>
          <w:szCs w:val="52"/>
        </w:rPr>
        <w:t>1450-1750.</w:t>
      </w:r>
      <w:bookmarkStart w:id="0" w:name="_GoBack"/>
      <w:bookmarkEnd w:id="0"/>
    </w:p>
    <w:p w14:paraId="0736152B" w14:textId="299A0335" w:rsidR="00240FC1" w:rsidRPr="00331418" w:rsidRDefault="00612910" w:rsidP="00B322FB">
      <w:pPr>
        <w:spacing w:after="160" w:line="360" w:lineRule="auto"/>
        <w:rPr>
          <w:rFonts w:ascii="Sylfaen" w:hAnsi="Sylfaen"/>
        </w:rPr>
      </w:pPr>
      <w:r>
        <w:rPr>
          <w:rFonts w:ascii="Sylfaen" w:hAnsi="Sylfaen"/>
        </w:rPr>
        <w:t>J. W. E. Chaplin</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1838C9">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29D6709C" w14:textId="5098D08B" w:rsidR="005F4647" w:rsidRPr="00143D64" w:rsidRDefault="00F967D4" w:rsidP="00143D64">
      <w:pPr>
        <w:spacing w:line="360" w:lineRule="auto"/>
        <w:ind w:left="567" w:right="237"/>
        <w:jc w:val="both"/>
        <w:rPr>
          <w:rFonts w:ascii="Sylfaen" w:eastAsia="Times New Roman" w:hAnsi="Sylfaen" w:cs="Times New Roman"/>
          <w:iCs/>
        </w:rPr>
      </w:pPr>
      <w:r>
        <w:rPr>
          <w:rFonts w:ascii="Sylfaen" w:eastAsia="Times New Roman" w:hAnsi="Sylfaen" w:cs="Times New Roman"/>
          <w:iCs/>
        </w:rPr>
        <w:t xml:space="preserve">This article explores the European witch-hunts of the early modern period (c.1450-1750) and asks the simple question: who were its victims? The prevailing image of the archetypal </w:t>
      </w:r>
      <w:proofErr w:type="spellStart"/>
      <w:r>
        <w:rPr>
          <w:rFonts w:ascii="Sylfaen" w:eastAsia="Times New Roman" w:hAnsi="Sylfaen" w:cs="Times New Roman"/>
          <w:iCs/>
        </w:rPr>
        <w:t>witch</w:t>
      </w:r>
      <w:proofErr w:type="spellEnd"/>
      <w:r>
        <w:rPr>
          <w:rFonts w:ascii="Sylfaen" w:eastAsia="Times New Roman" w:hAnsi="Sylfaen" w:cs="Times New Roman"/>
          <w:iCs/>
        </w:rPr>
        <w:t xml:space="preserve"> has its roots in research first published as far back as the early 1970s. Examining the five key aspects of the long-established witch stereotype in turn, this paper draws on some of the best modern scholarship and a wide range of contemporary sources in order to assess its merits as well as its flaws. In doing so this essay cautiously presents a modified profile of the early modern European witch. However, it also questions the wisdom of relying on such stereotypes, which by their nature do not encourage truly nuanced analysis, to provide us with accurate history. This article argues for a more sensitive approach to analysis that accounts for the enormous complexities of contemporaries’ lived experience.  </w:t>
      </w:r>
    </w:p>
    <w:p w14:paraId="79197AFE" w14:textId="718BAF9D" w:rsidR="00435CD4" w:rsidRDefault="00240FC1" w:rsidP="00435CD4">
      <w:pPr>
        <w:spacing w:after="160" w:line="360" w:lineRule="auto"/>
        <w:rPr>
          <w:rFonts w:ascii="Sylfaen" w:hAnsi="Sylfaen"/>
        </w:rPr>
      </w:pPr>
      <w:r w:rsidRPr="00ED039A">
        <w:rPr>
          <w:rStyle w:val="Heading1Char"/>
        </w:rPr>
        <w:t>Keywords:</w:t>
      </w:r>
      <w:r w:rsidRPr="00331418">
        <w:rPr>
          <w:rFonts w:ascii="Sylfaen" w:hAnsi="Sylfaen"/>
        </w:rPr>
        <w:t xml:space="preserve">  </w:t>
      </w:r>
      <w:r w:rsidR="00F967D4" w:rsidRPr="00F967D4">
        <w:rPr>
          <w:rFonts w:ascii="Sylfaen" w:hAnsi="Sylfaen"/>
        </w:rPr>
        <w:t>Witch, History, Witch-Hunts, Early Modern, Europe</w:t>
      </w:r>
    </w:p>
    <w:p w14:paraId="17E67A96" w14:textId="03D57D94" w:rsidR="00143D64" w:rsidRDefault="00143D64" w:rsidP="00143D64">
      <w:pPr>
        <w:pStyle w:val="Heading1"/>
        <w:rPr>
          <w:rFonts w:eastAsia="Times New Roman"/>
        </w:rPr>
      </w:pPr>
      <w:r>
        <w:rPr>
          <w:rFonts w:eastAsia="Times New Roman"/>
        </w:rPr>
        <w:t>Article</w:t>
      </w:r>
    </w:p>
    <w:p w14:paraId="541F23E3" w14:textId="4C208DA3" w:rsidR="00F967D4"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t xml:space="preserve">Scholarly interest in the early modern European witch-hunts has grown enormously in recent decades, with particular focus on building an accurate profile of the protagonists.  It was in the </w:t>
      </w:r>
      <w:r w:rsidRPr="00F967D4">
        <w:rPr>
          <w:rFonts w:ascii="Sylfaen" w:eastAsia="Times New Roman" w:hAnsi="Sylfaen" w:cs="Times New Roman"/>
          <w:color w:val="000000"/>
        </w:rPr>
        <w:lastRenderedPageBreak/>
        <w:t>1970s that Keith Thomas and Alan Macfarlane first developed what has since become the prevailing witch stereotype, as they ‘argued convincingly’ that witches were usually female, elderly, often widowed, and therefore socially and economically marginalised (</w:t>
      </w:r>
      <w:proofErr w:type="spellStart"/>
      <w:r w:rsidRPr="00F967D4">
        <w:rPr>
          <w:rFonts w:ascii="Sylfaen" w:eastAsia="Times New Roman" w:hAnsi="Sylfaen" w:cs="Times New Roman"/>
          <w:color w:val="000000"/>
        </w:rPr>
        <w:t>Gaskill</w:t>
      </w:r>
      <w:proofErr w:type="spellEnd"/>
      <w:r w:rsidRPr="00F967D4">
        <w:rPr>
          <w:rFonts w:ascii="Sylfaen" w:eastAsia="Times New Roman" w:hAnsi="Sylfaen" w:cs="Times New Roman"/>
          <w:color w:val="000000"/>
        </w:rPr>
        <w:t xml:space="preserve">, 1996, p. 258). Supported by strong evidence, the Thomas-Macfarlane hypothesis has since often </w:t>
      </w:r>
      <w:r w:rsidRPr="00F967D4">
        <w:rPr>
          <w:rFonts w:ascii="Sylfaen" w:eastAsia="Times New Roman" w:hAnsi="Sylfaen" w:cs="Times New Roman"/>
          <w:color w:val="000000"/>
          <w:lang w:val="en-US"/>
        </w:rPr>
        <w:t>been accepted uncritically and treated as somehow definitive by many academics.</w:t>
      </w:r>
      <w:r w:rsidRPr="00F967D4">
        <w:rPr>
          <w:rFonts w:ascii="Sylfaen" w:eastAsia="Times New Roman" w:hAnsi="Sylfaen" w:cs="Times New Roman"/>
          <w:color w:val="000000"/>
          <w:vertAlign w:val="superscript"/>
          <w:lang w:val="en-US"/>
        </w:rPr>
        <w:footnoteReference w:id="1"/>
      </w:r>
      <w:r w:rsidRPr="00F967D4">
        <w:rPr>
          <w:rFonts w:ascii="Sylfaen" w:eastAsia="Times New Roman" w:hAnsi="Sylfaen" w:cs="Times New Roman"/>
          <w:color w:val="000000"/>
          <w:lang w:val="en-US"/>
        </w:rPr>
        <w:t xml:space="preserve"> </w:t>
      </w:r>
      <w:r w:rsidRPr="00F967D4">
        <w:rPr>
          <w:rFonts w:ascii="Sylfaen" w:eastAsia="Times New Roman" w:hAnsi="Sylfaen" w:cs="Times New Roman"/>
          <w:color w:val="000000"/>
        </w:rPr>
        <w:t xml:space="preserve">By deconstructing the concept, however, I will demonstrate that the Thomas-Macfarlane archetype is, while reasonably correct in a number of ways, severely flawed in others. Certainly, in imagining their subjects as sharing a particular set of characteristics, both undervalued the significance of geographical variations, as well as the vast complexity and diversity of early modern European people’s lives. A key point I will stress is the importance of listening to contemporary voices themselves, many of which warn that </w:t>
      </w:r>
      <w:r w:rsidRPr="00F967D4">
        <w:rPr>
          <w:rFonts w:ascii="Sylfaen" w:eastAsia="Times New Roman" w:hAnsi="Sylfaen" w:cs="Times New Roman"/>
          <w:i/>
          <w:iCs/>
          <w:color w:val="000000"/>
        </w:rPr>
        <w:t>anyone</w:t>
      </w:r>
      <w:r w:rsidRPr="00F967D4">
        <w:rPr>
          <w:rFonts w:ascii="Sylfaen" w:eastAsia="Times New Roman" w:hAnsi="Sylfaen" w:cs="Times New Roman"/>
          <w:color w:val="000000"/>
        </w:rPr>
        <w:t xml:space="preserve"> could be a witch. </w:t>
      </w:r>
    </w:p>
    <w:p w14:paraId="3C850209"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3C55C3A4" w14:textId="79B14F7F" w:rsidR="00F967D4"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t xml:space="preserve">In the Thomas-Macfarlane </w:t>
      </w:r>
      <w:proofErr w:type="gramStart"/>
      <w:r w:rsidRPr="00F967D4">
        <w:rPr>
          <w:rFonts w:ascii="Sylfaen" w:eastAsia="Times New Roman" w:hAnsi="Sylfaen" w:cs="Times New Roman"/>
          <w:color w:val="000000"/>
        </w:rPr>
        <w:t>model</w:t>
      </w:r>
      <w:proofErr w:type="gramEnd"/>
      <w:r w:rsidRPr="00F967D4">
        <w:rPr>
          <w:rFonts w:ascii="Sylfaen" w:eastAsia="Times New Roman" w:hAnsi="Sylfaen" w:cs="Times New Roman"/>
          <w:color w:val="000000"/>
        </w:rPr>
        <w:t xml:space="preserve"> the archetypal witch was female. Thomas explained that James I estimated the ratio of female to male witches at twenty-to-one, while the Macfarlane pointed to the fact that women accounted for 92% of those accused in Essex (Thomas, 1971; Macfarlane, 1970). Writing in 1974, Andrea Dworkin seized on these claims and took them to their maximum. Citing extensively from Heinrich Kramer’s 1487 book, </w:t>
      </w:r>
      <w:r w:rsidRPr="00F967D4">
        <w:rPr>
          <w:rFonts w:ascii="Sylfaen" w:eastAsia="Times New Roman" w:hAnsi="Sylfaen" w:cs="Times New Roman"/>
          <w:i/>
          <w:iCs/>
          <w:color w:val="000000"/>
        </w:rPr>
        <w:t xml:space="preserve">Malleus </w:t>
      </w:r>
      <w:proofErr w:type="spellStart"/>
      <w:r w:rsidRPr="00F967D4">
        <w:rPr>
          <w:rFonts w:ascii="Sylfaen" w:eastAsia="Times New Roman" w:hAnsi="Sylfaen" w:cs="Times New Roman"/>
          <w:i/>
          <w:iCs/>
          <w:color w:val="000000"/>
        </w:rPr>
        <w:t>Maleficarum</w:t>
      </w:r>
      <w:proofErr w:type="spellEnd"/>
      <w:r w:rsidRPr="00F967D4">
        <w:rPr>
          <w:rFonts w:ascii="Sylfaen" w:eastAsia="Times New Roman" w:hAnsi="Sylfaen" w:cs="Times New Roman"/>
          <w:color w:val="000000"/>
        </w:rPr>
        <w:t>, Dworkin argued that the witch-craze was a calculated patriarchal assault on women (Dworkin, 1974). Even in its own time, some of Kramer’s comrades considered his treatise radical for the strength of its convictions and, in fairness, it certainly reveals evidence of fierce misogyny and gender bias by 1970s standards too (Kramer, 2015).</w:t>
      </w:r>
      <w:r w:rsidRPr="00F967D4">
        <w:rPr>
          <w:rFonts w:ascii="Sylfaen" w:eastAsia="Times New Roman" w:hAnsi="Sylfaen" w:cs="Times New Roman"/>
          <w:color w:val="000000"/>
          <w:vertAlign w:val="superscript"/>
        </w:rPr>
        <w:footnoteReference w:id="2"/>
      </w:r>
      <w:r w:rsidRPr="00F967D4">
        <w:rPr>
          <w:rFonts w:ascii="Sylfaen" w:eastAsia="Times New Roman" w:hAnsi="Sylfaen" w:cs="Times New Roman"/>
          <w:color w:val="000000"/>
        </w:rPr>
        <w:t xml:space="preserve"> Over thirty years later Christopher Mackay consequently echoed Dworkin, calling the </w:t>
      </w:r>
      <w:r w:rsidRPr="00F967D4">
        <w:rPr>
          <w:rFonts w:ascii="Sylfaen" w:eastAsia="Times New Roman" w:hAnsi="Sylfaen" w:cs="Times New Roman"/>
          <w:i/>
          <w:iCs/>
          <w:color w:val="000000"/>
        </w:rPr>
        <w:t xml:space="preserve">Malleus </w:t>
      </w:r>
      <w:r w:rsidRPr="00F967D4">
        <w:rPr>
          <w:rFonts w:ascii="Sylfaen" w:eastAsia="Times New Roman" w:hAnsi="Sylfaen" w:cs="Times New Roman"/>
          <w:color w:val="000000"/>
          <w:lang w:val="en-US"/>
        </w:rPr>
        <w:t>‘</w:t>
      </w:r>
      <w:r w:rsidRPr="00F967D4">
        <w:rPr>
          <w:rFonts w:ascii="Sylfaen" w:eastAsia="Times New Roman" w:hAnsi="Sylfaen" w:cs="Times New Roman"/>
          <w:color w:val="000000"/>
        </w:rPr>
        <w:t>a self-conscious attack on the female gender’ (Mackay, 2009, p. 25). Nevertheless, Dworkin’s characterisation of the witch-hunts as ‘</w:t>
      </w:r>
      <w:proofErr w:type="spellStart"/>
      <w:r w:rsidRPr="00F967D4">
        <w:rPr>
          <w:rFonts w:ascii="Sylfaen" w:eastAsia="Times New Roman" w:hAnsi="Sylfaen" w:cs="Times New Roman"/>
          <w:color w:val="000000"/>
        </w:rPr>
        <w:t>gynocide</w:t>
      </w:r>
      <w:proofErr w:type="spellEnd"/>
      <w:r w:rsidRPr="00F967D4">
        <w:rPr>
          <w:rFonts w:ascii="Sylfaen" w:eastAsia="Times New Roman" w:hAnsi="Sylfaen" w:cs="Times New Roman"/>
          <w:color w:val="000000"/>
        </w:rPr>
        <w:t xml:space="preserve">’ and reference to the ‘slaughter’ of nine million women is incredibly extreme. Most scholars broadly agree with Brian </w:t>
      </w:r>
      <w:proofErr w:type="spellStart"/>
      <w:r w:rsidRPr="00F967D4">
        <w:rPr>
          <w:rFonts w:ascii="Sylfaen" w:eastAsia="Times New Roman" w:hAnsi="Sylfaen" w:cs="Times New Roman"/>
          <w:color w:val="000000"/>
        </w:rPr>
        <w:t>Levack’s</w:t>
      </w:r>
      <w:proofErr w:type="spellEnd"/>
      <w:r w:rsidRPr="00F967D4">
        <w:rPr>
          <w:rFonts w:ascii="Sylfaen" w:eastAsia="Times New Roman" w:hAnsi="Sylfaen" w:cs="Times New Roman"/>
          <w:color w:val="000000"/>
        </w:rPr>
        <w:t xml:space="preserve"> estimate which puts the total death toll – both men and women – at 45,000 and researchers such as Elspeth Whitney and Clive Holmes found </w:t>
      </w:r>
      <w:proofErr w:type="gramStart"/>
      <w:r w:rsidRPr="00F967D4">
        <w:rPr>
          <w:rFonts w:ascii="Sylfaen" w:eastAsia="Times New Roman" w:hAnsi="Sylfaen" w:cs="Times New Roman"/>
          <w:color w:val="000000"/>
        </w:rPr>
        <w:t xml:space="preserve">accusations </w:t>
      </w:r>
      <w:r w:rsidRPr="00F967D4">
        <w:rPr>
          <w:rFonts w:ascii="Sylfaen" w:eastAsia="Times New Roman" w:hAnsi="Sylfaen" w:cs="Times New Roman"/>
          <w:color w:val="000000"/>
        </w:rPr>
        <w:lastRenderedPageBreak/>
        <w:t xml:space="preserve">against women were actually often made by members of their own sex (Dworkin, 1974, pp. 118-50; Thomas, 1971; Macfarlane, 1970;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2006; Whitney, 2001; Holmes, 2001)</w:t>
      </w:r>
      <w:proofErr w:type="gramEnd"/>
      <w:r w:rsidRPr="00F967D4">
        <w:rPr>
          <w:rFonts w:ascii="Sylfaen" w:eastAsia="Times New Roman" w:hAnsi="Sylfaen" w:cs="Times New Roman"/>
          <w:color w:val="000000"/>
        </w:rPr>
        <w:t>.</w:t>
      </w:r>
      <w:r w:rsidRPr="00F967D4">
        <w:rPr>
          <w:rFonts w:ascii="Sylfaen" w:eastAsia="Times New Roman" w:hAnsi="Sylfaen" w:cs="Times New Roman"/>
          <w:color w:val="000000"/>
          <w:vertAlign w:val="superscript"/>
        </w:rPr>
        <w:footnoteReference w:id="3"/>
      </w:r>
      <w:r w:rsidRPr="00F967D4">
        <w:rPr>
          <w:rFonts w:ascii="Sylfaen" w:eastAsia="Times New Roman" w:hAnsi="Sylfaen" w:cs="Times New Roman"/>
          <w:color w:val="000000"/>
        </w:rPr>
        <w:t xml:space="preserve"> </w:t>
      </w:r>
    </w:p>
    <w:p w14:paraId="2243B559" w14:textId="77777777" w:rsidR="00DB402D" w:rsidRPr="00F967D4" w:rsidRDefault="00DB402D" w:rsidP="00143D64">
      <w:pPr>
        <w:spacing w:after="16" w:line="360" w:lineRule="auto"/>
        <w:ind w:right="278"/>
        <w:jc w:val="both"/>
        <w:rPr>
          <w:rFonts w:ascii="Sylfaen" w:eastAsia="Times New Roman" w:hAnsi="Sylfaen" w:cs="Times New Roman"/>
          <w:color w:val="000000"/>
        </w:rPr>
      </w:pPr>
    </w:p>
    <w:p w14:paraId="199F0FD5" w14:textId="413F4CA9" w:rsidR="00F967D4" w:rsidRDefault="00F967D4" w:rsidP="00143D64">
      <w:pPr>
        <w:spacing w:after="16" w:line="360" w:lineRule="auto"/>
        <w:ind w:right="278"/>
        <w:jc w:val="both"/>
        <w:rPr>
          <w:rFonts w:ascii="Sylfaen" w:eastAsia="Times New Roman" w:hAnsi="Sylfaen" w:cs="Times New Roman"/>
          <w:color w:val="000000"/>
          <w:lang w:val="en-US"/>
        </w:rPr>
      </w:pPr>
      <w:r w:rsidRPr="00F967D4">
        <w:rPr>
          <w:rFonts w:ascii="Sylfaen" w:eastAsia="Times New Roman" w:hAnsi="Sylfaen" w:cs="Times New Roman"/>
          <w:color w:val="000000"/>
        </w:rPr>
        <w:t xml:space="preserve">Dworkin’s controversial remarks aside, Thomas and Macfarlane’s original claim has some validity. Recent studies have found that women constituted over 70% of all the accused in large parts of Europe, including central regions such as the Holy Roman Empire, Poland, and Hungary, as well as most of Scandinavia, and much of the British Isles. Using collated data from numerous smaller studies, Brian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xml:space="preserve"> estimated that women made up around 75% of all those accused in Europe during the period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xml:space="preserve">, 2001;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xml:space="preserve">, 2006; Roper, 2004; </w:t>
      </w:r>
      <w:proofErr w:type="spellStart"/>
      <w:r w:rsidRPr="00F967D4">
        <w:rPr>
          <w:rFonts w:ascii="Sylfaen" w:eastAsia="Times New Roman" w:hAnsi="Sylfaen" w:cs="Times New Roman"/>
          <w:color w:val="000000"/>
        </w:rPr>
        <w:t>Gaskill</w:t>
      </w:r>
      <w:proofErr w:type="spellEnd"/>
      <w:r w:rsidRPr="00F967D4">
        <w:rPr>
          <w:rFonts w:ascii="Sylfaen" w:eastAsia="Times New Roman" w:hAnsi="Sylfaen" w:cs="Times New Roman"/>
          <w:color w:val="000000"/>
        </w:rPr>
        <w:t>, 1996; Rowlands, 2013).</w:t>
      </w:r>
      <w:r w:rsidRPr="00F967D4">
        <w:rPr>
          <w:rFonts w:ascii="Sylfaen" w:eastAsia="Times New Roman" w:hAnsi="Sylfaen" w:cs="Times New Roman"/>
          <w:color w:val="000000"/>
          <w:vertAlign w:val="superscript"/>
          <w:lang w:val="en-US"/>
        </w:rPr>
        <w:footnoteReference w:id="4"/>
      </w:r>
      <w:r w:rsidRPr="00F967D4">
        <w:rPr>
          <w:rFonts w:ascii="Sylfaen" w:eastAsia="Times New Roman" w:hAnsi="Sylfaen" w:cs="Times New Roman"/>
          <w:color w:val="000000"/>
          <w:lang w:val="en-US"/>
        </w:rPr>
        <w:t xml:space="preserve"> </w:t>
      </w:r>
    </w:p>
    <w:p w14:paraId="346CC051"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062F1C46" w14:textId="4B1AC3DC" w:rsidR="00F967D4"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t xml:space="preserve">Clearly, more women than men </w:t>
      </w:r>
      <w:proofErr w:type="gramStart"/>
      <w:r w:rsidRPr="00F967D4">
        <w:rPr>
          <w:rFonts w:ascii="Sylfaen" w:eastAsia="Times New Roman" w:hAnsi="Sylfaen" w:cs="Times New Roman"/>
          <w:color w:val="000000"/>
        </w:rPr>
        <w:t>were accused</w:t>
      </w:r>
      <w:proofErr w:type="gramEnd"/>
      <w:r w:rsidRPr="00F967D4">
        <w:rPr>
          <w:rFonts w:ascii="Sylfaen" w:eastAsia="Times New Roman" w:hAnsi="Sylfaen" w:cs="Times New Roman"/>
          <w:color w:val="000000"/>
        </w:rPr>
        <w:t xml:space="preserve"> of witchcraft.  However, this must not obscure the fact that a significant 25% of the accused were men. The existence of male witches has only really begun to be explored by academics in recent years, for example in Laura Apps and Andrew </w:t>
      </w:r>
      <w:proofErr w:type="spellStart"/>
      <w:r w:rsidRPr="00F967D4">
        <w:rPr>
          <w:rFonts w:ascii="Sylfaen" w:eastAsia="Times New Roman" w:hAnsi="Sylfaen" w:cs="Times New Roman"/>
          <w:color w:val="000000"/>
        </w:rPr>
        <w:t>Gow’s</w:t>
      </w:r>
      <w:proofErr w:type="spellEnd"/>
      <w:r w:rsidRPr="00F967D4">
        <w:rPr>
          <w:rFonts w:ascii="Sylfaen" w:eastAsia="Times New Roman" w:hAnsi="Sylfaen" w:cs="Times New Roman"/>
          <w:color w:val="000000"/>
        </w:rPr>
        <w:t xml:space="preserve"> 2003 monograph, </w:t>
      </w:r>
      <w:r w:rsidRPr="00F967D4">
        <w:rPr>
          <w:rFonts w:ascii="Sylfaen" w:eastAsia="Times New Roman" w:hAnsi="Sylfaen" w:cs="Times New Roman"/>
          <w:i/>
          <w:iCs/>
          <w:color w:val="000000"/>
        </w:rPr>
        <w:t>Male Witches in Early Modern Europe</w:t>
      </w:r>
      <w:r w:rsidRPr="00F967D4">
        <w:rPr>
          <w:rFonts w:ascii="Sylfaen" w:eastAsia="Times New Roman" w:hAnsi="Sylfaen" w:cs="Times New Roman"/>
          <w:color w:val="000000"/>
        </w:rPr>
        <w:t xml:space="preserve">, and Rowlands’s 2009 volume, </w:t>
      </w:r>
      <w:r w:rsidRPr="00F967D4">
        <w:rPr>
          <w:rFonts w:ascii="Sylfaen" w:eastAsia="Times New Roman" w:hAnsi="Sylfaen" w:cs="Times New Roman"/>
          <w:i/>
          <w:iCs/>
          <w:color w:val="000000"/>
        </w:rPr>
        <w:t>Witchcraft and Masculinities in Early Modern Europe</w:t>
      </w:r>
      <w:r w:rsidRPr="00F967D4">
        <w:rPr>
          <w:rFonts w:ascii="Sylfaen" w:eastAsia="Times New Roman" w:hAnsi="Sylfaen" w:cs="Times New Roman"/>
          <w:color w:val="000000"/>
        </w:rPr>
        <w:t xml:space="preserve"> (Apps &amp; </w:t>
      </w:r>
      <w:proofErr w:type="spellStart"/>
      <w:r w:rsidRPr="00F967D4">
        <w:rPr>
          <w:rFonts w:ascii="Sylfaen" w:eastAsia="Times New Roman" w:hAnsi="Sylfaen" w:cs="Times New Roman"/>
          <w:color w:val="000000"/>
        </w:rPr>
        <w:t>Gow</w:t>
      </w:r>
      <w:proofErr w:type="spellEnd"/>
      <w:r w:rsidRPr="00F967D4">
        <w:rPr>
          <w:rFonts w:ascii="Sylfaen" w:eastAsia="Times New Roman" w:hAnsi="Sylfaen" w:cs="Times New Roman"/>
          <w:color w:val="000000"/>
        </w:rPr>
        <w:t xml:space="preserve">, 2003; Rowlands, 2009). Evidence of contemporary theological support for the notion of male witches is abundant, as Malcom </w:t>
      </w:r>
      <w:proofErr w:type="spellStart"/>
      <w:r w:rsidRPr="00F967D4">
        <w:rPr>
          <w:rFonts w:ascii="Sylfaen" w:eastAsia="Times New Roman" w:hAnsi="Sylfaen" w:cs="Times New Roman"/>
          <w:color w:val="000000"/>
        </w:rPr>
        <w:t>Gaskill</w:t>
      </w:r>
      <w:proofErr w:type="spellEnd"/>
      <w:r w:rsidRPr="00F967D4">
        <w:rPr>
          <w:rFonts w:ascii="Sylfaen" w:eastAsia="Times New Roman" w:hAnsi="Sylfaen" w:cs="Times New Roman"/>
          <w:color w:val="000000"/>
        </w:rPr>
        <w:t xml:space="preserve"> points out: in the minds of early modern </w:t>
      </w:r>
      <w:proofErr w:type="gramStart"/>
      <w:r w:rsidRPr="00F967D4">
        <w:rPr>
          <w:rFonts w:ascii="Sylfaen" w:eastAsia="Times New Roman" w:hAnsi="Sylfaen" w:cs="Times New Roman"/>
          <w:color w:val="000000"/>
        </w:rPr>
        <w:t>Europeans</w:t>
      </w:r>
      <w:proofErr w:type="gramEnd"/>
      <w:r w:rsidRPr="00F967D4">
        <w:rPr>
          <w:rFonts w:ascii="Sylfaen" w:eastAsia="Times New Roman" w:hAnsi="Sylfaen" w:cs="Times New Roman"/>
          <w:color w:val="000000"/>
        </w:rPr>
        <w:t xml:space="preserve"> ‘witches and women were never equated’ (</w:t>
      </w:r>
      <w:proofErr w:type="spellStart"/>
      <w:r w:rsidRPr="00F967D4">
        <w:rPr>
          <w:rFonts w:ascii="Sylfaen" w:eastAsia="Times New Roman" w:hAnsi="Sylfaen" w:cs="Times New Roman"/>
          <w:color w:val="000000"/>
        </w:rPr>
        <w:t>Gaskill</w:t>
      </w:r>
      <w:proofErr w:type="spellEnd"/>
      <w:r w:rsidRPr="00F967D4">
        <w:rPr>
          <w:rFonts w:ascii="Sylfaen" w:eastAsia="Times New Roman" w:hAnsi="Sylfaen" w:cs="Times New Roman"/>
          <w:color w:val="000000"/>
        </w:rPr>
        <w:t xml:space="preserve">, 2001, p. 107). One tract warned, for instance, </w:t>
      </w:r>
      <w:r w:rsidRPr="00F967D4">
        <w:rPr>
          <w:rFonts w:ascii="Sylfaen" w:eastAsia="Times New Roman" w:hAnsi="Sylfaen" w:cs="Times New Roman"/>
          <w:color w:val="000000"/>
          <w:lang w:val="en-US"/>
        </w:rPr>
        <w:t xml:space="preserve">that </w:t>
      </w:r>
      <w:r w:rsidRPr="00F967D4">
        <w:rPr>
          <w:rFonts w:ascii="Sylfaen" w:eastAsia="Times New Roman" w:hAnsi="Sylfaen" w:cs="Times New Roman"/>
          <w:color w:val="000000"/>
        </w:rPr>
        <w:t xml:space="preserve">‘neither be they all women’ and another </w:t>
      </w:r>
      <w:r w:rsidRPr="00F967D4">
        <w:rPr>
          <w:rFonts w:ascii="Sylfaen" w:eastAsia="Times New Roman" w:hAnsi="Sylfaen" w:cs="Times New Roman"/>
          <w:color w:val="000000"/>
          <w:lang w:val="en-US"/>
        </w:rPr>
        <w:t xml:space="preserve">proclaimed that </w:t>
      </w:r>
      <w:r w:rsidRPr="00F967D4">
        <w:rPr>
          <w:rFonts w:ascii="Sylfaen" w:eastAsia="Times New Roman" w:hAnsi="Sylfaen" w:cs="Times New Roman"/>
          <w:color w:val="000000"/>
        </w:rPr>
        <w:t>‘men, as well as women, may be subject to this trade’ (Roberts, 1616, p. 5; Cooper, 1617, pp. 180-81). Similarly, one of the earliest descriptions of the illicit Witches Sabbath</w:t>
      </w:r>
      <w:r w:rsidRPr="00F967D4">
        <w:rPr>
          <w:rFonts w:ascii="Sylfaen" w:eastAsia="Times New Roman" w:hAnsi="Sylfaen" w:cs="Times New Roman"/>
          <w:color w:val="000000"/>
          <w:vertAlign w:val="superscript"/>
        </w:rPr>
        <w:footnoteReference w:id="5"/>
      </w:r>
      <w:r w:rsidRPr="00F967D4">
        <w:rPr>
          <w:rFonts w:ascii="Sylfaen" w:eastAsia="Times New Roman" w:hAnsi="Sylfaen" w:cs="Times New Roman"/>
          <w:color w:val="000000"/>
        </w:rPr>
        <w:t xml:space="preserve"> reported the presence of sorcerers ‘of both sexes’ (</w:t>
      </w:r>
      <w:proofErr w:type="spellStart"/>
      <w:r w:rsidRPr="00F967D4">
        <w:rPr>
          <w:rFonts w:ascii="Sylfaen" w:eastAsia="Times New Roman" w:hAnsi="Sylfaen" w:cs="Times New Roman"/>
          <w:color w:val="000000"/>
        </w:rPr>
        <w:t>Nider</w:t>
      </w:r>
      <w:proofErr w:type="spellEnd"/>
      <w:r w:rsidRPr="00F967D4">
        <w:rPr>
          <w:rFonts w:ascii="Sylfaen" w:eastAsia="Times New Roman" w:hAnsi="Sylfaen" w:cs="Times New Roman"/>
          <w:color w:val="000000"/>
        </w:rPr>
        <w:t>, 2015, p. 55).</w:t>
      </w:r>
    </w:p>
    <w:p w14:paraId="5CD89FFE"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585C5E41" w14:textId="7D7EC1A4" w:rsidR="00F967D4"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lastRenderedPageBreak/>
        <w:t xml:space="preserve">In fact, when broken down by region, surviving records show that in some areas male witches accounted for a substantial proportion of the accused. Around 40% were men in Aragon, 50% in Finland, 58% in </w:t>
      </w:r>
      <w:proofErr w:type="spellStart"/>
      <w:r w:rsidRPr="00F967D4">
        <w:rPr>
          <w:rFonts w:ascii="Sylfaen" w:eastAsia="Times New Roman" w:hAnsi="Sylfaen" w:cs="Times New Roman"/>
          <w:color w:val="000000"/>
        </w:rPr>
        <w:t>Friaul</w:t>
      </w:r>
      <w:proofErr w:type="spellEnd"/>
      <w:r w:rsidRPr="00F967D4">
        <w:rPr>
          <w:rFonts w:ascii="Sylfaen" w:eastAsia="Times New Roman" w:hAnsi="Sylfaen" w:cs="Times New Roman"/>
          <w:color w:val="000000"/>
          <w:lang w:val="en-US"/>
        </w:rPr>
        <w:t>,</w:t>
      </w:r>
      <w:r w:rsidRPr="00F967D4">
        <w:rPr>
          <w:rFonts w:ascii="Sylfaen" w:eastAsia="Times New Roman" w:hAnsi="Sylfaen" w:cs="Times New Roman"/>
          <w:color w:val="000000"/>
        </w:rPr>
        <w:t xml:space="preserve"> 60% in Estonia, 70% in Russia, 75% in Normandy (though the figure was around 50% in France more generally), and an enormous 92% in Iceland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xml:space="preserve">, 2001;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xml:space="preserve">, 2006; </w:t>
      </w:r>
      <w:proofErr w:type="spellStart"/>
      <w:r w:rsidRPr="00F967D4">
        <w:rPr>
          <w:rFonts w:ascii="Sylfaen" w:eastAsia="Times New Roman" w:hAnsi="Sylfaen" w:cs="Times New Roman"/>
          <w:color w:val="000000"/>
        </w:rPr>
        <w:t>Kivelson</w:t>
      </w:r>
      <w:proofErr w:type="spellEnd"/>
      <w:r w:rsidRPr="00F967D4">
        <w:rPr>
          <w:rFonts w:ascii="Sylfaen" w:eastAsia="Times New Roman" w:hAnsi="Sylfaen" w:cs="Times New Roman"/>
          <w:color w:val="000000"/>
        </w:rPr>
        <w:t xml:space="preserve">, 2001; Roper, 2004; Schulte, 2009). The idea that witches were </w:t>
      </w:r>
      <w:proofErr w:type="gramStart"/>
      <w:r w:rsidRPr="00F967D4">
        <w:rPr>
          <w:rFonts w:ascii="Sylfaen" w:eastAsia="Times New Roman" w:hAnsi="Sylfaen" w:cs="Times New Roman"/>
          <w:color w:val="000000"/>
        </w:rPr>
        <w:t>almost always</w:t>
      </w:r>
      <w:proofErr w:type="gramEnd"/>
      <w:r w:rsidRPr="00F967D4">
        <w:rPr>
          <w:rFonts w:ascii="Sylfaen" w:eastAsia="Times New Roman" w:hAnsi="Sylfaen" w:cs="Times New Roman"/>
          <w:color w:val="000000"/>
        </w:rPr>
        <w:t xml:space="preserve"> women would therefore not at all have matched with the lived experiences of the people residing in these areas. Even in places where women predominated among the accused though, suspicion could still easily fall on men. For instance, in the city of Salzburg and the region of Carinthia, both part of the Holy Roman Empire, men made up a sizeable 59% and 68% of the accused respectively (Schulte, 2009). </w:t>
      </w:r>
    </w:p>
    <w:p w14:paraId="02D79FC7"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6A98BF9F" w14:textId="251937B0" w:rsidR="00F967D4"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t xml:space="preserve">In addition to being female, the idea that witches were aged is, according to Rowlands, practically an axiom of early modern witchcraft research </w:t>
      </w:r>
      <w:r w:rsidRPr="00F967D4">
        <w:rPr>
          <w:rFonts w:ascii="Sylfaen" w:eastAsia="Times New Roman" w:hAnsi="Sylfaen" w:cs="Times New Roman"/>
          <w:color w:val="000000"/>
          <w:lang w:val="en-US"/>
        </w:rPr>
        <w:t xml:space="preserve">(Rowlands, 2001). Macfarlane </w:t>
      </w:r>
      <w:r w:rsidRPr="00F967D4">
        <w:rPr>
          <w:rFonts w:ascii="Sylfaen" w:eastAsia="Times New Roman" w:hAnsi="Sylfaen" w:cs="Times New Roman"/>
          <w:color w:val="000000"/>
        </w:rPr>
        <w:t xml:space="preserve">estimated that as many as 80% of the accused in Essex were over forty and Jonathan Durrant claimed the same was most likely true of Germany too (Durrant, 2007; Macfarlane, 1970)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xml:space="preserve"> concluded that, across Europe, ‘a solid majority’ of the accused were probably over fifty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xml:space="preserve">, 2006, p. 149). Surviving records rarely noted the age of the accused, making it difficult to be definitive, but their research </w:t>
      </w:r>
      <w:proofErr w:type="gramStart"/>
      <w:r w:rsidRPr="00F967D4">
        <w:rPr>
          <w:rFonts w:ascii="Sylfaen" w:eastAsia="Times New Roman" w:hAnsi="Sylfaen" w:cs="Times New Roman"/>
          <w:color w:val="000000"/>
        </w:rPr>
        <w:t>is underscored</w:t>
      </w:r>
      <w:proofErr w:type="gramEnd"/>
      <w:r w:rsidRPr="00F967D4">
        <w:rPr>
          <w:rFonts w:ascii="Sylfaen" w:eastAsia="Times New Roman" w:hAnsi="Sylfaen" w:cs="Times New Roman"/>
          <w:color w:val="000000"/>
        </w:rPr>
        <w:t xml:space="preserve"> by the prevalence of the elderly in popular contemporary portrayals of witches. In England a</w:t>
      </w:r>
      <w:r w:rsidRPr="00F967D4">
        <w:rPr>
          <w:rFonts w:ascii="Sylfaen" w:eastAsia="Times New Roman" w:hAnsi="Sylfaen" w:cs="Times New Roman"/>
          <w:color w:val="000000"/>
          <w:lang w:val="en-US"/>
        </w:rPr>
        <w:t xml:space="preserve"> 1655 fable described one as </w:t>
      </w:r>
      <w:r w:rsidRPr="00F967D4">
        <w:rPr>
          <w:rFonts w:ascii="Sylfaen" w:eastAsia="Times New Roman" w:hAnsi="Sylfaen" w:cs="Times New Roman"/>
          <w:color w:val="000000"/>
        </w:rPr>
        <w:t xml:space="preserve">'long </w:t>
      </w:r>
      <w:proofErr w:type="spellStart"/>
      <w:proofErr w:type="gramStart"/>
      <w:r w:rsidRPr="00F967D4">
        <w:rPr>
          <w:rFonts w:ascii="Sylfaen" w:eastAsia="Times New Roman" w:hAnsi="Sylfaen" w:cs="Times New Roman"/>
          <w:color w:val="000000"/>
        </w:rPr>
        <w:t>nos'd</w:t>
      </w:r>
      <w:proofErr w:type="spellEnd"/>
      <w:proofErr w:type="gramEnd"/>
      <w:r w:rsidRPr="00F967D4">
        <w:rPr>
          <w:rFonts w:ascii="Sylfaen" w:eastAsia="Times New Roman" w:hAnsi="Sylfaen" w:cs="Times New Roman"/>
          <w:color w:val="000000"/>
        </w:rPr>
        <w:t xml:space="preserve">, blear </w:t>
      </w:r>
      <w:proofErr w:type="spellStart"/>
      <w:r w:rsidRPr="00F967D4">
        <w:rPr>
          <w:rFonts w:ascii="Sylfaen" w:eastAsia="Times New Roman" w:hAnsi="Sylfaen" w:cs="Times New Roman"/>
          <w:color w:val="000000"/>
        </w:rPr>
        <w:t>ey'd</w:t>
      </w:r>
      <w:proofErr w:type="spellEnd"/>
      <w:r w:rsidRPr="00F967D4">
        <w:rPr>
          <w:rFonts w:ascii="Sylfaen" w:eastAsia="Times New Roman" w:hAnsi="Sylfaen" w:cs="Times New Roman"/>
          <w:color w:val="000000"/>
        </w:rPr>
        <w:t>, crooked-</w:t>
      </w:r>
      <w:proofErr w:type="spellStart"/>
      <w:r w:rsidRPr="00F967D4">
        <w:rPr>
          <w:rFonts w:ascii="Sylfaen" w:eastAsia="Times New Roman" w:hAnsi="Sylfaen" w:cs="Times New Roman"/>
          <w:color w:val="000000"/>
        </w:rPr>
        <w:t>neckt</w:t>
      </w:r>
      <w:proofErr w:type="spellEnd"/>
      <w:r w:rsidRPr="00F967D4">
        <w:rPr>
          <w:rFonts w:ascii="Sylfaen" w:eastAsia="Times New Roman" w:hAnsi="Sylfaen" w:cs="Times New Roman"/>
          <w:color w:val="000000"/>
        </w:rPr>
        <w:t>, wry-</w:t>
      </w:r>
      <w:proofErr w:type="spellStart"/>
      <w:r w:rsidRPr="00F967D4">
        <w:rPr>
          <w:rFonts w:ascii="Sylfaen" w:eastAsia="Times New Roman" w:hAnsi="Sylfaen" w:cs="Times New Roman"/>
          <w:color w:val="000000"/>
        </w:rPr>
        <w:t>mouth'd</w:t>
      </w:r>
      <w:proofErr w:type="spellEnd"/>
      <w:r w:rsidRPr="00F967D4">
        <w:rPr>
          <w:rFonts w:ascii="Sylfaen" w:eastAsia="Times New Roman" w:hAnsi="Sylfaen" w:cs="Times New Roman"/>
          <w:color w:val="000000"/>
        </w:rPr>
        <w:t>, crump-</w:t>
      </w:r>
      <w:proofErr w:type="spellStart"/>
      <w:r w:rsidRPr="00F967D4">
        <w:rPr>
          <w:rFonts w:ascii="Sylfaen" w:eastAsia="Times New Roman" w:hAnsi="Sylfaen" w:cs="Times New Roman"/>
          <w:color w:val="000000"/>
        </w:rPr>
        <w:t>shoulder'd</w:t>
      </w:r>
      <w:proofErr w:type="spellEnd"/>
      <w:r w:rsidRPr="00F967D4">
        <w:rPr>
          <w:rFonts w:ascii="Sylfaen" w:eastAsia="Times New Roman" w:hAnsi="Sylfaen" w:cs="Times New Roman"/>
          <w:color w:val="000000"/>
        </w:rPr>
        <w:t xml:space="preserve">, </w:t>
      </w:r>
      <w:proofErr w:type="spellStart"/>
      <w:r w:rsidRPr="00F967D4">
        <w:rPr>
          <w:rFonts w:ascii="Sylfaen" w:eastAsia="Times New Roman" w:hAnsi="Sylfaen" w:cs="Times New Roman"/>
          <w:color w:val="000000"/>
        </w:rPr>
        <w:t>beettle</w:t>
      </w:r>
      <w:proofErr w:type="spellEnd"/>
      <w:r w:rsidRPr="00F967D4">
        <w:rPr>
          <w:rFonts w:ascii="Sylfaen" w:eastAsia="Times New Roman" w:hAnsi="Sylfaen" w:cs="Times New Roman"/>
          <w:color w:val="000000"/>
        </w:rPr>
        <w:t>-browed' (L.P., 1655, p. 7).</w:t>
      </w:r>
      <w:r w:rsidRPr="00F967D4">
        <w:rPr>
          <w:rFonts w:ascii="Sylfaen" w:eastAsia="Times New Roman" w:hAnsi="Sylfaen" w:cs="Times New Roman"/>
          <w:color w:val="000000"/>
          <w:lang w:val="en-US"/>
        </w:rPr>
        <w:t xml:space="preserve"> A </w:t>
      </w:r>
      <w:r w:rsidRPr="00F967D4">
        <w:rPr>
          <w:rFonts w:ascii="Sylfaen" w:eastAsia="Times New Roman" w:hAnsi="Sylfaen" w:cs="Times New Roman"/>
          <w:color w:val="000000"/>
        </w:rPr>
        <w:t xml:space="preserve">Kentish </w:t>
      </w:r>
      <w:proofErr w:type="gramStart"/>
      <w:r w:rsidRPr="00F967D4">
        <w:rPr>
          <w:rFonts w:ascii="Sylfaen" w:eastAsia="Times New Roman" w:hAnsi="Sylfaen" w:cs="Times New Roman"/>
          <w:color w:val="000000"/>
        </w:rPr>
        <w:t>gentleman’s</w:t>
      </w:r>
      <w:proofErr w:type="gramEnd"/>
      <w:r w:rsidRPr="00F967D4">
        <w:rPr>
          <w:rFonts w:ascii="Sylfaen" w:eastAsia="Times New Roman" w:hAnsi="Sylfaen" w:cs="Times New Roman"/>
          <w:color w:val="000000"/>
        </w:rPr>
        <w:t xml:space="preserve"> description of a defendant on trial is remarkably similar: '[she was] lame, </w:t>
      </w:r>
      <w:proofErr w:type="spellStart"/>
      <w:r w:rsidRPr="00F967D4">
        <w:rPr>
          <w:rFonts w:ascii="Sylfaen" w:eastAsia="Times New Roman" w:hAnsi="Sylfaen" w:cs="Times New Roman"/>
          <w:color w:val="000000"/>
        </w:rPr>
        <w:t>bleare-eied</w:t>
      </w:r>
      <w:proofErr w:type="spellEnd"/>
      <w:r w:rsidRPr="00F967D4">
        <w:rPr>
          <w:rFonts w:ascii="Sylfaen" w:eastAsia="Times New Roman" w:hAnsi="Sylfaen" w:cs="Times New Roman"/>
          <w:color w:val="000000"/>
        </w:rPr>
        <w:t xml:space="preserve">, pale, </w:t>
      </w:r>
      <w:proofErr w:type="spellStart"/>
      <w:r w:rsidRPr="00F967D4">
        <w:rPr>
          <w:rFonts w:ascii="Sylfaen" w:eastAsia="Times New Roman" w:hAnsi="Sylfaen" w:cs="Times New Roman"/>
          <w:color w:val="000000"/>
        </w:rPr>
        <w:t>fowle</w:t>
      </w:r>
      <w:proofErr w:type="spellEnd"/>
      <w:r w:rsidRPr="00F967D4">
        <w:rPr>
          <w:rFonts w:ascii="Sylfaen" w:eastAsia="Times New Roman" w:hAnsi="Sylfaen" w:cs="Times New Roman"/>
          <w:color w:val="000000"/>
        </w:rPr>
        <w:t>, and full of wrinkles' (Scot, 1584, p. 7).</w:t>
      </w:r>
      <w:r w:rsidRPr="00F967D4">
        <w:rPr>
          <w:rFonts w:ascii="Sylfaen" w:eastAsia="Times New Roman" w:hAnsi="Sylfaen" w:cs="Times New Roman"/>
          <w:color w:val="000000"/>
          <w:vertAlign w:val="superscript"/>
        </w:rPr>
        <w:footnoteReference w:id="6"/>
      </w:r>
      <w:r w:rsidRPr="00F967D4">
        <w:rPr>
          <w:rFonts w:ascii="Sylfaen" w:eastAsia="Times New Roman" w:hAnsi="Sylfaen" w:cs="Times New Roman"/>
          <w:color w:val="000000"/>
        </w:rPr>
        <w:t xml:space="preserve"> In 1646 a minister even complained that people were seeing witches in everyone ‘with a wrinkled face, a </w:t>
      </w:r>
      <w:proofErr w:type="spellStart"/>
      <w:proofErr w:type="gramStart"/>
      <w:r w:rsidRPr="00F967D4">
        <w:rPr>
          <w:rFonts w:ascii="Sylfaen" w:eastAsia="Times New Roman" w:hAnsi="Sylfaen" w:cs="Times New Roman"/>
          <w:color w:val="000000"/>
        </w:rPr>
        <w:t>furr'd</w:t>
      </w:r>
      <w:proofErr w:type="spellEnd"/>
      <w:proofErr w:type="gramEnd"/>
      <w:r w:rsidRPr="00F967D4">
        <w:rPr>
          <w:rFonts w:ascii="Sylfaen" w:eastAsia="Times New Roman" w:hAnsi="Sylfaen" w:cs="Times New Roman"/>
          <w:color w:val="000000"/>
        </w:rPr>
        <w:t xml:space="preserve"> brow, a hairy lip, [and] a </w:t>
      </w:r>
      <w:proofErr w:type="spellStart"/>
      <w:r w:rsidRPr="00F967D4">
        <w:rPr>
          <w:rFonts w:ascii="Sylfaen" w:eastAsia="Times New Roman" w:hAnsi="Sylfaen" w:cs="Times New Roman"/>
          <w:color w:val="000000"/>
        </w:rPr>
        <w:t>gobber</w:t>
      </w:r>
      <w:proofErr w:type="spellEnd"/>
      <w:r w:rsidRPr="00F967D4">
        <w:rPr>
          <w:rFonts w:ascii="Sylfaen" w:eastAsia="Times New Roman" w:hAnsi="Sylfaen" w:cs="Times New Roman"/>
          <w:color w:val="000000"/>
        </w:rPr>
        <w:t xml:space="preserve"> tooth' (</w:t>
      </w:r>
      <w:proofErr w:type="spellStart"/>
      <w:r w:rsidRPr="00F967D4">
        <w:rPr>
          <w:rFonts w:ascii="Sylfaen" w:eastAsia="Times New Roman" w:hAnsi="Sylfaen" w:cs="Times New Roman"/>
          <w:color w:val="000000"/>
        </w:rPr>
        <w:t>Gaule</w:t>
      </w:r>
      <w:proofErr w:type="spellEnd"/>
      <w:r w:rsidRPr="00F967D4">
        <w:rPr>
          <w:rFonts w:ascii="Sylfaen" w:eastAsia="Times New Roman" w:hAnsi="Sylfaen" w:cs="Times New Roman"/>
          <w:color w:val="000000"/>
        </w:rPr>
        <w:t>, 1656, pp. 4-5).</w:t>
      </w:r>
    </w:p>
    <w:p w14:paraId="537A1CBA"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00FC3911" w14:textId="0EACE87C" w:rsidR="00F967D4" w:rsidRDefault="00F967D4" w:rsidP="00143D64">
      <w:pPr>
        <w:spacing w:after="16" w:line="360" w:lineRule="auto"/>
        <w:ind w:right="278"/>
        <w:jc w:val="both"/>
        <w:rPr>
          <w:rFonts w:ascii="Sylfaen" w:eastAsia="Times New Roman" w:hAnsi="Sylfaen" w:cs="Times New Roman"/>
          <w:color w:val="000000"/>
          <w:lang w:val="en-US"/>
        </w:rPr>
      </w:pPr>
      <w:r w:rsidRPr="00F967D4">
        <w:rPr>
          <w:rFonts w:ascii="Sylfaen" w:eastAsia="Times New Roman" w:hAnsi="Sylfaen" w:cs="Times New Roman"/>
          <w:color w:val="000000"/>
        </w:rPr>
        <w:t xml:space="preserve">Some historians have argued that older women were more likely to </w:t>
      </w:r>
      <w:proofErr w:type="gramStart"/>
      <w:r w:rsidRPr="00F967D4">
        <w:rPr>
          <w:rFonts w:ascii="Sylfaen" w:eastAsia="Times New Roman" w:hAnsi="Sylfaen" w:cs="Times New Roman"/>
          <w:color w:val="000000"/>
        </w:rPr>
        <w:t>be accused</w:t>
      </w:r>
      <w:proofErr w:type="gramEnd"/>
      <w:r w:rsidRPr="00F967D4">
        <w:rPr>
          <w:rFonts w:ascii="Sylfaen" w:eastAsia="Times New Roman" w:hAnsi="Sylfaen" w:cs="Times New Roman"/>
          <w:color w:val="000000"/>
        </w:rPr>
        <w:t xml:space="preserve"> because of the contemporary belief that their age gave them the propensity to exhibit erratic or unpleasant behaviours (Rowlands, 2001).</w:t>
      </w:r>
      <w:r w:rsidRPr="00F967D4">
        <w:rPr>
          <w:rFonts w:ascii="Sylfaen" w:eastAsia="Times New Roman" w:hAnsi="Sylfaen" w:cs="Times New Roman"/>
          <w:color w:val="000000"/>
          <w:lang w:val="en-US"/>
        </w:rPr>
        <w:t xml:space="preserve"> Early modern Europeans typically subscribed to the view that the </w:t>
      </w:r>
      <w:r w:rsidRPr="00F967D4">
        <w:rPr>
          <w:rFonts w:ascii="Sylfaen" w:eastAsia="Times New Roman" w:hAnsi="Sylfaen" w:cs="Times New Roman"/>
          <w:color w:val="000000"/>
          <w:lang w:val="en-US"/>
        </w:rPr>
        <w:lastRenderedPageBreak/>
        <w:t xml:space="preserve">menopause fundamentally altered the balance of the bodies’ four regulatory </w:t>
      </w:r>
      <w:proofErr w:type="spellStart"/>
      <w:r w:rsidRPr="00F967D4">
        <w:rPr>
          <w:rFonts w:ascii="Sylfaen" w:eastAsia="Times New Roman" w:hAnsi="Sylfaen" w:cs="Times New Roman"/>
          <w:color w:val="000000"/>
          <w:lang w:val="en-US"/>
        </w:rPr>
        <w:t>humours</w:t>
      </w:r>
      <w:proofErr w:type="spellEnd"/>
      <w:r w:rsidRPr="00F967D4">
        <w:rPr>
          <w:rFonts w:ascii="Sylfaen" w:eastAsia="Times New Roman" w:hAnsi="Sylfaen" w:cs="Times New Roman"/>
          <w:color w:val="000000"/>
          <w:lang w:val="en-US"/>
        </w:rPr>
        <w:t>.</w:t>
      </w:r>
      <w:r w:rsidRPr="00F967D4">
        <w:rPr>
          <w:rFonts w:ascii="Sylfaen" w:eastAsia="Times New Roman" w:hAnsi="Sylfaen" w:cs="Times New Roman"/>
          <w:color w:val="000000"/>
          <w:vertAlign w:val="superscript"/>
          <w:lang w:val="en-US"/>
        </w:rPr>
        <w:footnoteReference w:id="7"/>
      </w:r>
      <w:r w:rsidRPr="00F967D4">
        <w:rPr>
          <w:rFonts w:ascii="Sylfaen" w:eastAsia="Times New Roman" w:hAnsi="Sylfaen" w:cs="Times New Roman"/>
          <w:color w:val="000000"/>
          <w:lang w:val="en-US"/>
        </w:rPr>
        <w:t xml:space="preserve"> They held </w:t>
      </w:r>
      <w:proofErr w:type="gramStart"/>
      <w:r w:rsidRPr="00F967D4">
        <w:rPr>
          <w:rFonts w:ascii="Sylfaen" w:eastAsia="Times New Roman" w:hAnsi="Sylfaen" w:cs="Times New Roman"/>
          <w:color w:val="000000"/>
          <w:lang w:val="en-US"/>
        </w:rPr>
        <w:t>that women’s</w:t>
      </w:r>
      <w:proofErr w:type="gramEnd"/>
      <w:r w:rsidRPr="00F967D4">
        <w:rPr>
          <w:rFonts w:ascii="Sylfaen" w:eastAsia="Times New Roman" w:hAnsi="Sylfaen" w:cs="Times New Roman"/>
          <w:color w:val="000000"/>
          <w:lang w:val="en-US"/>
        </w:rPr>
        <w:t xml:space="preserve"> habitually ‘cold’ and ‘moist’ bodies became increasingly ‘dry’ as they stopped menstruating, which adversely affected their moods and made them susceptible to the devil's deception. It also allegedly gave them a desire for moisture that made them jealous of younger fertile women, causing friction within communities (Roper, 2004). Robin Briggs tried to verify this, claiming that accused women tended to first arouse suspicion once they reached menopausal age (Briggs, 1996).  In </w:t>
      </w:r>
      <w:proofErr w:type="gramStart"/>
      <w:r w:rsidRPr="00F967D4">
        <w:rPr>
          <w:rFonts w:ascii="Sylfaen" w:eastAsia="Times New Roman" w:hAnsi="Sylfaen" w:cs="Times New Roman"/>
          <w:color w:val="000000"/>
          <w:lang w:val="en-US"/>
        </w:rPr>
        <w:t>1949</w:t>
      </w:r>
      <w:proofErr w:type="gramEnd"/>
      <w:r w:rsidRPr="00F967D4">
        <w:rPr>
          <w:rFonts w:ascii="Sylfaen" w:eastAsia="Times New Roman" w:hAnsi="Sylfaen" w:cs="Times New Roman"/>
          <w:color w:val="000000"/>
          <w:lang w:val="en-US"/>
        </w:rPr>
        <w:t xml:space="preserve"> </w:t>
      </w:r>
      <w:proofErr w:type="spellStart"/>
      <w:r w:rsidRPr="00F967D4">
        <w:rPr>
          <w:rFonts w:ascii="Sylfaen" w:eastAsia="Times New Roman" w:hAnsi="Sylfaen" w:cs="Times New Roman"/>
          <w:color w:val="000000"/>
          <w:lang w:val="en-US"/>
        </w:rPr>
        <w:t>Sona</w:t>
      </w:r>
      <w:proofErr w:type="spellEnd"/>
      <w:r w:rsidRPr="00F967D4">
        <w:rPr>
          <w:rFonts w:ascii="Sylfaen" w:eastAsia="Times New Roman" w:hAnsi="Sylfaen" w:cs="Times New Roman"/>
          <w:color w:val="000000"/>
          <w:lang w:val="en-US"/>
        </w:rPr>
        <w:t xml:space="preserve"> </w:t>
      </w:r>
      <w:r w:rsidRPr="00F967D4">
        <w:rPr>
          <w:rFonts w:ascii="Sylfaen" w:eastAsia="Times New Roman" w:hAnsi="Sylfaen" w:cs="Times New Roman"/>
          <w:color w:val="000000"/>
        </w:rPr>
        <w:t>Burstein offered an alternative view, arguing that these erratic behaviours were actually a result of oncoming senile psychosis</w:t>
      </w:r>
      <w:r w:rsidRPr="00F967D4">
        <w:rPr>
          <w:rFonts w:ascii="Sylfaen" w:eastAsia="Times New Roman" w:hAnsi="Sylfaen" w:cs="Times New Roman"/>
          <w:color w:val="000000"/>
          <w:lang w:val="en-US"/>
        </w:rPr>
        <w:t xml:space="preserve">. Indeed, the sixteenth-century physician Johann </w:t>
      </w:r>
      <w:proofErr w:type="spellStart"/>
      <w:r w:rsidRPr="00F967D4">
        <w:rPr>
          <w:rFonts w:ascii="Sylfaen" w:eastAsia="Times New Roman" w:hAnsi="Sylfaen" w:cs="Times New Roman"/>
          <w:color w:val="000000"/>
          <w:lang w:val="en-US"/>
        </w:rPr>
        <w:t>Weyer</w:t>
      </w:r>
      <w:proofErr w:type="spellEnd"/>
      <w:r w:rsidRPr="00F967D4">
        <w:rPr>
          <w:rFonts w:ascii="Sylfaen" w:eastAsia="Times New Roman" w:hAnsi="Sylfaen" w:cs="Times New Roman"/>
          <w:color w:val="000000"/>
          <w:lang w:val="en-US"/>
        </w:rPr>
        <w:t xml:space="preserve"> remarked, for example, that the elderly </w:t>
      </w:r>
      <w:proofErr w:type="gramStart"/>
      <w:r w:rsidRPr="00F967D4">
        <w:rPr>
          <w:rFonts w:ascii="Sylfaen" w:eastAsia="Times New Roman" w:hAnsi="Sylfaen" w:cs="Times New Roman"/>
          <w:color w:val="000000"/>
          <w:lang w:val="en-US"/>
        </w:rPr>
        <w:t>were ‘by their age not sufficiently settled</w:t>
      </w:r>
      <w:proofErr w:type="gramEnd"/>
      <w:r w:rsidRPr="00F967D4">
        <w:rPr>
          <w:rFonts w:ascii="Sylfaen" w:eastAsia="Times New Roman" w:hAnsi="Sylfaen" w:cs="Times New Roman"/>
          <w:color w:val="000000"/>
          <w:lang w:val="en-US"/>
        </w:rPr>
        <w:t xml:space="preserve"> in their minds', leaving them ‘more subject to the devil's deceits’ (Rowlands, 2001, p. 52).</w:t>
      </w:r>
    </w:p>
    <w:p w14:paraId="1A5F9984"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6725EFC7" w14:textId="609126D5" w:rsidR="00F967D4"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lang w:val="en-US"/>
        </w:rPr>
        <w:t xml:space="preserve">Again, while there is evidence to support the notion of the witch as stereotypically elderly, some recent scholarship presents a more complex picture. </w:t>
      </w:r>
      <w:proofErr w:type="spellStart"/>
      <w:r w:rsidRPr="00F967D4">
        <w:rPr>
          <w:rFonts w:ascii="Sylfaen" w:eastAsia="Times New Roman" w:hAnsi="Sylfaen" w:cs="Times New Roman"/>
          <w:color w:val="000000"/>
        </w:rPr>
        <w:t>Levack’s</w:t>
      </w:r>
      <w:proofErr w:type="spellEnd"/>
      <w:r w:rsidRPr="00F967D4">
        <w:rPr>
          <w:rFonts w:ascii="Sylfaen" w:eastAsia="Times New Roman" w:hAnsi="Sylfaen" w:cs="Times New Roman"/>
          <w:color w:val="000000"/>
        </w:rPr>
        <w:t xml:space="preserve"> </w:t>
      </w:r>
      <w:r w:rsidRPr="00F967D4">
        <w:rPr>
          <w:rFonts w:ascii="Sylfaen" w:eastAsia="Times New Roman" w:hAnsi="Sylfaen" w:cs="Times New Roman"/>
          <w:i/>
          <w:iCs/>
          <w:color w:val="000000"/>
          <w:lang w:val="en-US"/>
        </w:rPr>
        <w:t>Witch-Hunt in Early Modern Europe</w:t>
      </w:r>
      <w:r w:rsidRPr="00F967D4">
        <w:rPr>
          <w:rFonts w:ascii="Sylfaen" w:eastAsia="Times New Roman" w:hAnsi="Sylfaen" w:cs="Times New Roman"/>
          <w:color w:val="000000"/>
        </w:rPr>
        <w:t xml:space="preserve"> shows that the majority of witches in Scotland were under the age of fifty, for instance. </w:t>
      </w:r>
      <w:proofErr w:type="spellStart"/>
      <w:r w:rsidRPr="00F967D4">
        <w:rPr>
          <w:rFonts w:ascii="Sylfaen" w:eastAsia="Times New Roman" w:hAnsi="Sylfaen" w:cs="Times New Roman"/>
          <w:color w:val="000000"/>
        </w:rPr>
        <w:t>Lyndal</w:t>
      </w:r>
      <w:proofErr w:type="spellEnd"/>
      <w:r w:rsidRPr="00F967D4">
        <w:rPr>
          <w:rFonts w:ascii="Sylfaen" w:eastAsia="Times New Roman" w:hAnsi="Sylfaen" w:cs="Times New Roman"/>
          <w:color w:val="000000"/>
        </w:rPr>
        <w:t xml:space="preserve"> Roper’s article in </w:t>
      </w:r>
      <w:r w:rsidRPr="00F967D4">
        <w:rPr>
          <w:rFonts w:ascii="Sylfaen" w:eastAsia="Times New Roman" w:hAnsi="Sylfaen" w:cs="Times New Roman"/>
          <w:i/>
          <w:iCs/>
          <w:color w:val="000000"/>
          <w:lang w:val="en-US"/>
        </w:rPr>
        <w:t>New Perspectives on Witchcraft, Magic and Demonology</w:t>
      </w:r>
      <w:r w:rsidRPr="00F967D4">
        <w:rPr>
          <w:rFonts w:ascii="Sylfaen" w:eastAsia="Times New Roman" w:hAnsi="Sylfaen" w:cs="Times New Roman"/>
          <w:color w:val="000000"/>
          <w:lang w:val="en-US"/>
        </w:rPr>
        <w:t xml:space="preserve"> similarly</w:t>
      </w:r>
      <w:r w:rsidRPr="00F967D4">
        <w:rPr>
          <w:rFonts w:ascii="Sylfaen" w:eastAsia="Times New Roman" w:hAnsi="Sylfaen" w:cs="Times New Roman"/>
          <w:color w:val="000000"/>
        </w:rPr>
        <w:t xml:space="preserve"> demonstrates that older women in Augsburg appeared less often in trials after 1700, when children became the primary target of suspicion. In fact, close to half of all accused witches in Württemberg, Saarland, and </w:t>
      </w:r>
      <w:proofErr w:type="spellStart"/>
      <w:r w:rsidRPr="00F967D4">
        <w:rPr>
          <w:rFonts w:ascii="Sylfaen" w:eastAsia="Times New Roman" w:hAnsi="Sylfaen" w:cs="Times New Roman"/>
          <w:color w:val="000000"/>
        </w:rPr>
        <w:t>Würzburg</w:t>
      </w:r>
      <w:proofErr w:type="spellEnd"/>
      <w:r w:rsidRPr="00F967D4">
        <w:rPr>
          <w:rFonts w:ascii="Sylfaen" w:eastAsia="Times New Roman" w:hAnsi="Sylfaen" w:cs="Times New Roman"/>
          <w:color w:val="000000"/>
        </w:rPr>
        <w:t xml:space="preserve">, as well as a majority of those in </w:t>
      </w:r>
      <w:proofErr w:type="spellStart"/>
      <w:r w:rsidRPr="00F967D4">
        <w:rPr>
          <w:rFonts w:ascii="Sylfaen" w:eastAsia="Times New Roman" w:hAnsi="Sylfaen" w:cs="Times New Roman"/>
          <w:color w:val="000000"/>
        </w:rPr>
        <w:t>Rothenburg</w:t>
      </w:r>
      <w:proofErr w:type="spellEnd"/>
      <w:r w:rsidRPr="00F967D4">
        <w:rPr>
          <w:rFonts w:ascii="Sylfaen" w:eastAsia="Times New Roman" w:hAnsi="Sylfaen" w:cs="Times New Roman"/>
          <w:color w:val="000000"/>
        </w:rPr>
        <w:t>, were under fifty years old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2006; Roper, 2001).</w:t>
      </w:r>
      <w:r w:rsidRPr="00F967D4">
        <w:rPr>
          <w:rFonts w:ascii="Sylfaen" w:eastAsia="Times New Roman" w:hAnsi="Sylfaen" w:cs="Times New Roman"/>
          <w:color w:val="000000"/>
          <w:vertAlign w:val="superscript"/>
        </w:rPr>
        <w:footnoteReference w:id="8"/>
      </w:r>
    </w:p>
    <w:p w14:paraId="3B8B96F7"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356CA4C0" w14:textId="752B568C" w:rsidR="00F967D4"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t xml:space="preserve">A number of popular contemporary sources appear to counter the traditional age narrative too. Hans </w:t>
      </w:r>
      <w:proofErr w:type="spellStart"/>
      <w:r w:rsidRPr="00F967D4">
        <w:rPr>
          <w:rFonts w:ascii="Sylfaen" w:eastAsia="Times New Roman" w:hAnsi="Sylfaen" w:cs="Times New Roman"/>
          <w:color w:val="000000"/>
        </w:rPr>
        <w:t>Baldung’s</w:t>
      </w:r>
      <w:proofErr w:type="spellEnd"/>
      <w:r w:rsidRPr="00F967D4">
        <w:rPr>
          <w:rFonts w:ascii="Sylfaen" w:eastAsia="Times New Roman" w:hAnsi="Sylfaen" w:cs="Times New Roman"/>
          <w:color w:val="000000"/>
        </w:rPr>
        <w:t xml:space="preserve"> artworks, </w:t>
      </w:r>
      <w:r w:rsidRPr="00F967D4">
        <w:rPr>
          <w:rFonts w:ascii="Sylfaen" w:eastAsia="Times New Roman" w:hAnsi="Sylfaen" w:cs="Times New Roman"/>
          <w:i/>
          <w:iCs/>
          <w:color w:val="000000"/>
        </w:rPr>
        <w:t>Three Witches</w:t>
      </w:r>
      <w:r w:rsidRPr="00F967D4">
        <w:rPr>
          <w:rFonts w:ascii="Sylfaen" w:eastAsia="Times New Roman" w:hAnsi="Sylfaen" w:cs="Times New Roman"/>
          <w:color w:val="000000"/>
        </w:rPr>
        <w:t xml:space="preserve"> and </w:t>
      </w:r>
      <w:r w:rsidRPr="00F967D4">
        <w:rPr>
          <w:rFonts w:ascii="Sylfaen" w:eastAsia="Times New Roman" w:hAnsi="Sylfaen" w:cs="Times New Roman"/>
          <w:i/>
          <w:iCs/>
          <w:color w:val="000000"/>
        </w:rPr>
        <w:t>Witches Sabbath,</w:t>
      </w:r>
      <w:r w:rsidRPr="00F967D4">
        <w:rPr>
          <w:rFonts w:ascii="Sylfaen" w:eastAsia="Times New Roman" w:hAnsi="Sylfaen" w:cs="Times New Roman"/>
          <w:color w:val="000000"/>
        </w:rPr>
        <w:t xml:space="preserve"> both include a mix of younger and older women, for example (Roper, 2004). Kramer’s </w:t>
      </w:r>
      <w:r w:rsidRPr="00F967D4">
        <w:rPr>
          <w:rFonts w:ascii="Sylfaen" w:eastAsia="Times New Roman" w:hAnsi="Sylfaen" w:cs="Times New Roman"/>
          <w:i/>
          <w:iCs/>
          <w:color w:val="000000"/>
        </w:rPr>
        <w:t>Malleus</w:t>
      </w:r>
      <w:r w:rsidRPr="00F967D4">
        <w:rPr>
          <w:rFonts w:ascii="Sylfaen" w:eastAsia="Times New Roman" w:hAnsi="Sylfaen" w:cs="Times New Roman"/>
          <w:color w:val="000000"/>
        </w:rPr>
        <w:t xml:space="preserve"> was also eager to stress that individuals of any age </w:t>
      </w:r>
      <w:proofErr w:type="gramStart"/>
      <w:r w:rsidRPr="00F967D4">
        <w:rPr>
          <w:rFonts w:ascii="Sylfaen" w:eastAsia="Times New Roman" w:hAnsi="Sylfaen" w:cs="Times New Roman"/>
          <w:color w:val="000000"/>
        </w:rPr>
        <w:t>could be ensnared</w:t>
      </w:r>
      <w:proofErr w:type="gramEnd"/>
      <w:r w:rsidRPr="00F967D4">
        <w:rPr>
          <w:rFonts w:ascii="Sylfaen" w:eastAsia="Times New Roman" w:hAnsi="Sylfaen" w:cs="Times New Roman"/>
          <w:color w:val="000000"/>
        </w:rPr>
        <w:t xml:space="preserve"> by evil. He gives one example </w:t>
      </w:r>
      <w:proofErr w:type="gramStart"/>
      <w:r w:rsidRPr="00F967D4">
        <w:rPr>
          <w:rFonts w:ascii="Sylfaen" w:eastAsia="Times New Roman" w:hAnsi="Sylfaen" w:cs="Times New Roman"/>
          <w:color w:val="000000"/>
        </w:rPr>
        <w:t>where the devil</w:t>
      </w:r>
      <w:proofErr w:type="gramEnd"/>
      <w:r w:rsidRPr="00F967D4">
        <w:rPr>
          <w:rFonts w:ascii="Sylfaen" w:eastAsia="Times New Roman" w:hAnsi="Sylfaen" w:cs="Times New Roman"/>
          <w:color w:val="000000"/>
        </w:rPr>
        <w:t xml:space="preserve"> had </w:t>
      </w:r>
      <w:r w:rsidRPr="00F967D4">
        <w:rPr>
          <w:rFonts w:ascii="Sylfaen" w:eastAsia="Times New Roman" w:hAnsi="Sylfaen" w:cs="Times New Roman"/>
          <w:color w:val="000000"/>
        </w:rPr>
        <w:lastRenderedPageBreak/>
        <w:t>sought to corrupt a young virgin girl, while another passage described twelve-year-old girls copulating with incubi (Kramer, 2015).</w:t>
      </w:r>
      <w:r w:rsidRPr="00F967D4">
        <w:rPr>
          <w:rFonts w:ascii="Sylfaen" w:eastAsia="Times New Roman" w:hAnsi="Sylfaen" w:cs="Times New Roman"/>
          <w:color w:val="000000"/>
          <w:vertAlign w:val="superscript"/>
        </w:rPr>
        <w:footnoteReference w:id="9"/>
      </w:r>
      <w:r w:rsidRPr="00F967D4">
        <w:rPr>
          <w:rFonts w:ascii="Sylfaen" w:eastAsia="Times New Roman" w:hAnsi="Sylfaen" w:cs="Times New Roman"/>
          <w:color w:val="000000"/>
        </w:rPr>
        <w:t xml:space="preserve"> Similarly, French Judge Pierre de </w:t>
      </w:r>
      <w:proofErr w:type="spellStart"/>
      <w:r w:rsidRPr="00F967D4">
        <w:rPr>
          <w:rFonts w:ascii="Sylfaen" w:eastAsia="Times New Roman" w:hAnsi="Sylfaen" w:cs="Times New Roman"/>
          <w:color w:val="000000"/>
        </w:rPr>
        <w:t>Lancre</w:t>
      </w:r>
      <w:proofErr w:type="spellEnd"/>
      <w:r w:rsidRPr="00F967D4">
        <w:rPr>
          <w:rFonts w:ascii="Sylfaen" w:eastAsia="Times New Roman" w:hAnsi="Sylfaen" w:cs="Times New Roman"/>
          <w:color w:val="000000"/>
        </w:rPr>
        <w:t xml:space="preserve"> recorded instances of thirteen-year-olds participating in sexual orgies at the Witches Sabbath and a Scottish minister described children accepting the devil’s mark (</w:t>
      </w:r>
      <w:proofErr w:type="spellStart"/>
      <w:r w:rsidRPr="00F967D4">
        <w:rPr>
          <w:rFonts w:ascii="Sylfaen" w:eastAsia="Times New Roman" w:hAnsi="Sylfaen" w:cs="Times New Roman"/>
          <w:color w:val="000000"/>
        </w:rPr>
        <w:t>Lancre</w:t>
      </w:r>
      <w:proofErr w:type="spellEnd"/>
      <w:r w:rsidRPr="00F967D4">
        <w:rPr>
          <w:rFonts w:ascii="Sylfaen" w:eastAsia="Times New Roman" w:hAnsi="Sylfaen" w:cs="Times New Roman"/>
          <w:color w:val="000000"/>
        </w:rPr>
        <w:t>, 2015; Hutchinson, 2015).</w:t>
      </w:r>
      <w:r w:rsidRPr="00F967D4">
        <w:rPr>
          <w:rFonts w:ascii="Sylfaen" w:eastAsia="Times New Roman" w:hAnsi="Sylfaen" w:cs="Times New Roman"/>
          <w:color w:val="000000"/>
          <w:vertAlign w:val="superscript"/>
        </w:rPr>
        <w:footnoteReference w:id="10"/>
      </w:r>
      <w:r w:rsidRPr="00F967D4">
        <w:rPr>
          <w:rFonts w:ascii="Sylfaen" w:eastAsia="Times New Roman" w:hAnsi="Sylfaen" w:cs="Times New Roman"/>
          <w:color w:val="000000"/>
        </w:rPr>
        <w:t xml:space="preserve"> </w:t>
      </w:r>
    </w:p>
    <w:p w14:paraId="1AA42A61"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23F91791" w14:textId="26FA85E9" w:rsidR="00F967D4" w:rsidRDefault="00F967D4" w:rsidP="00143D64">
      <w:pPr>
        <w:spacing w:after="16" w:line="360" w:lineRule="auto"/>
        <w:ind w:right="278"/>
        <w:jc w:val="both"/>
        <w:rPr>
          <w:rFonts w:ascii="Sylfaen" w:eastAsia="Times New Roman" w:hAnsi="Sylfaen" w:cs="Times New Roman"/>
          <w:color w:val="000000"/>
          <w:lang w:val="en-US"/>
        </w:rPr>
      </w:pPr>
      <w:r w:rsidRPr="00F967D4">
        <w:rPr>
          <w:rFonts w:ascii="Sylfaen" w:eastAsia="Times New Roman" w:hAnsi="Sylfaen" w:cs="Times New Roman"/>
          <w:color w:val="000000"/>
        </w:rPr>
        <w:t xml:space="preserve">Contemporaries across Europe clearly did not think of the witch as archetypally elderly. Referring to records of witchcraft trials in </w:t>
      </w:r>
      <w:proofErr w:type="spellStart"/>
      <w:r w:rsidRPr="00F967D4">
        <w:rPr>
          <w:rFonts w:ascii="Sylfaen" w:eastAsia="Times New Roman" w:hAnsi="Sylfaen" w:cs="Times New Roman"/>
          <w:color w:val="000000"/>
        </w:rPr>
        <w:t>Rothenburg</w:t>
      </w:r>
      <w:proofErr w:type="spellEnd"/>
      <w:r w:rsidRPr="00F967D4">
        <w:rPr>
          <w:rFonts w:ascii="Sylfaen" w:eastAsia="Times New Roman" w:hAnsi="Sylfaen" w:cs="Times New Roman"/>
          <w:color w:val="000000"/>
        </w:rPr>
        <w:t xml:space="preserve">, Rowlands points out that they say very little about the haggard appearance of the suspects; </w:t>
      </w:r>
      <w:proofErr w:type="gramStart"/>
      <w:r w:rsidRPr="00F967D4">
        <w:rPr>
          <w:rFonts w:ascii="Sylfaen" w:eastAsia="Times New Roman" w:hAnsi="Sylfaen" w:cs="Times New Roman"/>
          <w:color w:val="000000"/>
        </w:rPr>
        <w:t>it is their actions they focus on</w:t>
      </w:r>
      <w:proofErr w:type="gramEnd"/>
      <w:r w:rsidRPr="00F967D4">
        <w:rPr>
          <w:rFonts w:ascii="Sylfaen" w:eastAsia="Times New Roman" w:hAnsi="Sylfaen" w:cs="Times New Roman"/>
          <w:color w:val="000000"/>
        </w:rPr>
        <w:t xml:space="preserve">. If their bodies are mentioned, it is often simply in reference to the witches’ marks that had helped prove their guilt and, for Rowlands, it was the very physical inconspicuousness of many suspects that led accusers to search them for marks in the first place. Furthermore, the notion that the menopause somehow makes older women targets of suspicion contradicts the fact that contemporaries identified menstrual blood as corrupting. On that basis, post-menopausal women </w:t>
      </w:r>
      <w:proofErr w:type="gramStart"/>
      <w:r w:rsidRPr="00F967D4">
        <w:rPr>
          <w:rFonts w:ascii="Sylfaen" w:eastAsia="Times New Roman" w:hAnsi="Sylfaen" w:cs="Times New Roman"/>
          <w:color w:val="000000"/>
        </w:rPr>
        <w:t>would have been considered</w:t>
      </w:r>
      <w:proofErr w:type="gramEnd"/>
      <w:r w:rsidRPr="00F967D4">
        <w:rPr>
          <w:rFonts w:ascii="Sylfaen" w:eastAsia="Times New Roman" w:hAnsi="Sylfaen" w:cs="Times New Roman"/>
          <w:color w:val="000000"/>
        </w:rPr>
        <w:t xml:space="preserve"> less dangerous</w:t>
      </w:r>
      <w:r w:rsidRPr="00F967D4">
        <w:rPr>
          <w:rFonts w:ascii="Sylfaen" w:eastAsia="Times New Roman" w:hAnsi="Sylfaen" w:cs="Times New Roman"/>
          <w:color w:val="000000"/>
          <w:lang w:val="en-US"/>
        </w:rPr>
        <w:t xml:space="preserve"> than pre-menopausal women and girls. It is also highly unlikely that of the estimated 90,000 people accused of witchcraft, anything like a majority were suffering with senile psychosis as Bernstein claimed </w:t>
      </w:r>
      <w:r w:rsidRPr="00F967D4">
        <w:rPr>
          <w:rFonts w:ascii="Sylfaen" w:eastAsia="Times New Roman" w:hAnsi="Sylfaen" w:cs="Times New Roman"/>
          <w:color w:val="000000"/>
        </w:rPr>
        <w:t xml:space="preserve">(Rowlands, 2001;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2006)</w:t>
      </w:r>
      <w:r w:rsidRPr="00F967D4">
        <w:rPr>
          <w:rFonts w:ascii="Sylfaen" w:eastAsia="Times New Roman" w:hAnsi="Sylfaen" w:cs="Times New Roman"/>
          <w:color w:val="000000"/>
          <w:lang w:val="en-US"/>
        </w:rPr>
        <w:t>. James Sharpe rightly warned against these kinds of arguments, calling them ‘simplistic reductionism’ (Sharpe, 1996, p. 10).</w:t>
      </w:r>
    </w:p>
    <w:p w14:paraId="73EFF7BC" w14:textId="77777777" w:rsidR="00F967D4" w:rsidRPr="00F967D4" w:rsidRDefault="00F967D4" w:rsidP="00143D64">
      <w:pPr>
        <w:spacing w:after="16" w:line="360" w:lineRule="auto"/>
        <w:ind w:right="278"/>
        <w:jc w:val="both"/>
        <w:rPr>
          <w:rFonts w:ascii="Sylfaen" w:eastAsia="Times New Roman" w:hAnsi="Sylfaen" w:cs="Times New Roman"/>
          <w:color w:val="000000"/>
          <w:lang w:val="en-US"/>
        </w:rPr>
      </w:pPr>
    </w:p>
    <w:p w14:paraId="2609E9E6" w14:textId="57FFDB0F" w:rsidR="00F967D4" w:rsidRDefault="00F967D4" w:rsidP="00143D64">
      <w:pPr>
        <w:spacing w:after="16" w:line="360" w:lineRule="auto"/>
        <w:ind w:right="278"/>
        <w:jc w:val="both"/>
        <w:rPr>
          <w:rFonts w:ascii="Sylfaen" w:eastAsia="Times New Roman" w:hAnsi="Sylfaen" w:cs="Times New Roman"/>
          <w:color w:val="000000"/>
          <w:lang w:val="en-US"/>
        </w:rPr>
      </w:pPr>
      <w:r w:rsidRPr="00F967D4">
        <w:rPr>
          <w:rFonts w:ascii="Sylfaen" w:eastAsia="Times New Roman" w:hAnsi="Sylfaen" w:cs="Times New Roman"/>
          <w:color w:val="000000"/>
        </w:rPr>
        <w:t xml:space="preserve">Most importantly, as the </w:t>
      </w:r>
      <w:r w:rsidRPr="00F967D4">
        <w:rPr>
          <w:rFonts w:ascii="Sylfaen" w:eastAsia="Times New Roman" w:hAnsi="Sylfaen" w:cs="Times New Roman"/>
          <w:i/>
          <w:iCs/>
          <w:color w:val="000000"/>
        </w:rPr>
        <w:t xml:space="preserve">Malleus </w:t>
      </w:r>
      <w:r w:rsidRPr="00F967D4">
        <w:rPr>
          <w:rFonts w:ascii="Sylfaen" w:eastAsia="Times New Roman" w:hAnsi="Sylfaen" w:cs="Times New Roman"/>
          <w:color w:val="000000"/>
        </w:rPr>
        <w:t xml:space="preserve">suggested earlier, a number of </w:t>
      </w:r>
      <w:r w:rsidRPr="00F967D4">
        <w:rPr>
          <w:rFonts w:ascii="Sylfaen" w:eastAsia="Times New Roman" w:hAnsi="Sylfaen" w:cs="Times New Roman"/>
          <w:color w:val="000000"/>
          <w:lang w:val="en-US"/>
        </w:rPr>
        <w:t xml:space="preserve">the elderly women prosecuted as witches might actually have been far younger when they first aroused suspicion. For instance, in some German territories an individual </w:t>
      </w:r>
      <w:proofErr w:type="gramStart"/>
      <w:r w:rsidRPr="00F967D4">
        <w:rPr>
          <w:rFonts w:ascii="Sylfaen" w:eastAsia="Times New Roman" w:hAnsi="Sylfaen" w:cs="Times New Roman"/>
          <w:color w:val="000000"/>
          <w:lang w:val="en-US"/>
        </w:rPr>
        <w:t>could only be prosecuted</w:t>
      </w:r>
      <w:proofErr w:type="gramEnd"/>
      <w:r w:rsidRPr="00F967D4">
        <w:rPr>
          <w:rFonts w:ascii="Sylfaen" w:eastAsia="Times New Roman" w:hAnsi="Sylfaen" w:cs="Times New Roman"/>
          <w:color w:val="000000"/>
          <w:lang w:val="en-US"/>
        </w:rPr>
        <w:t xml:space="preserve"> for practicing magic after receiving numerous denunciations, meaning suspects might live for years before we get any legal record of their existence. Complainants therefore needed to cultivate support for their accusations from their communities, not least because the defendant could also lodge a slander </w:t>
      </w:r>
      <w:r w:rsidRPr="00F967D4">
        <w:rPr>
          <w:rFonts w:ascii="Sylfaen" w:eastAsia="Times New Roman" w:hAnsi="Sylfaen" w:cs="Times New Roman"/>
          <w:color w:val="000000"/>
          <w:lang w:val="en-US"/>
        </w:rPr>
        <w:lastRenderedPageBreak/>
        <w:t xml:space="preserve">suit against their detractors as a counterattack </w:t>
      </w:r>
      <w:r w:rsidRPr="00F967D4">
        <w:rPr>
          <w:rFonts w:ascii="Sylfaen" w:eastAsia="Times New Roman" w:hAnsi="Sylfaen" w:cs="Times New Roman"/>
          <w:color w:val="000000"/>
        </w:rPr>
        <w:t>(</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xml:space="preserve">, 2006; Rowlands, 2001; Rowlands, 2003; </w:t>
      </w:r>
      <w:proofErr w:type="spellStart"/>
      <w:r w:rsidRPr="00F967D4">
        <w:rPr>
          <w:rFonts w:ascii="Sylfaen" w:eastAsia="Times New Roman" w:hAnsi="Sylfaen" w:cs="Times New Roman"/>
          <w:color w:val="000000"/>
        </w:rPr>
        <w:t>Kallestrup</w:t>
      </w:r>
      <w:proofErr w:type="spellEnd"/>
      <w:r w:rsidRPr="00F967D4">
        <w:rPr>
          <w:rFonts w:ascii="Sylfaen" w:eastAsia="Times New Roman" w:hAnsi="Sylfaen" w:cs="Times New Roman"/>
          <w:color w:val="000000"/>
        </w:rPr>
        <w:t>, 2015).</w:t>
      </w:r>
      <w:r w:rsidRPr="00F967D4">
        <w:rPr>
          <w:rFonts w:ascii="Sylfaen" w:eastAsia="Times New Roman" w:hAnsi="Sylfaen" w:cs="Times New Roman"/>
          <w:color w:val="000000"/>
          <w:vertAlign w:val="superscript"/>
          <w:lang w:val="en-US"/>
        </w:rPr>
        <w:footnoteReference w:id="11"/>
      </w:r>
      <w:r w:rsidRPr="00F967D4">
        <w:rPr>
          <w:rFonts w:ascii="Sylfaen" w:eastAsia="Times New Roman" w:hAnsi="Sylfaen" w:cs="Times New Roman"/>
          <w:color w:val="000000"/>
        </w:rPr>
        <w:t xml:space="preserve"> </w:t>
      </w:r>
      <w:proofErr w:type="gramStart"/>
      <w:r w:rsidRPr="00F967D4">
        <w:rPr>
          <w:rFonts w:ascii="Sylfaen" w:eastAsia="Times New Roman" w:hAnsi="Sylfaen" w:cs="Times New Roman"/>
          <w:color w:val="000000"/>
        </w:rPr>
        <w:t>But</w:t>
      </w:r>
      <w:proofErr w:type="gramEnd"/>
      <w:r w:rsidRPr="00F967D4">
        <w:rPr>
          <w:rFonts w:ascii="Sylfaen" w:eastAsia="Times New Roman" w:hAnsi="Sylfaen" w:cs="Times New Roman"/>
          <w:color w:val="000000"/>
        </w:rPr>
        <w:t xml:space="preserve"> </w:t>
      </w:r>
      <w:r w:rsidRPr="00F967D4">
        <w:rPr>
          <w:rFonts w:ascii="Sylfaen" w:eastAsia="Times New Roman" w:hAnsi="Sylfaen" w:cs="Times New Roman"/>
          <w:color w:val="000000"/>
          <w:lang w:val="en-US"/>
        </w:rPr>
        <w:t xml:space="preserve">contemporaries also saw the ability to cast spells as a transferrable skill passed down through the generations. Macfarlane himself acknowledges </w:t>
      </w:r>
      <w:proofErr w:type="gramStart"/>
      <w:r w:rsidRPr="00F967D4">
        <w:rPr>
          <w:rFonts w:ascii="Sylfaen" w:eastAsia="Times New Roman" w:hAnsi="Sylfaen" w:cs="Times New Roman"/>
          <w:color w:val="000000"/>
          <w:lang w:val="en-US"/>
        </w:rPr>
        <w:t>this</w:t>
      </w:r>
      <w:proofErr w:type="gramEnd"/>
      <w:r w:rsidRPr="00F967D4">
        <w:rPr>
          <w:rFonts w:ascii="Sylfaen" w:eastAsia="Times New Roman" w:hAnsi="Sylfaen" w:cs="Times New Roman"/>
          <w:color w:val="000000"/>
          <w:lang w:val="en-US"/>
        </w:rPr>
        <w:t xml:space="preserve">, highlighting one case where a sorcerer named Joan Cunny claimed to have first learned witchcraft some twenty years before she was finally caught and prosecuted (Macfarlane, 1970). </w:t>
      </w:r>
    </w:p>
    <w:p w14:paraId="0D83C0B8"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655ED653" w14:textId="12850666" w:rsidR="00F967D4" w:rsidRDefault="00F967D4" w:rsidP="00143D64">
      <w:pPr>
        <w:spacing w:after="16" w:line="360" w:lineRule="auto"/>
        <w:ind w:right="278"/>
        <w:jc w:val="both"/>
        <w:rPr>
          <w:rFonts w:ascii="Sylfaen" w:eastAsia="Times New Roman" w:hAnsi="Sylfaen" w:cs="Times New Roman"/>
          <w:color w:val="000000"/>
        </w:rPr>
      </w:pPr>
      <w:proofErr w:type="gramStart"/>
      <w:r w:rsidRPr="00F967D4">
        <w:rPr>
          <w:rFonts w:ascii="Sylfaen" w:eastAsia="Times New Roman" w:hAnsi="Sylfaen" w:cs="Times New Roman"/>
          <w:color w:val="000000"/>
          <w:lang w:val="en-US"/>
        </w:rPr>
        <w:t>This</w:t>
      </w:r>
      <w:proofErr w:type="gramEnd"/>
      <w:r w:rsidRPr="00F967D4">
        <w:rPr>
          <w:rFonts w:ascii="Sylfaen" w:eastAsia="Times New Roman" w:hAnsi="Sylfaen" w:cs="Times New Roman"/>
          <w:color w:val="000000"/>
          <w:lang w:val="en-US"/>
        </w:rPr>
        <w:t xml:space="preserve"> idea that witches were mostly of at least middle-age is likely responsible, at least in part, for the belief that they were also characteristically widowed. </w:t>
      </w:r>
      <w:r w:rsidRPr="00F967D4">
        <w:rPr>
          <w:rFonts w:ascii="Sylfaen" w:eastAsia="Times New Roman" w:hAnsi="Sylfaen" w:cs="Times New Roman"/>
          <w:color w:val="000000"/>
        </w:rPr>
        <w:t xml:space="preserve">Thomas insisted that ‘many of them’ were widows and Macfarlane supported this claim by pointing out that they accounted for 40% of all the accused women in England (Macfarlane, 1970). Modern research has built on this, demonstrating that similar trends prevailed in other parts of the continent. For instance, around half of those accused in Lorraine, </w:t>
      </w:r>
      <w:proofErr w:type="spellStart"/>
      <w:r w:rsidRPr="00F967D4">
        <w:rPr>
          <w:rFonts w:ascii="Sylfaen" w:eastAsia="Times New Roman" w:hAnsi="Sylfaen" w:cs="Times New Roman"/>
          <w:color w:val="000000"/>
        </w:rPr>
        <w:t>Toul</w:t>
      </w:r>
      <w:proofErr w:type="spellEnd"/>
      <w:r w:rsidRPr="00F967D4">
        <w:rPr>
          <w:rFonts w:ascii="Sylfaen" w:eastAsia="Times New Roman" w:hAnsi="Sylfaen" w:cs="Times New Roman"/>
          <w:color w:val="000000"/>
        </w:rPr>
        <w:t xml:space="preserve">, and the Inquisitorial Tribunal held at Siena </w:t>
      </w:r>
      <w:proofErr w:type="gramStart"/>
      <w:r w:rsidRPr="00F967D4">
        <w:rPr>
          <w:rFonts w:ascii="Sylfaen" w:eastAsia="Times New Roman" w:hAnsi="Sylfaen" w:cs="Times New Roman"/>
          <w:color w:val="000000"/>
        </w:rPr>
        <w:t>between 1580-1721</w:t>
      </w:r>
      <w:proofErr w:type="gramEnd"/>
      <w:r w:rsidRPr="00F967D4">
        <w:rPr>
          <w:rFonts w:ascii="Sylfaen" w:eastAsia="Times New Roman" w:hAnsi="Sylfaen" w:cs="Times New Roman"/>
          <w:color w:val="000000"/>
        </w:rPr>
        <w:t xml:space="preserve"> were widowed. They represented a clear majority in Saarland, accounting for 64% of the total (Rowlands, 2001; Rowlands, 2009;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xml:space="preserve">, 2006). </w:t>
      </w:r>
    </w:p>
    <w:p w14:paraId="14532956"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0AFD9EA1" w14:textId="77777777" w:rsidR="00A4621D"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t xml:space="preserve">This research also shows that geographical variations are, again, profound. To give a few examples, the combined efforts of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xml:space="preserve"> and Rowlands show that widowed women made up just 7% of the accused in Mainz, 19% in Sweden, 21% in Scotland, 23% in </w:t>
      </w:r>
      <w:proofErr w:type="spellStart"/>
      <w:r w:rsidRPr="00F967D4">
        <w:rPr>
          <w:rFonts w:ascii="Sylfaen" w:eastAsia="Times New Roman" w:hAnsi="Sylfaen" w:cs="Times New Roman"/>
          <w:color w:val="000000"/>
        </w:rPr>
        <w:t>Rothenburg</w:t>
      </w:r>
      <w:proofErr w:type="spellEnd"/>
      <w:r w:rsidRPr="00F967D4">
        <w:rPr>
          <w:rFonts w:ascii="Sylfaen" w:eastAsia="Times New Roman" w:hAnsi="Sylfaen" w:cs="Times New Roman"/>
          <w:color w:val="000000"/>
        </w:rPr>
        <w:t xml:space="preserve">, 26% in Venice, 30% in Horn, 33% in Basel, 34% in Geneva, 36% in the Jura region, 38% in </w:t>
      </w:r>
      <w:proofErr w:type="spellStart"/>
      <w:r w:rsidRPr="00F967D4">
        <w:rPr>
          <w:rFonts w:ascii="Sylfaen" w:eastAsia="Times New Roman" w:hAnsi="Sylfaen" w:cs="Times New Roman"/>
          <w:color w:val="000000"/>
        </w:rPr>
        <w:t>Montbéliard</w:t>
      </w:r>
      <w:proofErr w:type="spellEnd"/>
      <w:r w:rsidRPr="00F967D4">
        <w:rPr>
          <w:rFonts w:ascii="Sylfaen" w:eastAsia="Times New Roman" w:hAnsi="Sylfaen" w:cs="Times New Roman"/>
          <w:color w:val="000000"/>
        </w:rPr>
        <w:t xml:space="preserve">, and 38% in Kent.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xml:space="preserve"> and Rowlands’s research found </w:t>
      </w:r>
      <w:proofErr w:type="gramStart"/>
      <w:r w:rsidRPr="00F967D4">
        <w:rPr>
          <w:rFonts w:ascii="Sylfaen" w:eastAsia="Times New Roman" w:hAnsi="Sylfaen" w:cs="Times New Roman"/>
          <w:color w:val="000000"/>
        </w:rPr>
        <w:t>that it was married women who generally made up the majority of the accused in these regions, followed by widows, and then single women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2006; Rowlands, 2001; Rowlands, 2003)</w:t>
      </w:r>
      <w:proofErr w:type="gramEnd"/>
      <w:r w:rsidRPr="00F967D4">
        <w:rPr>
          <w:rFonts w:ascii="Sylfaen" w:eastAsia="Times New Roman" w:hAnsi="Sylfaen" w:cs="Times New Roman"/>
          <w:color w:val="000000"/>
        </w:rPr>
        <w:t>.</w:t>
      </w:r>
    </w:p>
    <w:p w14:paraId="3098BB68" w14:textId="02A4E54E" w:rsidR="00F967D4" w:rsidRPr="00F967D4" w:rsidRDefault="00A4621D"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t xml:space="preserve"> </w:t>
      </w:r>
    </w:p>
    <w:p w14:paraId="79EE89F8" w14:textId="6E5A4D02" w:rsidR="00F967D4"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t xml:space="preserve">It is partly because of precarious status of widows in early modern society that historians have seen them as a natural target of accusations. Certainly, the loss of a husband, </w:t>
      </w:r>
      <w:proofErr w:type="gramStart"/>
      <w:r w:rsidRPr="00F967D4">
        <w:rPr>
          <w:rFonts w:ascii="Sylfaen" w:eastAsia="Times New Roman" w:hAnsi="Sylfaen" w:cs="Times New Roman"/>
          <w:color w:val="000000"/>
        </w:rPr>
        <w:t>whose</w:t>
      </w:r>
      <w:proofErr w:type="gramEnd"/>
      <w:r w:rsidRPr="00F967D4">
        <w:rPr>
          <w:rFonts w:ascii="Sylfaen" w:eastAsia="Times New Roman" w:hAnsi="Sylfaen" w:cs="Times New Roman"/>
          <w:color w:val="000000"/>
        </w:rPr>
        <w:t xml:space="preserve"> earning potential would almost certainly have exceeded their own, could easily see a woman plunge </w:t>
      </w:r>
      <w:r w:rsidRPr="00F967D4">
        <w:rPr>
          <w:rFonts w:ascii="Sylfaen" w:eastAsia="Times New Roman" w:hAnsi="Sylfaen" w:cs="Times New Roman"/>
          <w:color w:val="000000"/>
        </w:rPr>
        <w:lastRenderedPageBreak/>
        <w:t>toward the bottom of the social ladder. (</w:t>
      </w:r>
      <w:proofErr w:type="spellStart"/>
      <w:r w:rsidRPr="00F967D4">
        <w:rPr>
          <w:rFonts w:ascii="Sylfaen" w:eastAsia="Times New Roman" w:hAnsi="Sylfaen" w:cs="Times New Roman"/>
          <w:color w:val="000000"/>
        </w:rPr>
        <w:t>Wrightson</w:t>
      </w:r>
      <w:proofErr w:type="spellEnd"/>
      <w:r w:rsidRPr="00F967D4">
        <w:rPr>
          <w:rFonts w:ascii="Sylfaen" w:eastAsia="Times New Roman" w:hAnsi="Sylfaen" w:cs="Times New Roman"/>
          <w:color w:val="000000"/>
        </w:rPr>
        <w:t xml:space="preserve">, 2004; </w:t>
      </w:r>
      <w:proofErr w:type="spellStart"/>
      <w:r w:rsidRPr="00F967D4">
        <w:rPr>
          <w:rFonts w:ascii="Sylfaen" w:eastAsia="Times New Roman" w:hAnsi="Sylfaen" w:cs="Times New Roman"/>
          <w:color w:val="000000"/>
        </w:rPr>
        <w:t>Gowing</w:t>
      </w:r>
      <w:proofErr w:type="spellEnd"/>
      <w:r w:rsidRPr="00F967D4">
        <w:rPr>
          <w:rFonts w:ascii="Sylfaen" w:eastAsia="Times New Roman" w:hAnsi="Sylfaen" w:cs="Times New Roman"/>
          <w:color w:val="000000"/>
        </w:rPr>
        <w:t>, 2012).</w:t>
      </w:r>
      <w:r w:rsidRPr="00F967D4">
        <w:rPr>
          <w:rFonts w:ascii="Sylfaen" w:eastAsia="Times New Roman" w:hAnsi="Sylfaen" w:cs="Times New Roman"/>
          <w:color w:val="000000"/>
          <w:vertAlign w:val="superscript"/>
        </w:rPr>
        <w:footnoteReference w:id="12"/>
      </w:r>
      <w:r w:rsidRPr="00F967D4">
        <w:rPr>
          <w:rFonts w:ascii="Sylfaen" w:eastAsia="Times New Roman" w:hAnsi="Sylfaen" w:cs="Times New Roman"/>
          <w:color w:val="000000"/>
        </w:rPr>
        <w:t xml:space="preserve"> The Thomas-Macfarlane ‘charity refused’ hypothesis posited that widowed women were often dependant on community aid in order to survive in the harsh economic climate of the period. However, if a neighbour refused to provide such help and then experienced some misfortune in their life, they might suspect the alms-seeker had used magic to exact revenge. The example of Margery Stanton was, according to Thomas, ‘typical’. One neighbour turned Stanton away from his house, whereupon his child became ill; another denied her milk </w:t>
      </w:r>
      <w:proofErr w:type="gramStart"/>
      <w:r w:rsidRPr="00F967D4">
        <w:rPr>
          <w:rFonts w:ascii="Sylfaen" w:eastAsia="Times New Roman" w:hAnsi="Sylfaen" w:cs="Times New Roman"/>
          <w:color w:val="000000"/>
        </w:rPr>
        <w:t>and also</w:t>
      </w:r>
      <w:proofErr w:type="gramEnd"/>
      <w:r w:rsidRPr="00F967D4">
        <w:rPr>
          <w:rFonts w:ascii="Sylfaen" w:eastAsia="Times New Roman" w:hAnsi="Sylfaen" w:cs="Times New Roman"/>
          <w:color w:val="000000"/>
        </w:rPr>
        <w:t xml:space="preserve"> became unwell. After a long list of offences, Stanton </w:t>
      </w:r>
      <w:proofErr w:type="gramStart"/>
      <w:r w:rsidRPr="00F967D4">
        <w:rPr>
          <w:rFonts w:ascii="Sylfaen" w:eastAsia="Times New Roman" w:hAnsi="Sylfaen" w:cs="Times New Roman"/>
          <w:color w:val="000000"/>
        </w:rPr>
        <w:t>was eventually tried</w:t>
      </w:r>
      <w:proofErr w:type="gramEnd"/>
      <w:r w:rsidRPr="00F967D4">
        <w:rPr>
          <w:rFonts w:ascii="Sylfaen" w:eastAsia="Times New Roman" w:hAnsi="Sylfaen" w:cs="Times New Roman"/>
          <w:color w:val="000000"/>
        </w:rPr>
        <w:t xml:space="preserve"> at Chelmsford in 1579. (Thomas, 1971, p. 662; Macfarlane, 1970).</w:t>
      </w:r>
    </w:p>
    <w:p w14:paraId="194949D4"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4F2FDCCA" w14:textId="2BA2067C" w:rsidR="00F967D4"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t xml:space="preserve">There are problems with the ‘charity refused’ model devised by Thomas and Macfarlane. Firstly, it fails to acknowledge that the poor probably appear disproportionately vulnerable to suspicion simply because they were by far the largest social group. Moreover, it is also true that those accused of witchcraft were not necessarily economically or socially inferior to their accusers. Malcolm </w:t>
      </w:r>
      <w:proofErr w:type="spellStart"/>
      <w:r w:rsidRPr="00F967D4">
        <w:rPr>
          <w:rFonts w:ascii="Sylfaen" w:eastAsia="Times New Roman" w:hAnsi="Sylfaen" w:cs="Times New Roman"/>
          <w:color w:val="000000"/>
        </w:rPr>
        <w:t>Gaskill</w:t>
      </w:r>
      <w:proofErr w:type="spellEnd"/>
      <w:r w:rsidRPr="00F967D4">
        <w:rPr>
          <w:rFonts w:ascii="Sylfaen" w:eastAsia="Times New Roman" w:hAnsi="Sylfaen" w:cs="Times New Roman"/>
          <w:color w:val="000000"/>
        </w:rPr>
        <w:t xml:space="preserve"> highlights the 1586 trial of Joan Cason in Kent, who he notes was probably wealthier than her </w:t>
      </w:r>
      <w:proofErr w:type="gramStart"/>
      <w:r w:rsidRPr="00F967D4">
        <w:rPr>
          <w:rFonts w:ascii="Sylfaen" w:eastAsia="Times New Roman" w:hAnsi="Sylfaen" w:cs="Times New Roman"/>
          <w:color w:val="000000"/>
        </w:rPr>
        <w:t>accuser</w:t>
      </w:r>
      <w:proofErr w:type="gramEnd"/>
      <w:r w:rsidRPr="00F967D4">
        <w:rPr>
          <w:rFonts w:ascii="Sylfaen" w:eastAsia="Times New Roman" w:hAnsi="Sylfaen" w:cs="Times New Roman"/>
          <w:color w:val="000000"/>
        </w:rPr>
        <w:t>,</w:t>
      </w:r>
      <w:r w:rsidRPr="00F967D4">
        <w:rPr>
          <w:rFonts w:ascii="Sylfaen" w:eastAsia="Times New Roman" w:hAnsi="Sylfaen" w:cs="Times New Roman"/>
          <w:color w:val="000000"/>
          <w:vertAlign w:val="superscript"/>
        </w:rPr>
        <w:footnoteReference w:id="13"/>
      </w:r>
      <w:r w:rsidRPr="00F967D4">
        <w:rPr>
          <w:rFonts w:ascii="Sylfaen" w:eastAsia="Times New Roman" w:hAnsi="Sylfaen" w:cs="Times New Roman"/>
          <w:color w:val="000000"/>
        </w:rPr>
        <w:t xml:space="preserve"> whilst records from Scotland list the status of some victims as nobility (</w:t>
      </w:r>
      <w:proofErr w:type="spellStart"/>
      <w:r w:rsidRPr="00F967D4">
        <w:rPr>
          <w:rFonts w:ascii="Sylfaen" w:eastAsia="Times New Roman" w:hAnsi="Sylfaen" w:cs="Times New Roman"/>
          <w:color w:val="000000"/>
        </w:rPr>
        <w:t>Gaskill</w:t>
      </w:r>
      <w:proofErr w:type="spellEnd"/>
      <w:r w:rsidRPr="00F967D4">
        <w:rPr>
          <w:rFonts w:ascii="Sylfaen" w:eastAsia="Times New Roman" w:hAnsi="Sylfaen" w:cs="Times New Roman"/>
          <w:color w:val="000000"/>
        </w:rPr>
        <w:t xml:space="preserve">, 1996; </w:t>
      </w:r>
      <w:proofErr w:type="spellStart"/>
      <w:r w:rsidRPr="00F967D4">
        <w:rPr>
          <w:rFonts w:ascii="Sylfaen" w:eastAsia="Times New Roman" w:hAnsi="Sylfaen" w:cs="Times New Roman"/>
          <w:color w:val="000000"/>
        </w:rPr>
        <w:t>Larner</w:t>
      </w:r>
      <w:proofErr w:type="spellEnd"/>
      <w:r w:rsidRPr="00F967D4">
        <w:rPr>
          <w:rFonts w:ascii="Sylfaen" w:eastAsia="Times New Roman" w:hAnsi="Sylfaen" w:cs="Times New Roman"/>
          <w:color w:val="000000"/>
        </w:rPr>
        <w:t xml:space="preserve"> et al., 1977). Likewise, </w:t>
      </w:r>
      <w:proofErr w:type="spellStart"/>
      <w:r w:rsidRPr="00F967D4">
        <w:rPr>
          <w:rFonts w:ascii="Sylfaen" w:eastAsia="Times New Roman" w:hAnsi="Sylfaen" w:cs="Times New Roman"/>
          <w:color w:val="000000"/>
        </w:rPr>
        <w:t>Lyndal</w:t>
      </w:r>
      <w:proofErr w:type="spellEnd"/>
      <w:r w:rsidRPr="00F967D4">
        <w:rPr>
          <w:rFonts w:ascii="Sylfaen" w:eastAsia="Times New Roman" w:hAnsi="Sylfaen" w:cs="Times New Roman"/>
          <w:color w:val="000000"/>
        </w:rPr>
        <w:t xml:space="preserve"> Roper discovered that some of those tried in </w:t>
      </w:r>
      <w:proofErr w:type="spellStart"/>
      <w:r w:rsidRPr="00F967D4">
        <w:rPr>
          <w:rFonts w:ascii="Sylfaen" w:eastAsia="Times New Roman" w:hAnsi="Sylfaen" w:cs="Times New Roman"/>
          <w:color w:val="000000"/>
        </w:rPr>
        <w:t>Nördlingen</w:t>
      </w:r>
      <w:proofErr w:type="spellEnd"/>
      <w:r w:rsidRPr="00F967D4">
        <w:rPr>
          <w:rFonts w:ascii="Sylfaen" w:eastAsia="Times New Roman" w:hAnsi="Sylfaen" w:cs="Times New Roman"/>
          <w:color w:val="000000"/>
        </w:rPr>
        <w:t xml:space="preserve"> were members of the interrogator’s own social circle (Roper, 2004). In fact, in some cases status, power, and wealth could make an individual the target of persecution. In 1629 a </w:t>
      </w:r>
      <w:proofErr w:type="spellStart"/>
      <w:r w:rsidRPr="00F967D4">
        <w:rPr>
          <w:rFonts w:ascii="Sylfaen" w:eastAsia="Times New Roman" w:hAnsi="Sylfaen" w:cs="Times New Roman"/>
          <w:color w:val="000000"/>
        </w:rPr>
        <w:t>Rothenburg</w:t>
      </w:r>
      <w:proofErr w:type="spellEnd"/>
      <w:r w:rsidRPr="00F967D4">
        <w:rPr>
          <w:rFonts w:ascii="Sylfaen" w:eastAsia="Times New Roman" w:hAnsi="Sylfaen" w:cs="Times New Roman"/>
          <w:color w:val="000000"/>
        </w:rPr>
        <w:t xml:space="preserve"> maidservant was banished from the city for spreading rumours that her master’s wife was a witch, in addition to telling tales of a nocturnal dance that had been attended by some of the city’s most distinguished residents and politicians (Rowlands, 2001; Rowlands, 2003). A year </w:t>
      </w:r>
      <w:proofErr w:type="gramStart"/>
      <w:r w:rsidRPr="00F967D4">
        <w:rPr>
          <w:rFonts w:ascii="Sylfaen" w:eastAsia="Times New Roman" w:hAnsi="Sylfaen" w:cs="Times New Roman"/>
          <w:color w:val="000000"/>
        </w:rPr>
        <w:t>earlier</w:t>
      </w:r>
      <w:proofErr w:type="gramEnd"/>
      <w:r w:rsidRPr="00F967D4">
        <w:rPr>
          <w:rFonts w:ascii="Sylfaen" w:eastAsia="Times New Roman" w:hAnsi="Sylfaen" w:cs="Times New Roman"/>
          <w:color w:val="000000"/>
        </w:rPr>
        <w:t xml:space="preserve"> another extraordinary case came to light in Bamberg, the centre of one of Europe’s most concentrated witch-hunts. The city Mayor himself was accused, tried, tortured, and executed for practicing magic (</w:t>
      </w:r>
      <w:proofErr w:type="spellStart"/>
      <w:r w:rsidRPr="00F967D4">
        <w:rPr>
          <w:rFonts w:ascii="Sylfaen" w:eastAsia="Times New Roman" w:hAnsi="Sylfaen" w:cs="Times New Roman"/>
          <w:color w:val="000000"/>
        </w:rPr>
        <w:t>Junius</w:t>
      </w:r>
      <w:proofErr w:type="spellEnd"/>
      <w:r w:rsidRPr="00F967D4">
        <w:rPr>
          <w:rFonts w:ascii="Sylfaen" w:eastAsia="Times New Roman" w:hAnsi="Sylfaen" w:cs="Times New Roman"/>
          <w:color w:val="000000"/>
        </w:rPr>
        <w:t xml:space="preserve">, 2015). </w:t>
      </w:r>
    </w:p>
    <w:p w14:paraId="01DF8CEE"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7A361F4D" w14:textId="782E3DAE" w:rsidR="00F967D4"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lastRenderedPageBreak/>
        <w:t xml:space="preserve">Indeed, in many cases the victims of accusations were not especially antagonistic, nor were they socially isolated (Rowlands, 2001; </w:t>
      </w:r>
      <w:proofErr w:type="spellStart"/>
      <w:r w:rsidRPr="00F967D4">
        <w:rPr>
          <w:rFonts w:ascii="Sylfaen" w:eastAsia="Times New Roman" w:hAnsi="Sylfaen" w:cs="Times New Roman"/>
          <w:color w:val="000000"/>
        </w:rPr>
        <w:t>Gaskill</w:t>
      </w:r>
      <w:proofErr w:type="spellEnd"/>
      <w:r w:rsidRPr="00F967D4">
        <w:rPr>
          <w:rFonts w:ascii="Sylfaen" w:eastAsia="Times New Roman" w:hAnsi="Sylfaen" w:cs="Times New Roman"/>
          <w:color w:val="000000"/>
        </w:rPr>
        <w:t>, 1996). Many of those tried in Kent during the mid-seventeenth century, for instance, were well-known faces in the community and they could attest to their innocence by drawing on the support of friends. (</w:t>
      </w:r>
      <w:proofErr w:type="spellStart"/>
      <w:r w:rsidRPr="00F967D4">
        <w:rPr>
          <w:rFonts w:ascii="Sylfaen" w:eastAsia="Times New Roman" w:hAnsi="Sylfaen" w:cs="Times New Roman"/>
          <w:color w:val="000000"/>
        </w:rPr>
        <w:t>Gaskill</w:t>
      </w:r>
      <w:proofErr w:type="spellEnd"/>
      <w:r w:rsidRPr="00F967D4">
        <w:rPr>
          <w:rFonts w:ascii="Sylfaen" w:eastAsia="Times New Roman" w:hAnsi="Sylfaen" w:cs="Times New Roman"/>
          <w:color w:val="000000"/>
        </w:rPr>
        <w:t xml:space="preserve">, 1996). Other scholars have found similar examples from places like Scotland, </w:t>
      </w:r>
      <w:proofErr w:type="spellStart"/>
      <w:r w:rsidRPr="00F967D4">
        <w:rPr>
          <w:rFonts w:ascii="Sylfaen" w:eastAsia="Times New Roman" w:hAnsi="Sylfaen" w:cs="Times New Roman"/>
          <w:color w:val="000000"/>
        </w:rPr>
        <w:t>Eichstätt</w:t>
      </w:r>
      <w:proofErr w:type="spellEnd"/>
      <w:r w:rsidRPr="00F967D4">
        <w:rPr>
          <w:rFonts w:ascii="Sylfaen" w:eastAsia="Times New Roman" w:hAnsi="Sylfaen" w:cs="Times New Roman"/>
          <w:color w:val="000000"/>
        </w:rPr>
        <w:t>, and Venice (</w:t>
      </w:r>
      <w:proofErr w:type="spellStart"/>
      <w:r w:rsidRPr="00F967D4">
        <w:rPr>
          <w:rFonts w:ascii="Sylfaen" w:eastAsia="Times New Roman" w:hAnsi="Sylfaen" w:cs="Times New Roman"/>
          <w:color w:val="000000"/>
        </w:rPr>
        <w:t>Larner</w:t>
      </w:r>
      <w:proofErr w:type="spellEnd"/>
      <w:r w:rsidRPr="00F967D4">
        <w:rPr>
          <w:rFonts w:ascii="Sylfaen" w:eastAsia="Times New Roman" w:hAnsi="Sylfaen" w:cs="Times New Roman"/>
          <w:color w:val="000000"/>
        </w:rPr>
        <w:t xml:space="preserve"> et al., 1977; Durrant, 2007; Seitz, 2011).</w:t>
      </w:r>
      <w:r w:rsidRPr="00F967D4">
        <w:rPr>
          <w:rFonts w:ascii="Sylfaen" w:eastAsia="Times New Roman" w:hAnsi="Sylfaen" w:cs="Times New Roman"/>
          <w:color w:val="000000"/>
          <w:vertAlign w:val="superscript"/>
        </w:rPr>
        <w:footnoteReference w:id="14"/>
      </w:r>
      <w:r w:rsidRPr="00F967D4">
        <w:rPr>
          <w:rFonts w:ascii="Sylfaen" w:eastAsia="Times New Roman" w:hAnsi="Sylfaen" w:cs="Times New Roman"/>
          <w:color w:val="000000"/>
        </w:rPr>
        <w:t xml:space="preserve"> </w:t>
      </w:r>
      <w:proofErr w:type="gramStart"/>
      <w:r w:rsidRPr="00F967D4">
        <w:rPr>
          <w:rFonts w:ascii="Sylfaen" w:eastAsia="Times New Roman" w:hAnsi="Sylfaen" w:cs="Times New Roman"/>
          <w:color w:val="000000"/>
        </w:rPr>
        <w:t>It may even be the case that the high acquittal rate for accused witches in Europe – estimated at 50% – was precisely a result of the support many managed to muster from their communities (</w:t>
      </w:r>
      <w:proofErr w:type="spellStart"/>
      <w:r w:rsidRPr="00F967D4">
        <w:rPr>
          <w:rFonts w:ascii="Sylfaen" w:eastAsia="Times New Roman" w:hAnsi="Sylfaen" w:cs="Times New Roman"/>
          <w:color w:val="000000"/>
        </w:rPr>
        <w:t>Gaskill</w:t>
      </w:r>
      <w:proofErr w:type="spellEnd"/>
      <w:r w:rsidRPr="00F967D4">
        <w:rPr>
          <w:rFonts w:ascii="Sylfaen" w:eastAsia="Times New Roman" w:hAnsi="Sylfaen" w:cs="Times New Roman"/>
          <w:color w:val="000000"/>
        </w:rPr>
        <w:t xml:space="preserve">, 1996;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2006).</w:t>
      </w:r>
      <w:proofErr w:type="gramEnd"/>
    </w:p>
    <w:p w14:paraId="21013766"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095BB8B9" w14:textId="46B6FFEC" w:rsidR="00F967D4"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t xml:space="preserve">The fate of the Mayor of Bamberg is indicative </w:t>
      </w:r>
      <w:proofErr w:type="gramStart"/>
      <w:r w:rsidRPr="00F967D4">
        <w:rPr>
          <w:rFonts w:ascii="Sylfaen" w:eastAsia="Times New Roman" w:hAnsi="Sylfaen" w:cs="Times New Roman"/>
          <w:color w:val="000000"/>
        </w:rPr>
        <w:t>not only of the often chaotic nature of the witch-hunts, but of the more diverse social, economic, and political</w:t>
      </w:r>
      <w:proofErr w:type="gramEnd"/>
      <w:r w:rsidRPr="00F967D4">
        <w:rPr>
          <w:rFonts w:ascii="Sylfaen" w:eastAsia="Times New Roman" w:hAnsi="Sylfaen" w:cs="Times New Roman"/>
          <w:color w:val="000000"/>
        </w:rPr>
        <w:t xml:space="preserve"> environment that helped shape them. It also suggests that disputes between factions within a particular social group could lead to someone making a formal denunciation against a perceived enemy. In </w:t>
      </w:r>
      <w:proofErr w:type="gramStart"/>
      <w:r w:rsidRPr="00F967D4">
        <w:rPr>
          <w:rFonts w:ascii="Sylfaen" w:eastAsia="Times New Roman" w:hAnsi="Sylfaen" w:cs="Times New Roman"/>
          <w:color w:val="000000"/>
        </w:rPr>
        <w:t>1610</w:t>
      </w:r>
      <w:proofErr w:type="gramEnd"/>
      <w:r w:rsidRPr="00F967D4">
        <w:rPr>
          <w:rFonts w:ascii="Sylfaen" w:eastAsia="Times New Roman" w:hAnsi="Sylfaen" w:cs="Times New Roman"/>
          <w:color w:val="000000"/>
        </w:rPr>
        <w:t xml:space="preserve"> Joan </w:t>
      </w:r>
      <w:proofErr w:type="spellStart"/>
      <w:r w:rsidRPr="00F967D4">
        <w:rPr>
          <w:rFonts w:ascii="Sylfaen" w:eastAsia="Times New Roman" w:hAnsi="Sylfaen" w:cs="Times New Roman"/>
          <w:color w:val="000000"/>
        </w:rPr>
        <w:t>Cariden</w:t>
      </w:r>
      <w:proofErr w:type="spellEnd"/>
      <w:r w:rsidRPr="00F967D4">
        <w:rPr>
          <w:rFonts w:ascii="Sylfaen" w:eastAsia="Times New Roman" w:hAnsi="Sylfaen" w:cs="Times New Roman"/>
          <w:color w:val="000000"/>
        </w:rPr>
        <w:t xml:space="preserve"> verbally assaulted Robert </w:t>
      </w:r>
      <w:proofErr w:type="spellStart"/>
      <w:r w:rsidRPr="00F967D4">
        <w:rPr>
          <w:rFonts w:ascii="Sylfaen" w:eastAsia="Times New Roman" w:hAnsi="Sylfaen" w:cs="Times New Roman"/>
          <w:color w:val="000000"/>
        </w:rPr>
        <w:t>Greenstreet</w:t>
      </w:r>
      <w:proofErr w:type="spellEnd"/>
      <w:r w:rsidRPr="00F967D4">
        <w:rPr>
          <w:rFonts w:ascii="Sylfaen" w:eastAsia="Times New Roman" w:hAnsi="Sylfaen" w:cs="Times New Roman"/>
          <w:color w:val="000000"/>
        </w:rPr>
        <w:t xml:space="preserve">, the Mayor of Faversham in Kent, after becoming increasingly unhappy with his administration. A new Mayor was soon elected in his place, but decades later, when the </w:t>
      </w:r>
      <w:proofErr w:type="gramStart"/>
      <w:r w:rsidRPr="00F967D4">
        <w:rPr>
          <w:rFonts w:ascii="Sylfaen" w:eastAsia="Times New Roman" w:hAnsi="Sylfaen" w:cs="Times New Roman"/>
          <w:color w:val="000000"/>
        </w:rPr>
        <w:t>witch hunts</w:t>
      </w:r>
      <w:proofErr w:type="gramEnd"/>
      <w:r w:rsidRPr="00F967D4">
        <w:rPr>
          <w:rFonts w:ascii="Sylfaen" w:eastAsia="Times New Roman" w:hAnsi="Sylfaen" w:cs="Times New Roman"/>
          <w:color w:val="000000"/>
        </w:rPr>
        <w:t xml:space="preserve"> in England were at their height, </w:t>
      </w:r>
      <w:proofErr w:type="spellStart"/>
      <w:r w:rsidRPr="00F967D4">
        <w:rPr>
          <w:rFonts w:ascii="Sylfaen" w:eastAsia="Times New Roman" w:hAnsi="Sylfaen" w:cs="Times New Roman"/>
          <w:color w:val="000000"/>
        </w:rPr>
        <w:t>Greenstreet</w:t>
      </w:r>
      <w:proofErr w:type="spellEnd"/>
      <w:r w:rsidRPr="00F967D4">
        <w:rPr>
          <w:rFonts w:ascii="Sylfaen" w:eastAsia="Times New Roman" w:hAnsi="Sylfaen" w:cs="Times New Roman"/>
          <w:color w:val="000000"/>
        </w:rPr>
        <w:t xml:space="preserve"> took up office once more. Within twelve days he had </w:t>
      </w:r>
      <w:proofErr w:type="spellStart"/>
      <w:r w:rsidRPr="00F967D4">
        <w:rPr>
          <w:rFonts w:ascii="Sylfaen" w:eastAsia="Times New Roman" w:hAnsi="Sylfaen" w:cs="Times New Roman"/>
          <w:color w:val="000000"/>
        </w:rPr>
        <w:t>Cariden</w:t>
      </w:r>
      <w:proofErr w:type="spellEnd"/>
      <w:r w:rsidRPr="00F967D4">
        <w:rPr>
          <w:rFonts w:ascii="Sylfaen" w:eastAsia="Times New Roman" w:hAnsi="Sylfaen" w:cs="Times New Roman"/>
          <w:color w:val="000000"/>
        </w:rPr>
        <w:t xml:space="preserve"> thrown in gaol and, shortly afterwards, executed as a witch. (</w:t>
      </w:r>
      <w:proofErr w:type="spellStart"/>
      <w:r w:rsidRPr="00F967D4">
        <w:rPr>
          <w:rFonts w:ascii="Sylfaen" w:eastAsia="Times New Roman" w:hAnsi="Sylfaen" w:cs="Times New Roman"/>
          <w:color w:val="000000"/>
        </w:rPr>
        <w:t>Gaskill</w:t>
      </w:r>
      <w:proofErr w:type="spellEnd"/>
      <w:r w:rsidRPr="00F967D4">
        <w:rPr>
          <w:rFonts w:ascii="Sylfaen" w:eastAsia="Times New Roman" w:hAnsi="Sylfaen" w:cs="Times New Roman"/>
          <w:color w:val="000000"/>
        </w:rPr>
        <w:t xml:space="preserve">, 1996). More common were cases like the one Louise </w:t>
      </w:r>
      <w:proofErr w:type="spellStart"/>
      <w:r w:rsidRPr="00F967D4">
        <w:rPr>
          <w:rFonts w:ascii="Sylfaen" w:eastAsia="Times New Roman" w:hAnsi="Sylfaen" w:cs="Times New Roman"/>
          <w:color w:val="000000"/>
        </w:rPr>
        <w:t>Kallestrup</w:t>
      </w:r>
      <w:proofErr w:type="spellEnd"/>
      <w:r w:rsidRPr="00F967D4">
        <w:rPr>
          <w:rFonts w:ascii="Sylfaen" w:eastAsia="Times New Roman" w:hAnsi="Sylfaen" w:cs="Times New Roman"/>
          <w:color w:val="000000"/>
        </w:rPr>
        <w:t xml:space="preserve"> records from the town of </w:t>
      </w:r>
      <w:proofErr w:type="spellStart"/>
      <w:r w:rsidRPr="00F967D4">
        <w:rPr>
          <w:rFonts w:ascii="Sylfaen" w:eastAsia="Times New Roman" w:hAnsi="Sylfaen" w:cs="Times New Roman"/>
          <w:color w:val="000000"/>
        </w:rPr>
        <w:t>Skagen</w:t>
      </w:r>
      <w:proofErr w:type="spellEnd"/>
      <w:r w:rsidRPr="00F967D4">
        <w:rPr>
          <w:rFonts w:ascii="Sylfaen" w:eastAsia="Times New Roman" w:hAnsi="Sylfaen" w:cs="Times New Roman"/>
          <w:color w:val="000000"/>
        </w:rPr>
        <w:t xml:space="preserve"> in Denmark. Here, Anne </w:t>
      </w:r>
      <w:proofErr w:type="spellStart"/>
      <w:r w:rsidRPr="00F967D4">
        <w:rPr>
          <w:rFonts w:ascii="Sylfaen" w:eastAsia="Times New Roman" w:hAnsi="Sylfaen" w:cs="Times New Roman"/>
          <w:color w:val="000000"/>
        </w:rPr>
        <w:t>Lundtz</w:t>
      </w:r>
      <w:proofErr w:type="spellEnd"/>
      <w:r w:rsidRPr="00F967D4">
        <w:rPr>
          <w:rFonts w:ascii="Sylfaen" w:eastAsia="Times New Roman" w:hAnsi="Sylfaen" w:cs="Times New Roman"/>
          <w:color w:val="000000"/>
        </w:rPr>
        <w:t xml:space="preserve"> </w:t>
      </w:r>
      <w:proofErr w:type="gramStart"/>
      <w:r w:rsidRPr="00F967D4">
        <w:rPr>
          <w:rFonts w:ascii="Sylfaen" w:eastAsia="Times New Roman" w:hAnsi="Sylfaen" w:cs="Times New Roman"/>
          <w:color w:val="000000"/>
        </w:rPr>
        <w:t>was convicted</w:t>
      </w:r>
      <w:proofErr w:type="gramEnd"/>
      <w:r w:rsidRPr="00F967D4">
        <w:rPr>
          <w:rFonts w:ascii="Sylfaen" w:eastAsia="Times New Roman" w:hAnsi="Sylfaen" w:cs="Times New Roman"/>
          <w:color w:val="000000"/>
        </w:rPr>
        <w:t xml:space="preserve"> of witchcraft by the town court, after numerous witnesses testified to her use of dark magic. In keeping with its legal system, the trial then moved to one of Denmark’s provincial courts, but as no one turned up to accuse </w:t>
      </w:r>
      <w:proofErr w:type="spellStart"/>
      <w:r w:rsidRPr="00F967D4">
        <w:rPr>
          <w:rFonts w:ascii="Sylfaen" w:eastAsia="Times New Roman" w:hAnsi="Sylfaen" w:cs="Times New Roman"/>
          <w:color w:val="000000"/>
        </w:rPr>
        <w:t>Lundtz</w:t>
      </w:r>
      <w:proofErr w:type="spellEnd"/>
      <w:r w:rsidRPr="00F967D4">
        <w:rPr>
          <w:rFonts w:ascii="Sylfaen" w:eastAsia="Times New Roman" w:hAnsi="Sylfaen" w:cs="Times New Roman"/>
          <w:color w:val="000000"/>
        </w:rPr>
        <w:t xml:space="preserve"> formally, the case was thrown out. (</w:t>
      </w:r>
      <w:proofErr w:type="spellStart"/>
      <w:r w:rsidRPr="00F967D4">
        <w:rPr>
          <w:rFonts w:ascii="Sylfaen" w:eastAsia="Times New Roman" w:hAnsi="Sylfaen" w:cs="Times New Roman"/>
          <w:color w:val="000000"/>
        </w:rPr>
        <w:t>Kallestrup</w:t>
      </w:r>
      <w:proofErr w:type="spellEnd"/>
      <w:r w:rsidRPr="00F967D4">
        <w:rPr>
          <w:rFonts w:ascii="Sylfaen" w:eastAsia="Times New Roman" w:hAnsi="Sylfaen" w:cs="Times New Roman"/>
          <w:color w:val="000000"/>
        </w:rPr>
        <w:t>, 2015).</w:t>
      </w:r>
    </w:p>
    <w:p w14:paraId="7584DF97"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1ECA4C7A" w14:textId="0582A26A" w:rsidR="00F967D4"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t xml:space="preserve">This paper has set out to challenge the stereotype of the early modern witch, presented by scholars such as Thomas and Macfarlane. The image of the witch as an elderly female widow, of limited social and economic means has some merit as I have demonstrated using a range of sources. The evidence in favour of the Thomas-Macfarlane stereotype is most compelling when </w:t>
      </w:r>
      <w:r w:rsidRPr="00F967D4">
        <w:rPr>
          <w:rFonts w:ascii="Sylfaen" w:eastAsia="Times New Roman" w:hAnsi="Sylfaen" w:cs="Times New Roman"/>
          <w:color w:val="000000"/>
        </w:rPr>
        <w:lastRenderedPageBreak/>
        <w:t xml:space="preserve">examined from a distance, as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xml:space="preserve"> showed when he claimed that in Europe as a whole 75% of the accused were women. However, while there seems to be, as Rowlands put it, ‘an element of truth’ in the stereotype, in drawing on modern monographs and in-depth regional studies this paper has also exposed some of its more serious flaws (Rowlands, 2001, p. 88). For instance, </w:t>
      </w:r>
      <w:proofErr w:type="gramStart"/>
      <w:r w:rsidRPr="00F967D4">
        <w:rPr>
          <w:rFonts w:ascii="Sylfaen" w:eastAsia="Times New Roman" w:hAnsi="Sylfaen" w:cs="Times New Roman"/>
          <w:color w:val="000000"/>
        </w:rPr>
        <w:t>recent scholarship on male and child witches, as well as on the social and legal dynamics behind accusations, which demonstrate they could be driven by factionalism and potentially take decades to reach court, where they may never even be examined</w:t>
      </w:r>
      <w:proofErr w:type="gramEnd"/>
      <w:r w:rsidRPr="00F967D4">
        <w:rPr>
          <w:rFonts w:ascii="Sylfaen" w:eastAsia="Times New Roman" w:hAnsi="Sylfaen" w:cs="Times New Roman"/>
          <w:color w:val="000000"/>
        </w:rPr>
        <w:t>.</w:t>
      </w:r>
    </w:p>
    <w:p w14:paraId="7F9D680A" w14:textId="77777777" w:rsidR="00F967D4" w:rsidRPr="00F967D4" w:rsidRDefault="00F967D4" w:rsidP="00143D64">
      <w:pPr>
        <w:spacing w:after="16" w:line="360" w:lineRule="auto"/>
        <w:ind w:right="278"/>
        <w:jc w:val="both"/>
        <w:rPr>
          <w:rFonts w:ascii="Sylfaen" w:eastAsia="Times New Roman" w:hAnsi="Sylfaen" w:cs="Times New Roman"/>
          <w:color w:val="000000"/>
        </w:rPr>
      </w:pPr>
    </w:p>
    <w:p w14:paraId="4D85B1E8" w14:textId="01C6A1C1" w:rsidR="00F967D4" w:rsidRPr="00F967D4" w:rsidRDefault="00F967D4" w:rsidP="00143D64">
      <w:pPr>
        <w:spacing w:after="16" w:line="360" w:lineRule="auto"/>
        <w:ind w:right="278"/>
        <w:jc w:val="both"/>
        <w:rPr>
          <w:rFonts w:ascii="Sylfaen" w:eastAsia="Times New Roman" w:hAnsi="Sylfaen" w:cs="Times New Roman"/>
          <w:color w:val="000000"/>
        </w:rPr>
      </w:pPr>
      <w:r w:rsidRPr="00F967D4">
        <w:rPr>
          <w:rFonts w:ascii="Sylfaen" w:eastAsia="Times New Roman" w:hAnsi="Sylfaen" w:cs="Times New Roman"/>
          <w:color w:val="000000"/>
        </w:rPr>
        <w:t xml:space="preserve">How, then, in light of these findings, might we re-define the early modern European witch? Broadly speaking, the accused was usually a married woman. However, her particular situation would inevitably vary enormously according to time and geography. Differences in age, social status, and financial power create a more nuanced picture, making it hard to determine how these characteristics fit as part of an overarching archetype, though we can say that the </w:t>
      </w:r>
      <w:proofErr w:type="gramStart"/>
      <w:r w:rsidRPr="00F967D4">
        <w:rPr>
          <w:rFonts w:ascii="Sylfaen" w:eastAsia="Times New Roman" w:hAnsi="Sylfaen" w:cs="Times New Roman"/>
          <w:color w:val="000000"/>
        </w:rPr>
        <w:t>lower-classes</w:t>
      </w:r>
      <w:proofErr w:type="gramEnd"/>
      <w:r w:rsidRPr="00F967D4">
        <w:rPr>
          <w:rFonts w:ascii="Sylfaen" w:eastAsia="Times New Roman" w:hAnsi="Sylfaen" w:cs="Times New Roman"/>
          <w:color w:val="000000"/>
        </w:rPr>
        <w:t xml:space="preserve"> are well-represented among the accused. What becomes clear in this paper is the folly of relying on such stereotypes in the first place. In order to represent the past with real accuracy and sensitivity, it is imperative the historian is attentive to the enormous dynamism of everyday life in early modern Europe. Among the accused were young unmarried women, prominent men, children, the wealthy, the poor, and many others, in addition to those that align more closely with the stereotype. Thomas and Macfarlane were pioneers, writing in the 1970s when scholarly interest in the early modern European witch-hunts was minimal; that the subject inspires so much passion and debate amongst academics today is testament to their achievements. The stereotype they inspired is, however, something of a blunt instrument. Blunt instruments have their uses of course, but they do not encourage precision or accuracy. By bringing together the best modern research, with close reference to a wide range of contemporary sources, this article has promoted a more complex, and I might cautiously argue </w:t>
      </w:r>
      <w:proofErr w:type="gramStart"/>
      <w:r w:rsidRPr="00F967D4">
        <w:rPr>
          <w:rFonts w:ascii="Sylfaen" w:eastAsia="Times New Roman" w:hAnsi="Sylfaen" w:cs="Times New Roman"/>
          <w:color w:val="000000"/>
        </w:rPr>
        <w:t>more fascinating, view of the early modern European witch-hunts and its victims</w:t>
      </w:r>
      <w:proofErr w:type="gramEnd"/>
      <w:r w:rsidRPr="00F967D4">
        <w:rPr>
          <w:rFonts w:ascii="Sylfaen" w:eastAsia="Times New Roman" w:hAnsi="Sylfaen" w:cs="Times New Roman"/>
          <w:color w:val="000000"/>
        </w:rPr>
        <w:t>.</w:t>
      </w:r>
    </w:p>
    <w:p w14:paraId="1D06E01C" w14:textId="77777777" w:rsidR="00F967D4" w:rsidRPr="00F967D4" w:rsidRDefault="00F967D4" w:rsidP="00F967D4">
      <w:pPr>
        <w:spacing w:before="240" w:after="0"/>
        <w:ind w:right="276"/>
        <w:jc w:val="both"/>
        <w:rPr>
          <w:rFonts w:ascii="Sylfaen" w:eastAsia="Times New Roman" w:hAnsi="Sylfaen" w:cs="Times New Roman"/>
          <w:color w:val="000000"/>
          <w:sz w:val="24"/>
          <w:szCs w:val="24"/>
        </w:rPr>
      </w:pPr>
    </w:p>
    <w:p w14:paraId="2BD048F2" w14:textId="3C5BDCC0" w:rsidR="00F967D4" w:rsidRPr="00F967D4" w:rsidRDefault="00F967D4" w:rsidP="00F967D4">
      <w:pPr>
        <w:pStyle w:val="Heading1"/>
        <w:rPr>
          <w:rFonts w:eastAsia="Times New Roman"/>
        </w:rPr>
      </w:pPr>
      <w:r>
        <w:rPr>
          <w:rFonts w:eastAsia="Times New Roman"/>
        </w:rPr>
        <w:lastRenderedPageBreak/>
        <w:t>References</w:t>
      </w:r>
    </w:p>
    <w:p w14:paraId="708B3D49" w14:textId="16E9F413" w:rsidR="00F967D4" w:rsidRPr="00F967D4" w:rsidRDefault="00F967D4" w:rsidP="00143D64">
      <w:pPr>
        <w:spacing w:after="160" w:line="360" w:lineRule="auto"/>
        <w:ind w:right="278"/>
        <w:rPr>
          <w:rFonts w:ascii="Sylfaen" w:eastAsia="Times New Roman" w:hAnsi="Sylfaen" w:cs="Times New Roman"/>
          <w:color w:val="000000"/>
          <w:lang w:val="en-US"/>
        </w:rPr>
      </w:pPr>
      <w:r w:rsidRPr="00F967D4">
        <w:rPr>
          <w:rFonts w:ascii="Sylfaen" w:eastAsia="Times New Roman" w:hAnsi="Sylfaen" w:cs="Times New Roman"/>
          <w:color w:val="000000"/>
          <w:lang w:val="en-US"/>
        </w:rPr>
        <w:t xml:space="preserve">Anonymous (1977) ‘List of Witches Whose Social or Occupational Status is Recorded,’ in </w:t>
      </w:r>
      <w:proofErr w:type="spellStart"/>
      <w:r w:rsidRPr="00F967D4">
        <w:rPr>
          <w:rFonts w:ascii="Sylfaen" w:eastAsia="Times New Roman" w:hAnsi="Sylfaen" w:cs="Times New Roman"/>
          <w:color w:val="000000"/>
          <w:lang w:val="en-US"/>
        </w:rPr>
        <w:t>Larner</w:t>
      </w:r>
      <w:proofErr w:type="spellEnd"/>
      <w:r w:rsidRPr="00F967D4">
        <w:rPr>
          <w:rFonts w:ascii="Sylfaen" w:eastAsia="Times New Roman" w:hAnsi="Sylfaen" w:cs="Times New Roman"/>
          <w:color w:val="000000"/>
          <w:lang w:val="en-US"/>
        </w:rPr>
        <w:t xml:space="preserve">, C., Lee, C. H. and </w:t>
      </w:r>
      <w:proofErr w:type="spellStart"/>
      <w:r w:rsidRPr="00F967D4">
        <w:rPr>
          <w:rFonts w:ascii="Sylfaen" w:eastAsia="Times New Roman" w:hAnsi="Sylfaen" w:cs="Times New Roman"/>
          <w:color w:val="000000"/>
          <w:lang w:val="en-US"/>
        </w:rPr>
        <w:t>Mclachlan</w:t>
      </w:r>
      <w:proofErr w:type="spellEnd"/>
      <w:r w:rsidRPr="00F967D4">
        <w:rPr>
          <w:rFonts w:ascii="Sylfaen" w:eastAsia="Times New Roman" w:hAnsi="Sylfaen" w:cs="Times New Roman"/>
          <w:color w:val="000000"/>
          <w:lang w:val="en-US"/>
        </w:rPr>
        <w:t>, H.V. (eds.)</w:t>
      </w:r>
      <w:r w:rsidRPr="00F967D4">
        <w:rPr>
          <w:rFonts w:ascii="Sylfaen" w:eastAsia="Times New Roman" w:hAnsi="Sylfaen" w:cs="Times New Roman"/>
          <w:i/>
          <w:iCs/>
          <w:color w:val="000000"/>
          <w:lang w:val="en-US"/>
        </w:rPr>
        <w:t xml:space="preserve"> A Source-Book of Scottish Witchcraft</w:t>
      </w:r>
      <w:r w:rsidR="00143D64">
        <w:rPr>
          <w:rFonts w:ascii="Sylfaen" w:eastAsia="Times New Roman" w:hAnsi="Sylfaen" w:cs="Times New Roman"/>
          <w:color w:val="000000"/>
          <w:lang w:val="en-US"/>
        </w:rPr>
        <w:t xml:space="preserve">. Glasgow: </w:t>
      </w:r>
      <w:proofErr w:type="spellStart"/>
      <w:r w:rsidR="00143D64">
        <w:rPr>
          <w:rFonts w:ascii="Sylfaen" w:eastAsia="Times New Roman" w:hAnsi="Sylfaen" w:cs="Times New Roman"/>
          <w:color w:val="000000"/>
          <w:lang w:val="en-US"/>
        </w:rPr>
        <w:t>Grimsay</w:t>
      </w:r>
      <w:proofErr w:type="spellEnd"/>
      <w:r w:rsidR="00143D64">
        <w:rPr>
          <w:rFonts w:ascii="Sylfaen" w:eastAsia="Times New Roman" w:hAnsi="Sylfaen" w:cs="Times New Roman"/>
          <w:color w:val="000000"/>
          <w:lang w:val="en-US"/>
        </w:rPr>
        <w:t xml:space="preserve"> Press</w:t>
      </w:r>
      <w:r w:rsidR="009E1948">
        <w:rPr>
          <w:rFonts w:ascii="Sylfaen" w:eastAsia="Times New Roman" w:hAnsi="Sylfaen" w:cs="Times New Roman"/>
          <w:color w:val="000000"/>
          <w:lang w:val="en-US"/>
        </w:rPr>
        <w:t xml:space="preserve">, (pages unknown). </w:t>
      </w:r>
    </w:p>
    <w:p w14:paraId="28BAFD67" w14:textId="70B80A35"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t>Anonymous (1977) ‘The Case of Mary Morrison, 1699’,</w:t>
      </w:r>
      <w:r w:rsidRPr="00F967D4">
        <w:rPr>
          <w:rFonts w:ascii="Sylfaen" w:eastAsia="Times New Roman" w:hAnsi="Sylfaen" w:cs="Times New Roman"/>
          <w:i/>
          <w:iCs/>
          <w:color w:val="000000"/>
          <w:lang w:val="en-US"/>
        </w:rPr>
        <w:t xml:space="preserve"> </w:t>
      </w:r>
      <w:r w:rsidRPr="00F967D4">
        <w:rPr>
          <w:rFonts w:ascii="Sylfaen" w:eastAsia="Times New Roman" w:hAnsi="Sylfaen" w:cs="Times New Roman"/>
          <w:color w:val="000000"/>
          <w:lang w:val="en-US"/>
        </w:rPr>
        <w:t xml:space="preserve">in </w:t>
      </w:r>
      <w:proofErr w:type="spellStart"/>
      <w:r w:rsidRPr="00F967D4">
        <w:rPr>
          <w:rFonts w:ascii="Sylfaen" w:eastAsia="Times New Roman" w:hAnsi="Sylfaen" w:cs="Times New Roman"/>
          <w:color w:val="000000"/>
          <w:lang w:val="en-US"/>
        </w:rPr>
        <w:t>Larner</w:t>
      </w:r>
      <w:proofErr w:type="spellEnd"/>
      <w:r w:rsidRPr="00F967D4">
        <w:rPr>
          <w:rFonts w:ascii="Sylfaen" w:eastAsia="Times New Roman" w:hAnsi="Sylfaen" w:cs="Times New Roman"/>
          <w:color w:val="000000"/>
          <w:lang w:val="en-US"/>
        </w:rPr>
        <w:t xml:space="preserve">, C., Lee, C. H. and </w:t>
      </w:r>
      <w:proofErr w:type="spellStart"/>
      <w:r w:rsidRPr="00F967D4">
        <w:rPr>
          <w:rFonts w:ascii="Sylfaen" w:eastAsia="Times New Roman" w:hAnsi="Sylfaen" w:cs="Times New Roman"/>
          <w:color w:val="000000"/>
          <w:lang w:val="en-US"/>
        </w:rPr>
        <w:t>Mclachlan</w:t>
      </w:r>
      <w:proofErr w:type="spellEnd"/>
      <w:r w:rsidRPr="00F967D4">
        <w:rPr>
          <w:rFonts w:ascii="Sylfaen" w:eastAsia="Times New Roman" w:hAnsi="Sylfaen" w:cs="Times New Roman"/>
          <w:color w:val="000000"/>
          <w:lang w:val="en-US"/>
        </w:rPr>
        <w:t>, H.V. (eds.)</w:t>
      </w:r>
      <w:r w:rsidRPr="00F967D4">
        <w:rPr>
          <w:rFonts w:ascii="Sylfaen" w:eastAsia="Times New Roman" w:hAnsi="Sylfaen" w:cs="Times New Roman"/>
          <w:i/>
          <w:iCs/>
          <w:color w:val="000000"/>
          <w:lang w:val="en-US"/>
        </w:rPr>
        <w:t xml:space="preserve"> A </w:t>
      </w:r>
      <w:proofErr w:type="gramStart"/>
      <w:r w:rsidRPr="00F967D4">
        <w:rPr>
          <w:rFonts w:ascii="Sylfaen" w:eastAsia="Times New Roman" w:hAnsi="Sylfaen" w:cs="Times New Roman"/>
          <w:i/>
          <w:iCs/>
          <w:color w:val="000000"/>
          <w:lang w:val="en-US"/>
        </w:rPr>
        <w:t>Source-Book</w:t>
      </w:r>
      <w:proofErr w:type="gramEnd"/>
      <w:r w:rsidRPr="00F967D4">
        <w:rPr>
          <w:rFonts w:ascii="Sylfaen" w:eastAsia="Times New Roman" w:hAnsi="Sylfaen" w:cs="Times New Roman"/>
          <w:i/>
          <w:iCs/>
          <w:color w:val="000000"/>
          <w:lang w:val="en-US"/>
        </w:rPr>
        <w:t xml:space="preserve"> of Scottish Witchcraft</w:t>
      </w:r>
      <w:r w:rsidR="00143D64">
        <w:rPr>
          <w:rFonts w:ascii="Sylfaen" w:eastAsia="Times New Roman" w:hAnsi="Sylfaen" w:cs="Times New Roman"/>
          <w:i/>
          <w:iCs/>
          <w:color w:val="000000"/>
          <w:lang w:val="en-US"/>
        </w:rPr>
        <w:t xml:space="preserve">. </w:t>
      </w:r>
      <w:r w:rsidR="00143D64">
        <w:rPr>
          <w:rFonts w:ascii="Sylfaen" w:eastAsia="Times New Roman" w:hAnsi="Sylfaen" w:cs="Times New Roman"/>
          <w:color w:val="000000"/>
          <w:lang w:val="en-US"/>
        </w:rPr>
        <w:t xml:space="preserve">Glasgow: </w:t>
      </w:r>
      <w:proofErr w:type="spellStart"/>
      <w:r w:rsidR="009E1948">
        <w:rPr>
          <w:rFonts w:ascii="Sylfaen" w:eastAsia="Times New Roman" w:hAnsi="Sylfaen" w:cs="Times New Roman"/>
          <w:color w:val="000000"/>
          <w:lang w:val="en-US"/>
        </w:rPr>
        <w:t>Grimsay</w:t>
      </w:r>
      <w:proofErr w:type="spellEnd"/>
      <w:r w:rsidR="009E1948">
        <w:rPr>
          <w:rFonts w:ascii="Sylfaen" w:eastAsia="Times New Roman" w:hAnsi="Sylfaen" w:cs="Times New Roman"/>
          <w:color w:val="000000"/>
          <w:lang w:val="en-US"/>
        </w:rPr>
        <w:t xml:space="preserve"> Press, (pages unknown).</w:t>
      </w:r>
    </w:p>
    <w:p w14:paraId="289810D7" w14:textId="0744BD75"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rPr>
        <w:t xml:space="preserve">Apps, L. and </w:t>
      </w:r>
      <w:proofErr w:type="spellStart"/>
      <w:r w:rsidRPr="00F967D4">
        <w:rPr>
          <w:rFonts w:ascii="Sylfaen" w:eastAsia="Times New Roman" w:hAnsi="Sylfaen" w:cs="Times New Roman"/>
          <w:color w:val="000000"/>
        </w:rPr>
        <w:t>Gow</w:t>
      </w:r>
      <w:proofErr w:type="spellEnd"/>
      <w:r w:rsidRPr="00F967D4">
        <w:rPr>
          <w:rFonts w:ascii="Sylfaen" w:eastAsia="Times New Roman" w:hAnsi="Sylfaen" w:cs="Times New Roman"/>
          <w:color w:val="000000"/>
        </w:rPr>
        <w:t xml:space="preserve">, A. (2003) </w:t>
      </w:r>
      <w:r w:rsidRPr="00F967D4">
        <w:rPr>
          <w:rFonts w:ascii="Sylfaen" w:eastAsia="Times New Roman" w:hAnsi="Sylfaen" w:cs="Times New Roman"/>
          <w:i/>
          <w:iCs/>
          <w:color w:val="000000"/>
        </w:rPr>
        <w:t>Male Witches in Early Modern Europe</w:t>
      </w:r>
      <w:r w:rsidR="00143D64">
        <w:rPr>
          <w:rFonts w:ascii="Sylfaen" w:eastAsia="Times New Roman" w:hAnsi="Sylfaen" w:cs="Times New Roman"/>
          <w:color w:val="000000"/>
        </w:rPr>
        <w:t>. New York: Manchester University Press</w:t>
      </w:r>
      <w:r w:rsidRPr="00F967D4">
        <w:rPr>
          <w:rFonts w:ascii="Sylfaen" w:eastAsia="Times New Roman" w:hAnsi="Sylfaen" w:cs="Times New Roman"/>
          <w:color w:val="000000"/>
        </w:rPr>
        <w:t>.</w:t>
      </w:r>
    </w:p>
    <w:p w14:paraId="6CCAD953" w14:textId="07425278" w:rsidR="00F967D4" w:rsidRPr="00F967D4" w:rsidRDefault="00F967D4" w:rsidP="00143D64">
      <w:pPr>
        <w:spacing w:after="160" w:line="360" w:lineRule="auto"/>
        <w:ind w:right="278"/>
        <w:rPr>
          <w:rFonts w:ascii="Sylfaen" w:eastAsia="Times New Roman" w:hAnsi="Sylfaen" w:cs="Times New Roman"/>
          <w:color w:val="000000"/>
          <w:lang w:val="en-US"/>
        </w:rPr>
      </w:pPr>
      <w:r w:rsidRPr="00F967D4">
        <w:rPr>
          <w:rFonts w:ascii="Sylfaen" w:eastAsia="Times New Roman" w:hAnsi="Sylfaen" w:cs="Times New Roman"/>
          <w:color w:val="000000"/>
          <w:lang w:val="en-US"/>
        </w:rPr>
        <w:t xml:space="preserve">Briggs, R. (1996) </w:t>
      </w:r>
      <w:r w:rsidRPr="00F967D4">
        <w:rPr>
          <w:rFonts w:ascii="Sylfaen" w:eastAsia="Times New Roman" w:hAnsi="Sylfaen" w:cs="Times New Roman"/>
          <w:i/>
          <w:iCs/>
          <w:color w:val="000000"/>
          <w:lang w:val="en-US"/>
        </w:rPr>
        <w:t xml:space="preserve">Witches and </w:t>
      </w:r>
      <w:proofErr w:type="spellStart"/>
      <w:r w:rsidRPr="00F967D4">
        <w:rPr>
          <w:rFonts w:ascii="Sylfaen" w:eastAsia="Times New Roman" w:hAnsi="Sylfaen" w:cs="Times New Roman"/>
          <w:i/>
          <w:iCs/>
          <w:color w:val="000000"/>
          <w:lang w:val="en-US"/>
        </w:rPr>
        <w:t>Neighbours</w:t>
      </w:r>
      <w:proofErr w:type="spellEnd"/>
      <w:r w:rsidRPr="00F967D4">
        <w:rPr>
          <w:rFonts w:ascii="Sylfaen" w:eastAsia="Times New Roman" w:hAnsi="Sylfaen" w:cs="Times New Roman"/>
          <w:i/>
          <w:iCs/>
          <w:color w:val="000000"/>
          <w:lang w:val="en-US"/>
        </w:rPr>
        <w:t>: The Social and Cultural</w:t>
      </w:r>
      <w:r w:rsidR="00143D64">
        <w:rPr>
          <w:rFonts w:ascii="Sylfaen" w:eastAsia="Times New Roman" w:hAnsi="Sylfaen" w:cs="Times New Roman"/>
          <w:i/>
          <w:iCs/>
          <w:color w:val="000000"/>
          <w:lang w:val="en-US"/>
        </w:rPr>
        <w:t xml:space="preserve"> Context of European Witchcraft. </w:t>
      </w:r>
      <w:r w:rsidR="00143D64">
        <w:rPr>
          <w:rFonts w:ascii="Sylfaen" w:eastAsia="Times New Roman" w:hAnsi="Sylfaen" w:cs="Times New Roman"/>
          <w:color w:val="000000"/>
          <w:lang w:val="en-US"/>
        </w:rPr>
        <w:t>London: Fontana</w:t>
      </w:r>
      <w:r w:rsidRPr="00F967D4">
        <w:rPr>
          <w:rFonts w:ascii="Sylfaen" w:eastAsia="Times New Roman" w:hAnsi="Sylfaen" w:cs="Times New Roman"/>
          <w:color w:val="000000"/>
          <w:lang w:val="en-US"/>
        </w:rPr>
        <w:t>.</w:t>
      </w:r>
    </w:p>
    <w:p w14:paraId="3D004175" w14:textId="4E9B038E"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t xml:space="preserve">Clark, S. (2001) </w:t>
      </w:r>
      <w:r w:rsidRPr="00F967D4">
        <w:rPr>
          <w:rFonts w:ascii="Sylfaen" w:eastAsia="Times New Roman" w:hAnsi="Sylfaen" w:cs="Times New Roman"/>
          <w:color w:val="000000"/>
        </w:rPr>
        <w:t>‘The ‘Gendering’ of Witchcraft in French Demonology: Misogyny or Polarity?</w:t>
      </w:r>
      <w:proofErr w:type="gramStart"/>
      <w:r w:rsidRPr="00F967D4">
        <w:rPr>
          <w:rFonts w:ascii="Sylfaen" w:eastAsia="Times New Roman" w:hAnsi="Sylfaen" w:cs="Times New Roman"/>
          <w:color w:val="000000"/>
        </w:rPr>
        <w:t>’,</w:t>
      </w:r>
      <w:proofErr w:type="gramEnd"/>
      <w:r w:rsidRPr="00F967D4">
        <w:rPr>
          <w:rFonts w:ascii="Sylfaen" w:eastAsia="Times New Roman" w:hAnsi="Sylfaen" w:cs="Times New Roman"/>
          <w:color w:val="000000"/>
        </w:rPr>
        <w:t xml:space="preserve"> in </w:t>
      </w: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B. P. (ed.) </w:t>
      </w:r>
      <w:r w:rsidRPr="00F967D4">
        <w:rPr>
          <w:rFonts w:ascii="Sylfaen" w:eastAsia="Times New Roman" w:hAnsi="Sylfaen" w:cs="Times New Roman"/>
          <w:i/>
          <w:iCs/>
          <w:color w:val="000000"/>
          <w:lang w:val="en-US"/>
        </w:rPr>
        <w:t>New Perspectives on Witchcraft, Magic and De</w:t>
      </w:r>
      <w:r w:rsidR="00143D64">
        <w:rPr>
          <w:rFonts w:ascii="Sylfaen" w:eastAsia="Times New Roman" w:hAnsi="Sylfaen" w:cs="Times New Roman"/>
          <w:i/>
          <w:iCs/>
          <w:color w:val="000000"/>
          <w:lang w:val="en-US"/>
        </w:rPr>
        <w:t xml:space="preserve">monology: Gender and Witchcraft. </w:t>
      </w:r>
      <w:r w:rsidR="00143D64">
        <w:rPr>
          <w:rFonts w:ascii="Sylfaen" w:eastAsia="Times New Roman" w:hAnsi="Sylfaen" w:cs="Times New Roman"/>
          <w:color w:val="000000"/>
          <w:lang w:val="en-US"/>
        </w:rPr>
        <w:t>New York: Routledge</w:t>
      </w:r>
      <w:r w:rsidR="00962C87">
        <w:rPr>
          <w:rFonts w:ascii="Sylfaen" w:eastAsia="Times New Roman" w:hAnsi="Sylfaen" w:cs="Times New Roman"/>
          <w:color w:val="000000"/>
          <w:lang w:val="en-US"/>
        </w:rPr>
        <w:t>, (pages unknown).</w:t>
      </w:r>
    </w:p>
    <w:p w14:paraId="4DDC0C88" w14:textId="7A2B95F4"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t>Cooper, T. (1617</w:t>
      </w:r>
      <w:r w:rsidR="009E1948">
        <w:rPr>
          <w:rFonts w:ascii="Sylfaen" w:eastAsia="Times New Roman" w:hAnsi="Sylfaen" w:cs="Times New Roman"/>
          <w:color w:val="000000"/>
          <w:lang w:val="en-US"/>
        </w:rPr>
        <w:t xml:space="preserve">) </w:t>
      </w:r>
      <w:proofErr w:type="gramStart"/>
      <w:r w:rsidR="009E1948" w:rsidRPr="009E1948">
        <w:rPr>
          <w:rFonts w:ascii="Sylfaen" w:eastAsia="Times New Roman" w:hAnsi="Sylfaen" w:cs="Times New Roman"/>
          <w:i/>
          <w:color w:val="000000"/>
          <w:lang w:val="en-US"/>
        </w:rPr>
        <w:t>The</w:t>
      </w:r>
      <w:proofErr w:type="gramEnd"/>
      <w:r w:rsidR="009E1948" w:rsidRPr="009E1948">
        <w:rPr>
          <w:rFonts w:ascii="Sylfaen" w:eastAsia="Times New Roman" w:hAnsi="Sylfaen" w:cs="Times New Roman"/>
          <w:i/>
          <w:color w:val="000000"/>
          <w:lang w:val="en-US"/>
        </w:rPr>
        <w:t xml:space="preserve"> Mystery of Witch-Craft</w:t>
      </w:r>
      <w:r w:rsidR="009E1948">
        <w:rPr>
          <w:rFonts w:ascii="Sylfaen" w:eastAsia="Times New Roman" w:hAnsi="Sylfaen" w:cs="Times New Roman"/>
          <w:color w:val="000000"/>
          <w:lang w:val="en-US"/>
        </w:rPr>
        <w:t xml:space="preserve">. </w:t>
      </w:r>
      <w:r w:rsidR="00143D64" w:rsidRPr="00143D64">
        <w:rPr>
          <w:rFonts w:ascii="Sylfaen" w:eastAsia="Times New Roman" w:hAnsi="Sylfaen" w:cs="Times New Roman"/>
          <w:iCs/>
          <w:color w:val="000000"/>
          <w:lang w:val="en-US"/>
        </w:rPr>
        <w:t xml:space="preserve">Available from: </w:t>
      </w:r>
      <w:r w:rsidRPr="00F967D4">
        <w:rPr>
          <w:rFonts w:ascii="Sylfaen" w:eastAsia="Times New Roman" w:hAnsi="Sylfaen" w:cs="Times New Roman"/>
          <w:color w:val="000000"/>
        </w:rPr>
        <w:t>http://historicaltexts.jisc.ac.uk</w:t>
      </w:r>
      <w:r w:rsidR="00143D64">
        <w:rPr>
          <w:rFonts w:ascii="Sylfaen" w:eastAsia="Times New Roman" w:hAnsi="Sylfaen" w:cs="Times New Roman"/>
          <w:color w:val="000000"/>
          <w:lang w:val="en-US"/>
        </w:rPr>
        <w:t xml:space="preserve"> (Accessed 24 June 2019).</w:t>
      </w:r>
    </w:p>
    <w:p w14:paraId="0DD98DE2" w14:textId="547A603C"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rPr>
        <w:t xml:space="preserve">Durrant, B. J. (2007) </w:t>
      </w:r>
      <w:r w:rsidRPr="00F967D4">
        <w:rPr>
          <w:rFonts w:ascii="Sylfaen" w:eastAsia="Times New Roman" w:hAnsi="Sylfaen" w:cs="Times New Roman"/>
          <w:i/>
          <w:iCs/>
          <w:color w:val="000000"/>
        </w:rPr>
        <w:t>Witchcraft, Gender and Society in Early Modern Germany</w:t>
      </w:r>
      <w:r w:rsidR="00143D64">
        <w:rPr>
          <w:rFonts w:ascii="Sylfaen" w:eastAsia="Times New Roman" w:hAnsi="Sylfaen" w:cs="Times New Roman"/>
          <w:color w:val="000000"/>
        </w:rPr>
        <w:t>, Leiden: Brill</w:t>
      </w:r>
      <w:r w:rsidRPr="00F967D4">
        <w:rPr>
          <w:rFonts w:ascii="Sylfaen" w:eastAsia="Times New Roman" w:hAnsi="Sylfaen" w:cs="Times New Roman"/>
          <w:color w:val="000000"/>
        </w:rPr>
        <w:t>.</w:t>
      </w:r>
    </w:p>
    <w:p w14:paraId="6E24CDB9" w14:textId="55BEBB9B" w:rsidR="00F967D4" w:rsidRPr="00F967D4" w:rsidRDefault="00F967D4" w:rsidP="00143D64">
      <w:pPr>
        <w:spacing w:after="160" w:line="360" w:lineRule="auto"/>
        <w:ind w:right="278"/>
        <w:rPr>
          <w:rFonts w:ascii="Sylfaen" w:eastAsia="Times New Roman" w:hAnsi="Sylfaen" w:cs="Times New Roman"/>
          <w:color w:val="000000"/>
          <w:lang w:val="en-US"/>
        </w:rPr>
      </w:pPr>
      <w:r w:rsidRPr="00F967D4">
        <w:rPr>
          <w:rFonts w:ascii="Sylfaen" w:eastAsia="Times New Roman" w:hAnsi="Sylfaen" w:cs="Times New Roman"/>
          <w:color w:val="000000"/>
          <w:lang w:val="en-US"/>
        </w:rPr>
        <w:t xml:space="preserve">Dworkin, A. (1974) </w:t>
      </w:r>
      <w:r w:rsidR="00143D64">
        <w:rPr>
          <w:rFonts w:ascii="Sylfaen" w:eastAsia="Times New Roman" w:hAnsi="Sylfaen" w:cs="Times New Roman"/>
          <w:i/>
          <w:iCs/>
          <w:color w:val="000000"/>
          <w:lang w:val="en-US"/>
        </w:rPr>
        <w:t xml:space="preserve">Woman Hating. </w:t>
      </w:r>
      <w:r w:rsidR="00143D64">
        <w:rPr>
          <w:rFonts w:ascii="Sylfaen" w:eastAsia="Times New Roman" w:hAnsi="Sylfaen" w:cs="Times New Roman"/>
          <w:color w:val="000000"/>
          <w:lang w:val="en-US"/>
        </w:rPr>
        <w:t>New York: Plume</w:t>
      </w:r>
      <w:r w:rsidRPr="00F967D4">
        <w:rPr>
          <w:rFonts w:ascii="Sylfaen" w:eastAsia="Times New Roman" w:hAnsi="Sylfaen" w:cs="Times New Roman"/>
          <w:color w:val="000000"/>
          <w:lang w:val="en-US"/>
        </w:rPr>
        <w:t>.</w:t>
      </w:r>
    </w:p>
    <w:p w14:paraId="14F51C02" w14:textId="337A83F6" w:rsidR="00F967D4" w:rsidRPr="00F967D4" w:rsidRDefault="00F967D4" w:rsidP="00143D64">
      <w:pPr>
        <w:spacing w:after="160" w:line="360" w:lineRule="auto"/>
        <w:ind w:right="278"/>
        <w:rPr>
          <w:rFonts w:ascii="Sylfaen" w:eastAsia="Times New Roman" w:hAnsi="Sylfaen" w:cs="Times New Roman"/>
          <w:color w:val="000000"/>
          <w:lang w:val="en-US"/>
        </w:rPr>
      </w:pPr>
      <w:proofErr w:type="spellStart"/>
      <w:r w:rsidRPr="00F967D4">
        <w:rPr>
          <w:rFonts w:ascii="Sylfaen" w:eastAsia="Times New Roman" w:hAnsi="Sylfaen" w:cs="Times New Roman"/>
          <w:color w:val="000000"/>
        </w:rPr>
        <w:t>Gaskill</w:t>
      </w:r>
      <w:proofErr w:type="spellEnd"/>
      <w:r w:rsidRPr="00F967D4">
        <w:rPr>
          <w:rFonts w:ascii="Sylfaen" w:eastAsia="Times New Roman" w:hAnsi="Sylfaen" w:cs="Times New Roman"/>
          <w:color w:val="000000"/>
        </w:rPr>
        <w:t>, M. (2001) ‘</w:t>
      </w:r>
      <w:proofErr w:type="gramStart"/>
      <w:r w:rsidRPr="00F967D4">
        <w:rPr>
          <w:rFonts w:ascii="Sylfaen" w:eastAsia="Times New Roman" w:hAnsi="Sylfaen" w:cs="Times New Roman"/>
          <w:color w:val="000000"/>
        </w:rPr>
        <w:t>The</w:t>
      </w:r>
      <w:proofErr w:type="gramEnd"/>
      <w:r w:rsidRPr="00F967D4">
        <w:rPr>
          <w:rFonts w:ascii="Sylfaen" w:eastAsia="Times New Roman" w:hAnsi="Sylfaen" w:cs="Times New Roman"/>
          <w:color w:val="000000"/>
        </w:rPr>
        <w:t xml:space="preserve"> Devil in the Shape of a Man: Witchcraft, Conflict, and Belief in Jacobean England’, in </w:t>
      </w: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B. P. (ed.) </w:t>
      </w:r>
      <w:r w:rsidRPr="00F967D4">
        <w:rPr>
          <w:rFonts w:ascii="Sylfaen" w:eastAsia="Times New Roman" w:hAnsi="Sylfaen" w:cs="Times New Roman"/>
          <w:i/>
          <w:iCs/>
          <w:color w:val="000000"/>
          <w:lang w:val="en-US"/>
        </w:rPr>
        <w:t>New Perspectives on Witchcraft, Magic and De</w:t>
      </w:r>
      <w:r w:rsidR="00143D64">
        <w:rPr>
          <w:rFonts w:ascii="Sylfaen" w:eastAsia="Times New Roman" w:hAnsi="Sylfaen" w:cs="Times New Roman"/>
          <w:i/>
          <w:iCs/>
          <w:color w:val="000000"/>
          <w:lang w:val="en-US"/>
        </w:rPr>
        <w:t xml:space="preserve">monology: Gender and Witchcraft. </w:t>
      </w:r>
      <w:r w:rsidR="00143D64">
        <w:rPr>
          <w:rFonts w:ascii="Sylfaen" w:eastAsia="Times New Roman" w:hAnsi="Sylfaen" w:cs="Times New Roman"/>
          <w:color w:val="000000"/>
          <w:lang w:val="en-US"/>
        </w:rPr>
        <w:t>New York: Routledge</w:t>
      </w:r>
      <w:r w:rsidR="00962C87">
        <w:rPr>
          <w:rFonts w:ascii="Sylfaen" w:eastAsia="Times New Roman" w:hAnsi="Sylfaen" w:cs="Times New Roman"/>
          <w:color w:val="000000"/>
          <w:lang w:val="en-US"/>
        </w:rPr>
        <w:t>, (pages unknown).</w:t>
      </w:r>
    </w:p>
    <w:p w14:paraId="1A403E7D" w14:textId="591E1042" w:rsidR="00F967D4" w:rsidRPr="00F967D4" w:rsidRDefault="00F967D4" w:rsidP="00143D64">
      <w:pPr>
        <w:spacing w:after="160" w:line="360" w:lineRule="auto"/>
        <w:ind w:right="278"/>
        <w:rPr>
          <w:rFonts w:ascii="Sylfaen" w:eastAsia="Times New Roman" w:hAnsi="Sylfaen" w:cs="Times New Roman"/>
          <w:color w:val="000000"/>
          <w:lang w:val="en-US"/>
        </w:rPr>
      </w:pPr>
      <w:proofErr w:type="spellStart"/>
      <w:r w:rsidRPr="00F967D4">
        <w:rPr>
          <w:rFonts w:ascii="Sylfaen" w:eastAsia="Times New Roman" w:hAnsi="Sylfaen" w:cs="Times New Roman"/>
          <w:color w:val="000000"/>
          <w:lang w:val="en-US"/>
        </w:rPr>
        <w:t>Gaskill</w:t>
      </w:r>
      <w:proofErr w:type="spellEnd"/>
      <w:r w:rsidRPr="00F967D4">
        <w:rPr>
          <w:rFonts w:ascii="Sylfaen" w:eastAsia="Times New Roman" w:hAnsi="Sylfaen" w:cs="Times New Roman"/>
          <w:color w:val="000000"/>
          <w:lang w:val="en-US"/>
        </w:rPr>
        <w:t xml:space="preserve">, M. (1996) ‘Witchcraft in Early Modern Kent: Stereotypes and Backgrounds to Accusations’, in Barry, J. (ed.) </w:t>
      </w:r>
      <w:r w:rsidRPr="00F967D4">
        <w:rPr>
          <w:rFonts w:ascii="Sylfaen" w:eastAsia="Times New Roman" w:hAnsi="Sylfaen" w:cs="Times New Roman"/>
          <w:i/>
          <w:iCs/>
          <w:color w:val="000000"/>
          <w:lang w:val="en-US"/>
        </w:rPr>
        <w:t>Witchcraft in Early Modern Europe</w:t>
      </w:r>
      <w:r w:rsidR="00143D64">
        <w:rPr>
          <w:rFonts w:ascii="Sylfaen" w:eastAsia="Times New Roman" w:hAnsi="Sylfaen" w:cs="Times New Roman"/>
          <w:i/>
          <w:iCs/>
          <w:color w:val="000000"/>
          <w:lang w:val="en-US"/>
        </w:rPr>
        <w:t xml:space="preserve">: Studies in Culture and Belief. </w:t>
      </w:r>
      <w:r w:rsidR="00143D64">
        <w:rPr>
          <w:rFonts w:ascii="Sylfaen" w:eastAsia="Times New Roman" w:hAnsi="Sylfaen" w:cs="Times New Roman"/>
          <w:color w:val="000000"/>
          <w:lang w:val="en-US"/>
        </w:rPr>
        <w:t>Cambridge: Cambridge University Press</w:t>
      </w:r>
      <w:r w:rsidR="00AD66BD">
        <w:rPr>
          <w:rFonts w:ascii="Sylfaen" w:eastAsia="Times New Roman" w:hAnsi="Sylfaen" w:cs="Times New Roman"/>
          <w:color w:val="000000"/>
          <w:lang w:val="en-US"/>
        </w:rPr>
        <w:t xml:space="preserve">, pp. 257-287. </w:t>
      </w:r>
    </w:p>
    <w:p w14:paraId="2DA9F902" w14:textId="4388A415" w:rsidR="00F967D4" w:rsidRPr="00F967D4" w:rsidRDefault="009E1948" w:rsidP="00143D64">
      <w:pPr>
        <w:spacing w:after="160" w:line="360" w:lineRule="auto"/>
        <w:ind w:right="278"/>
        <w:rPr>
          <w:rFonts w:ascii="Sylfaen" w:eastAsia="Times New Roman" w:hAnsi="Sylfaen" w:cs="Times New Roman"/>
          <w:color w:val="000000"/>
        </w:rPr>
      </w:pPr>
      <w:proofErr w:type="spellStart"/>
      <w:r>
        <w:rPr>
          <w:rFonts w:ascii="Sylfaen" w:eastAsia="Times New Roman" w:hAnsi="Sylfaen" w:cs="Times New Roman"/>
          <w:color w:val="000000"/>
          <w:lang w:val="en-US"/>
        </w:rPr>
        <w:t>Gaule</w:t>
      </w:r>
      <w:proofErr w:type="spellEnd"/>
      <w:r>
        <w:rPr>
          <w:rFonts w:ascii="Sylfaen" w:eastAsia="Times New Roman" w:hAnsi="Sylfaen" w:cs="Times New Roman"/>
          <w:color w:val="000000"/>
          <w:lang w:val="en-US"/>
        </w:rPr>
        <w:t xml:space="preserve">, J. (1656) </w:t>
      </w:r>
      <w:r w:rsidR="00F967D4" w:rsidRPr="009E1948">
        <w:rPr>
          <w:rFonts w:ascii="Sylfaen" w:eastAsia="Times New Roman" w:hAnsi="Sylfaen" w:cs="Times New Roman"/>
          <w:i/>
          <w:color w:val="000000"/>
          <w:lang w:val="en-US"/>
        </w:rPr>
        <w:t>Select Cases of Conscience T</w:t>
      </w:r>
      <w:r w:rsidRPr="009E1948">
        <w:rPr>
          <w:rFonts w:ascii="Sylfaen" w:eastAsia="Times New Roman" w:hAnsi="Sylfaen" w:cs="Times New Roman"/>
          <w:i/>
          <w:color w:val="000000"/>
          <w:lang w:val="en-US"/>
        </w:rPr>
        <w:t>ouchin</w:t>
      </w:r>
      <w:r>
        <w:rPr>
          <w:rFonts w:ascii="Sylfaen" w:eastAsia="Times New Roman" w:hAnsi="Sylfaen" w:cs="Times New Roman"/>
          <w:i/>
          <w:color w:val="000000"/>
          <w:lang w:val="en-US"/>
        </w:rPr>
        <w:t>g Witchcraft and Witches.</w:t>
      </w:r>
      <w:r w:rsidR="00F967D4" w:rsidRPr="00F967D4">
        <w:rPr>
          <w:rFonts w:ascii="Sylfaen" w:eastAsia="Times New Roman" w:hAnsi="Sylfaen" w:cs="Times New Roman"/>
          <w:color w:val="000000"/>
          <w:lang w:val="en-US"/>
        </w:rPr>
        <w:t xml:space="preserve"> </w:t>
      </w:r>
      <w:r w:rsidR="00143D64">
        <w:rPr>
          <w:rFonts w:ascii="Sylfaen" w:eastAsia="Times New Roman" w:hAnsi="Sylfaen" w:cs="Times New Roman"/>
          <w:color w:val="000000"/>
          <w:lang w:val="en-US"/>
        </w:rPr>
        <w:t xml:space="preserve">Available at: </w:t>
      </w:r>
      <w:r w:rsidR="00F967D4" w:rsidRPr="00F967D4">
        <w:rPr>
          <w:rFonts w:ascii="Sylfaen" w:eastAsia="Times New Roman" w:hAnsi="Sylfaen" w:cs="Times New Roman"/>
          <w:color w:val="000000"/>
          <w:lang w:val="en-US"/>
        </w:rPr>
        <w:t>htt</w:t>
      </w:r>
      <w:r w:rsidR="00143D64">
        <w:rPr>
          <w:rFonts w:ascii="Sylfaen" w:eastAsia="Times New Roman" w:hAnsi="Sylfaen" w:cs="Times New Roman"/>
          <w:color w:val="000000"/>
          <w:lang w:val="en-US"/>
        </w:rPr>
        <w:t>p://historicaltexts.jisc.ac.uk (Accessed 24 June 2019)</w:t>
      </w:r>
      <w:r w:rsidR="00F967D4" w:rsidRPr="00F967D4">
        <w:rPr>
          <w:rFonts w:ascii="Sylfaen" w:eastAsia="Times New Roman" w:hAnsi="Sylfaen" w:cs="Times New Roman"/>
          <w:color w:val="000000"/>
          <w:lang w:val="en-US"/>
        </w:rPr>
        <w:t>.</w:t>
      </w:r>
    </w:p>
    <w:p w14:paraId="6CC29305" w14:textId="7ECD0059" w:rsidR="00F967D4" w:rsidRPr="00F967D4" w:rsidRDefault="00F967D4" w:rsidP="00143D64">
      <w:pPr>
        <w:spacing w:after="160" w:line="360" w:lineRule="auto"/>
        <w:ind w:right="278"/>
        <w:rPr>
          <w:rFonts w:ascii="Sylfaen" w:eastAsia="Times New Roman" w:hAnsi="Sylfaen" w:cs="Times New Roman"/>
          <w:color w:val="000000"/>
        </w:rPr>
      </w:pPr>
      <w:proofErr w:type="spellStart"/>
      <w:r w:rsidRPr="00F967D4">
        <w:rPr>
          <w:rFonts w:ascii="Sylfaen" w:eastAsia="Times New Roman" w:hAnsi="Sylfaen" w:cs="Times New Roman"/>
          <w:color w:val="000000"/>
          <w:lang w:val="en-US"/>
        </w:rPr>
        <w:lastRenderedPageBreak/>
        <w:t>Gowing</w:t>
      </w:r>
      <w:proofErr w:type="spellEnd"/>
      <w:r w:rsidRPr="00F967D4">
        <w:rPr>
          <w:rFonts w:ascii="Sylfaen" w:eastAsia="Times New Roman" w:hAnsi="Sylfaen" w:cs="Times New Roman"/>
          <w:color w:val="000000"/>
          <w:lang w:val="en-US"/>
        </w:rPr>
        <w:t xml:space="preserve">, L. (2012) </w:t>
      </w:r>
      <w:r w:rsidRPr="00F967D4">
        <w:rPr>
          <w:rFonts w:ascii="Sylfaen" w:eastAsia="Times New Roman" w:hAnsi="Sylfaen" w:cs="Times New Roman"/>
          <w:i/>
          <w:iCs/>
          <w:color w:val="000000"/>
          <w:lang w:val="en-US"/>
        </w:rPr>
        <w:t>Gender Relations in Early Modern England</w:t>
      </w:r>
      <w:r w:rsidR="00143D64">
        <w:rPr>
          <w:rFonts w:ascii="Sylfaen" w:eastAsia="Times New Roman" w:hAnsi="Sylfaen" w:cs="Times New Roman"/>
          <w:color w:val="000000"/>
          <w:lang w:val="en-US"/>
        </w:rPr>
        <w:t>. Harlow, Routledge</w:t>
      </w:r>
      <w:r w:rsidRPr="00F967D4">
        <w:rPr>
          <w:rFonts w:ascii="Sylfaen" w:eastAsia="Times New Roman" w:hAnsi="Sylfaen" w:cs="Times New Roman"/>
          <w:color w:val="000000"/>
          <w:lang w:val="en-US"/>
        </w:rPr>
        <w:t>.</w:t>
      </w:r>
    </w:p>
    <w:p w14:paraId="7F8F2A16" w14:textId="5AA75561"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rPr>
        <w:t xml:space="preserve">Holmes, C. (2001) ‘Women: Witnesses and Witches’, in </w:t>
      </w: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B. P. (ed.) </w:t>
      </w:r>
      <w:r w:rsidRPr="00F967D4">
        <w:rPr>
          <w:rFonts w:ascii="Sylfaen" w:eastAsia="Times New Roman" w:hAnsi="Sylfaen" w:cs="Times New Roman"/>
          <w:i/>
          <w:iCs/>
          <w:color w:val="000000"/>
          <w:lang w:val="en-US"/>
        </w:rPr>
        <w:t>New Perspectives on Witchcraft, Magic and De</w:t>
      </w:r>
      <w:r w:rsidR="00143D64">
        <w:rPr>
          <w:rFonts w:ascii="Sylfaen" w:eastAsia="Times New Roman" w:hAnsi="Sylfaen" w:cs="Times New Roman"/>
          <w:i/>
          <w:iCs/>
          <w:color w:val="000000"/>
          <w:lang w:val="en-US"/>
        </w:rPr>
        <w:t xml:space="preserve">monology: Gender and Witchcraft. </w:t>
      </w:r>
      <w:r w:rsidR="00143D64">
        <w:rPr>
          <w:rFonts w:ascii="Sylfaen" w:eastAsia="Times New Roman" w:hAnsi="Sylfaen" w:cs="Times New Roman"/>
          <w:color w:val="000000"/>
          <w:lang w:val="en-US"/>
        </w:rPr>
        <w:t>New York: Routledge</w:t>
      </w:r>
      <w:r w:rsidR="00962C87">
        <w:rPr>
          <w:rFonts w:ascii="Sylfaen" w:eastAsia="Times New Roman" w:hAnsi="Sylfaen" w:cs="Times New Roman"/>
          <w:color w:val="000000"/>
          <w:lang w:val="en-US"/>
        </w:rPr>
        <w:t>, (pages unknown).</w:t>
      </w:r>
    </w:p>
    <w:p w14:paraId="324E9730" w14:textId="78A7449A" w:rsidR="00F967D4" w:rsidRPr="00F967D4" w:rsidRDefault="00F967D4" w:rsidP="00143D64">
      <w:pPr>
        <w:spacing w:after="160" w:line="360" w:lineRule="auto"/>
        <w:ind w:right="278"/>
        <w:rPr>
          <w:rFonts w:ascii="Sylfaen" w:eastAsia="Times New Roman" w:hAnsi="Sylfaen" w:cs="Times New Roman"/>
          <w:color w:val="000000"/>
          <w:lang w:val="en-US"/>
        </w:rPr>
      </w:pPr>
      <w:r w:rsidRPr="00F967D4">
        <w:rPr>
          <w:rFonts w:ascii="Sylfaen" w:eastAsia="Times New Roman" w:hAnsi="Sylfaen" w:cs="Times New Roman"/>
          <w:color w:val="000000"/>
          <w:lang w:val="en-US"/>
        </w:rPr>
        <w:t xml:space="preserve">Hutchinson, J. (2015) ‘Sermon Preached by </w:t>
      </w:r>
      <w:proofErr w:type="spellStart"/>
      <w:r w:rsidRPr="00F967D4">
        <w:rPr>
          <w:rFonts w:ascii="Sylfaen" w:eastAsia="Times New Roman" w:hAnsi="Sylfaen" w:cs="Times New Roman"/>
          <w:color w:val="000000"/>
          <w:lang w:val="en-US"/>
        </w:rPr>
        <w:t>Mr</w:t>
      </w:r>
      <w:proofErr w:type="spellEnd"/>
      <w:r w:rsidRPr="00F967D4">
        <w:rPr>
          <w:rFonts w:ascii="Sylfaen" w:eastAsia="Times New Roman" w:hAnsi="Sylfaen" w:cs="Times New Roman"/>
          <w:color w:val="000000"/>
          <w:lang w:val="en-US"/>
        </w:rPr>
        <w:t xml:space="preserve"> James Hutchinson’, in </w:t>
      </w: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P. B. (ed.) </w:t>
      </w:r>
      <w:r w:rsidRPr="00F967D4">
        <w:rPr>
          <w:rFonts w:ascii="Sylfaen" w:eastAsia="Times New Roman" w:hAnsi="Sylfaen" w:cs="Times New Roman"/>
          <w:i/>
          <w:iCs/>
          <w:color w:val="000000"/>
          <w:lang w:val="en-US"/>
        </w:rPr>
        <w:t>The Witchcraft Sourcebook</w:t>
      </w:r>
      <w:r w:rsidR="00143D64">
        <w:rPr>
          <w:rFonts w:ascii="Sylfaen" w:eastAsia="Times New Roman" w:hAnsi="Sylfaen" w:cs="Times New Roman"/>
          <w:color w:val="000000"/>
          <w:lang w:val="en-US"/>
        </w:rPr>
        <w:t>. Abingdon: Psychology Press</w:t>
      </w:r>
      <w:r w:rsidR="00AD66BD">
        <w:rPr>
          <w:rFonts w:ascii="Sylfaen" w:eastAsia="Times New Roman" w:hAnsi="Sylfaen" w:cs="Times New Roman"/>
          <w:color w:val="000000"/>
          <w:lang w:val="en-US"/>
        </w:rPr>
        <w:t>, (pages unknown.)</w:t>
      </w:r>
    </w:p>
    <w:p w14:paraId="0C0AD665" w14:textId="034DA692"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t xml:space="preserve">Jackson, L. (2001) </w:t>
      </w:r>
      <w:r w:rsidRPr="00F967D4">
        <w:rPr>
          <w:rFonts w:ascii="Sylfaen" w:eastAsia="Times New Roman" w:hAnsi="Sylfaen" w:cs="Times New Roman"/>
          <w:color w:val="000000"/>
        </w:rPr>
        <w:t xml:space="preserve">‘Witches, Wives and Mothers: Witchcraft Persecution and Women’s Confessions in Seventeenth-Century England’, in </w:t>
      </w: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B. P. (ed.) </w:t>
      </w:r>
      <w:r w:rsidRPr="00F967D4">
        <w:rPr>
          <w:rFonts w:ascii="Sylfaen" w:eastAsia="Times New Roman" w:hAnsi="Sylfaen" w:cs="Times New Roman"/>
          <w:i/>
          <w:iCs/>
          <w:color w:val="000000"/>
          <w:lang w:val="en-US"/>
        </w:rPr>
        <w:t>New Perspectives on Witchcraft, Magic and De</w:t>
      </w:r>
      <w:r w:rsidR="00143D64">
        <w:rPr>
          <w:rFonts w:ascii="Sylfaen" w:eastAsia="Times New Roman" w:hAnsi="Sylfaen" w:cs="Times New Roman"/>
          <w:i/>
          <w:iCs/>
          <w:color w:val="000000"/>
          <w:lang w:val="en-US"/>
        </w:rPr>
        <w:t xml:space="preserve">monology: Gender and Witchcraft. </w:t>
      </w:r>
      <w:r w:rsidR="00143D64">
        <w:rPr>
          <w:rFonts w:ascii="Sylfaen" w:eastAsia="Times New Roman" w:hAnsi="Sylfaen" w:cs="Times New Roman"/>
          <w:color w:val="000000"/>
          <w:lang w:val="en-US"/>
        </w:rPr>
        <w:t>New York: Routledge</w:t>
      </w:r>
      <w:r w:rsidR="00962C87">
        <w:rPr>
          <w:rFonts w:ascii="Sylfaen" w:eastAsia="Times New Roman" w:hAnsi="Sylfaen" w:cs="Times New Roman"/>
          <w:color w:val="000000"/>
          <w:lang w:val="en-US"/>
        </w:rPr>
        <w:t>, (pages unknown).</w:t>
      </w:r>
    </w:p>
    <w:p w14:paraId="16CF9EE2" w14:textId="44DE21A2" w:rsidR="00F967D4" w:rsidRPr="00F967D4" w:rsidRDefault="00F967D4" w:rsidP="00143D64">
      <w:pPr>
        <w:spacing w:after="160" w:line="360" w:lineRule="auto"/>
        <w:ind w:right="278"/>
        <w:rPr>
          <w:rFonts w:ascii="Sylfaen" w:eastAsia="Times New Roman" w:hAnsi="Sylfaen" w:cs="Times New Roman"/>
          <w:color w:val="000000"/>
          <w:lang w:val="en-US"/>
        </w:rPr>
      </w:pPr>
      <w:proofErr w:type="spellStart"/>
      <w:r w:rsidRPr="00F967D4">
        <w:rPr>
          <w:rFonts w:ascii="Sylfaen" w:eastAsia="Times New Roman" w:hAnsi="Sylfaen" w:cs="Times New Roman"/>
          <w:color w:val="000000"/>
          <w:lang w:val="en-US"/>
        </w:rPr>
        <w:t>Junius</w:t>
      </w:r>
      <w:proofErr w:type="spellEnd"/>
      <w:r w:rsidRPr="00F967D4">
        <w:rPr>
          <w:rFonts w:ascii="Sylfaen" w:eastAsia="Times New Roman" w:hAnsi="Sylfaen" w:cs="Times New Roman"/>
          <w:color w:val="000000"/>
          <w:lang w:val="en-US"/>
        </w:rPr>
        <w:t xml:space="preserve">, J. (2015) ‘The Confession of Johannes </w:t>
      </w:r>
      <w:proofErr w:type="spellStart"/>
      <w:r w:rsidRPr="00F967D4">
        <w:rPr>
          <w:rFonts w:ascii="Sylfaen" w:eastAsia="Times New Roman" w:hAnsi="Sylfaen" w:cs="Times New Roman"/>
          <w:color w:val="000000"/>
          <w:lang w:val="en-US"/>
        </w:rPr>
        <w:t>Junius</w:t>
      </w:r>
      <w:proofErr w:type="spellEnd"/>
      <w:r w:rsidRPr="00F967D4">
        <w:rPr>
          <w:rFonts w:ascii="Sylfaen" w:eastAsia="Times New Roman" w:hAnsi="Sylfaen" w:cs="Times New Roman"/>
          <w:color w:val="000000"/>
          <w:lang w:val="en-US"/>
        </w:rPr>
        <w:t xml:space="preserve"> at Bamberg’, in </w:t>
      </w: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B. P. (ed.) </w:t>
      </w:r>
      <w:proofErr w:type="gramStart"/>
      <w:r w:rsidRPr="00F967D4">
        <w:rPr>
          <w:rFonts w:ascii="Sylfaen" w:eastAsia="Times New Roman" w:hAnsi="Sylfaen" w:cs="Times New Roman"/>
          <w:i/>
          <w:iCs/>
          <w:color w:val="000000"/>
          <w:lang w:val="en-US"/>
        </w:rPr>
        <w:t>The</w:t>
      </w:r>
      <w:proofErr w:type="gramEnd"/>
      <w:r w:rsidRPr="00F967D4">
        <w:rPr>
          <w:rFonts w:ascii="Sylfaen" w:eastAsia="Times New Roman" w:hAnsi="Sylfaen" w:cs="Times New Roman"/>
          <w:i/>
          <w:iCs/>
          <w:color w:val="000000"/>
          <w:lang w:val="en-US"/>
        </w:rPr>
        <w:t xml:space="preserve"> Witchcraft Sourcebook</w:t>
      </w:r>
      <w:r w:rsidR="00143D64">
        <w:rPr>
          <w:rFonts w:ascii="Sylfaen" w:eastAsia="Times New Roman" w:hAnsi="Sylfaen" w:cs="Times New Roman"/>
          <w:color w:val="000000"/>
          <w:lang w:val="en-US"/>
        </w:rPr>
        <w:t>. Abingdon: Psychology Press</w:t>
      </w:r>
      <w:r w:rsidR="00AD66BD">
        <w:rPr>
          <w:rFonts w:ascii="Sylfaen" w:eastAsia="Times New Roman" w:hAnsi="Sylfaen" w:cs="Times New Roman"/>
          <w:color w:val="000000"/>
          <w:lang w:val="en-US"/>
        </w:rPr>
        <w:t xml:space="preserve">, pp. 198-202. </w:t>
      </w:r>
    </w:p>
    <w:p w14:paraId="360F14CD" w14:textId="3F0F1305" w:rsidR="00F967D4" w:rsidRPr="00F967D4" w:rsidRDefault="00F967D4" w:rsidP="00143D64">
      <w:pPr>
        <w:spacing w:after="160" w:line="360" w:lineRule="auto"/>
        <w:ind w:right="278"/>
        <w:rPr>
          <w:rFonts w:ascii="Sylfaen" w:eastAsia="Times New Roman" w:hAnsi="Sylfaen" w:cs="Times New Roman"/>
          <w:color w:val="000000"/>
        </w:rPr>
      </w:pPr>
      <w:proofErr w:type="spellStart"/>
      <w:r w:rsidRPr="00F967D4">
        <w:rPr>
          <w:rFonts w:ascii="Sylfaen" w:eastAsia="Times New Roman" w:hAnsi="Sylfaen" w:cs="Times New Roman"/>
          <w:color w:val="000000"/>
          <w:lang w:val="en-US"/>
        </w:rPr>
        <w:t>Kallestrup</w:t>
      </w:r>
      <w:proofErr w:type="spellEnd"/>
      <w:r w:rsidRPr="00F967D4">
        <w:rPr>
          <w:rFonts w:ascii="Sylfaen" w:eastAsia="Times New Roman" w:hAnsi="Sylfaen" w:cs="Times New Roman"/>
          <w:color w:val="000000"/>
          <w:lang w:val="en-US"/>
        </w:rPr>
        <w:t xml:space="preserve">, N. L. (2015) </w:t>
      </w:r>
      <w:r w:rsidRPr="00F967D4">
        <w:rPr>
          <w:rFonts w:ascii="Sylfaen" w:eastAsia="Times New Roman" w:hAnsi="Sylfaen" w:cs="Times New Roman"/>
          <w:i/>
          <w:iCs/>
          <w:color w:val="000000"/>
          <w:lang w:val="en-US"/>
        </w:rPr>
        <w:t>Agents of Witchcraft in Early Modern Italy and Denmark</w:t>
      </w:r>
      <w:r w:rsidR="00143D64">
        <w:rPr>
          <w:rFonts w:ascii="Sylfaen" w:eastAsia="Times New Roman" w:hAnsi="Sylfaen" w:cs="Times New Roman"/>
          <w:color w:val="000000"/>
          <w:lang w:val="en-US"/>
        </w:rPr>
        <w:t>. Basingstoke: Springer</w:t>
      </w:r>
      <w:r w:rsidRPr="00F967D4">
        <w:rPr>
          <w:rFonts w:ascii="Sylfaen" w:eastAsia="Times New Roman" w:hAnsi="Sylfaen" w:cs="Times New Roman"/>
          <w:color w:val="000000"/>
          <w:lang w:val="en-US"/>
        </w:rPr>
        <w:t>.</w:t>
      </w:r>
    </w:p>
    <w:p w14:paraId="7B9DC7FF" w14:textId="7F0DEA27" w:rsidR="00F967D4" w:rsidRPr="00F967D4" w:rsidRDefault="00F967D4" w:rsidP="00143D64">
      <w:pPr>
        <w:spacing w:after="160" w:line="360" w:lineRule="auto"/>
        <w:ind w:right="278"/>
        <w:rPr>
          <w:rFonts w:ascii="Sylfaen" w:eastAsia="Times New Roman" w:hAnsi="Sylfaen" w:cs="Times New Roman"/>
          <w:color w:val="000000"/>
        </w:rPr>
      </w:pPr>
      <w:proofErr w:type="spellStart"/>
      <w:r w:rsidRPr="00F967D4">
        <w:rPr>
          <w:rFonts w:ascii="Sylfaen" w:eastAsia="Times New Roman" w:hAnsi="Sylfaen" w:cs="Times New Roman"/>
          <w:color w:val="000000"/>
        </w:rPr>
        <w:t>Kivelson</w:t>
      </w:r>
      <w:proofErr w:type="spellEnd"/>
      <w:r w:rsidRPr="00F967D4">
        <w:rPr>
          <w:rFonts w:ascii="Sylfaen" w:eastAsia="Times New Roman" w:hAnsi="Sylfaen" w:cs="Times New Roman"/>
          <w:color w:val="000000"/>
        </w:rPr>
        <w:t xml:space="preserve">, A. V. (2001) ‘Through the Prism of Witchcraft: Gender and Social Change in Seventeenth-Century Muscovy’, in </w:t>
      </w: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B. P. (ed.) </w:t>
      </w:r>
      <w:r w:rsidRPr="00F967D4">
        <w:rPr>
          <w:rFonts w:ascii="Sylfaen" w:eastAsia="Times New Roman" w:hAnsi="Sylfaen" w:cs="Times New Roman"/>
          <w:i/>
          <w:iCs/>
          <w:color w:val="000000"/>
          <w:lang w:val="en-US"/>
        </w:rPr>
        <w:t>New Perspectives on Witchcraft, Magic and De</w:t>
      </w:r>
      <w:r w:rsidR="00143D64">
        <w:rPr>
          <w:rFonts w:ascii="Sylfaen" w:eastAsia="Times New Roman" w:hAnsi="Sylfaen" w:cs="Times New Roman"/>
          <w:i/>
          <w:iCs/>
          <w:color w:val="000000"/>
          <w:lang w:val="en-US"/>
        </w:rPr>
        <w:t xml:space="preserve">monology: Gender and Witchcraft. </w:t>
      </w:r>
      <w:r w:rsidR="00143D64">
        <w:rPr>
          <w:rFonts w:ascii="Sylfaen" w:eastAsia="Times New Roman" w:hAnsi="Sylfaen" w:cs="Times New Roman"/>
          <w:color w:val="000000"/>
          <w:lang w:val="en-US"/>
        </w:rPr>
        <w:t>New York: Routledge</w:t>
      </w:r>
      <w:r w:rsidR="00962C87">
        <w:rPr>
          <w:rFonts w:ascii="Sylfaen" w:eastAsia="Times New Roman" w:hAnsi="Sylfaen" w:cs="Times New Roman"/>
          <w:color w:val="000000"/>
          <w:lang w:val="en-US"/>
        </w:rPr>
        <w:t>, (pages unknown).</w:t>
      </w:r>
    </w:p>
    <w:p w14:paraId="6F0E856F" w14:textId="07BE2D02"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t xml:space="preserve">Kramer, H. (2015) ‘Malleus </w:t>
      </w:r>
      <w:proofErr w:type="spellStart"/>
      <w:r w:rsidRPr="00F967D4">
        <w:rPr>
          <w:rFonts w:ascii="Sylfaen" w:eastAsia="Times New Roman" w:hAnsi="Sylfaen" w:cs="Times New Roman"/>
          <w:color w:val="000000"/>
          <w:lang w:val="en-US"/>
        </w:rPr>
        <w:t>Maleficarum</w:t>
      </w:r>
      <w:proofErr w:type="spellEnd"/>
      <w:r w:rsidRPr="00F967D4">
        <w:rPr>
          <w:rFonts w:ascii="Sylfaen" w:eastAsia="Times New Roman" w:hAnsi="Sylfaen" w:cs="Times New Roman"/>
          <w:color w:val="000000"/>
          <w:lang w:val="en-US"/>
        </w:rPr>
        <w:t xml:space="preserve">’, in </w:t>
      </w: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P. B. (ed.) </w:t>
      </w:r>
      <w:proofErr w:type="gramStart"/>
      <w:r w:rsidRPr="00F967D4">
        <w:rPr>
          <w:rFonts w:ascii="Sylfaen" w:eastAsia="Times New Roman" w:hAnsi="Sylfaen" w:cs="Times New Roman"/>
          <w:i/>
          <w:iCs/>
          <w:color w:val="000000"/>
          <w:lang w:val="en-US"/>
        </w:rPr>
        <w:t>The</w:t>
      </w:r>
      <w:proofErr w:type="gramEnd"/>
      <w:r w:rsidRPr="00F967D4">
        <w:rPr>
          <w:rFonts w:ascii="Sylfaen" w:eastAsia="Times New Roman" w:hAnsi="Sylfaen" w:cs="Times New Roman"/>
          <w:i/>
          <w:iCs/>
          <w:color w:val="000000"/>
          <w:lang w:val="en-US"/>
        </w:rPr>
        <w:t xml:space="preserve"> Witchcraft Sourcebook</w:t>
      </w:r>
      <w:r w:rsidR="00143D64">
        <w:rPr>
          <w:rFonts w:ascii="Sylfaen" w:eastAsia="Times New Roman" w:hAnsi="Sylfaen" w:cs="Times New Roman"/>
          <w:color w:val="000000"/>
          <w:lang w:val="en-US"/>
        </w:rPr>
        <w:t>. Abingdon: Psychology Press</w:t>
      </w:r>
      <w:r w:rsidR="00AD66BD">
        <w:rPr>
          <w:rFonts w:ascii="Sylfaen" w:eastAsia="Times New Roman" w:hAnsi="Sylfaen" w:cs="Times New Roman"/>
          <w:color w:val="000000"/>
          <w:lang w:val="en-US"/>
        </w:rPr>
        <w:t>, pp. 57-68.</w:t>
      </w:r>
    </w:p>
    <w:p w14:paraId="1B21E0A6" w14:textId="25A7B159" w:rsidR="00F967D4" w:rsidRPr="00F967D4" w:rsidRDefault="00F967D4" w:rsidP="00143D64">
      <w:pPr>
        <w:spacing w:after="160" w:line="360" w:lineRule="auto"/>
        <w:ind w:right="278"/>
        <w:rPr>
          <w:rFonts w:ascii="Sylfaen" w:eastAsia="Times New Roman" w:hAnsi="Sylfaen" w:cs="Times New Roman"/>
          <w:color w:val="000000"/>
        </w:rPr>
      </w:pPr>
      <w:proofErr w:type="spellStart"/>
      <w:r w:rsidRPr="00F967D4">
        <w:rPr>
          <w:rFonts w:ascii="Sylfaen" w:eastAsia="Times New Roman" w:hAnsi="Sylfaen" w:cs="Times New Roman"/>
          <w:color w:val="000000"/>
          <w:lang w:val="en-US"/>
        </w:rPr>
        <w:t>Lancre</w:t>
      </w:r>
      <w:proofErr w:type="spellEnd"/>
      <w:r w:rsidRPr="00F967D4">
        <w:rPr>
          <w:rFonts w:ascii="Sylfaen" w:eastAsia="Times New Roman" w:hAnsi="Sylfaen" w:cs="Times New Roman"/>
          <w:color w:val="000000"/>
          <w:lang w:val="en-US"/>
        </w:rPr>
        <w:t xml:space="preserve"> de, P. (2015) ‘Description of the Inconsistency of Bad Angels and Demons’, in </w:t>
      </w: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B. P. (ed.) </w:t>
      </w:r>
      <w:r w:rsidRPr="00F967D4">
        <w:rPr>
          <w:rFonts w:ascii="Sylfaen" w:eastAsia="Times New Roman" w:hAnsi="Sylfaen" w:cs="Times New Roman"/>
          <w:i/>
          <w:iCs/>
          <w:color w:val="000000"/>
          <w:lang w:val="en-US"/>
        </w:rPr>
        <w:t>The Witchcraft Sourcebook</w:t>
      </w:r>
      <w:r w:rsidR="005E3271">
        <w:rPr>
          <w:rFonts w:ascii="Sylfaen" w:eastAsia="Times New Roman" w:hAnsi="Sylfaen" w:cs="Times New Roman"/>
          <w:i/>
          <w:iCs/>
          <w:color w:val="000000"/>
          <w:lang w:val="en-US"/>
        </w:rPr>
        <w:t>.</w:t>
      </w:r>
      <w:r w:rsidR="005E3271">
        <w:rPr>
          <w:rFonts w:ascii="Sylfaen" w:eastAsia="Times New Roman" w:hAnsi="Sylfaen" w:cs="Times New Roman"/>
          <w:color w:val="000000"/>
          <w:lang w:val="en-US"/>
        </w:rPr>
        <w:t xml:space="preserve"> Abingdon: Psychology Press</w:t>
      </w:r>
      <w:r w:rsidR="00AD66BD">
        <w:rPr>
          <w:rFonts w:ascii="Sylfaen" w:eastAsia="Times New Roman" w:hAnsi="Sylfaen" w:cs="Times New Roman"/>
          <w:color w:val="000000"/>
          <w:lang w:val="en-US"/>
        </w:rPr>
        <w:t>, (pages unknown).</w:t>
      </w:r>
    </w:p>
    <w:p w14:paraId="7DB3F460" w14:textId="6F47625E" w:rsidR="00F967D4" w:rsidRPr="00F967D4" w:rsidRDefault="00F967D4" w:rsidP="00143D64">
      <w:pPr>
        <w:spacing w:after="160" w:line="360" w:lineRule="auto"/>
        <w:ind w:right="278"/>
        <w:rPr>
          <w:rFonts w:ascii="Sylfaen" w:eastAsia="Times New Roman" w:hAnsi="Sylfaen" w:cs="Times New Roman"/>
          <w:color w:val="000000"/>
        </w:rPr>
      </w:pP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B. P. (2001) </w:t>
      </w:r>
      <w:r w:rsidRPr="00F967D4">
        <w:rPr>
          <w:rFonts w:ascii="Sylfaen" w:eastAsia="Times New Roman" w:hAnsi="Sylfaen" w:cs="Times New Roman"/>
          <w:i/>
          <w:iCs/>
          <w:color w:val="000000"/>
          <w:lang w:val="en-US"/>
        </w:rPr>
        <w:t>New Perspectives on Witchcraft, Magic and De</w:t>
      </w:r>
      <w:r w:rsidR="005E3271">
        <w:rPr>
          <w:rFonts w:ascii="Sylfaen" w:eastAsia="Times New Roman" w:hAnsi="Sylfaen" w:cs="Times New Roman"/>
          <w:i/>
          <w:iCs/>
          <w:color w:val="000000"/>
          <w:lang w:val="en-US"/>
        </w:rPr>
        <w:t xml:space="preserve">monology: Gender and Witchcraft. </w:t>
      </w:r>
      <w:r w:rsidR="005E3271">
        <w:rPr>
          <w:rFonts w:ascii="Sylfaen" w:eastAsia="Times New Roman" w:hAnsi="Sylfaen" w:cs="Times New Roman"/>
          <w:color w:val="000000"/>
          <w:lang w:val="en-US"/>
        </w:rPr>
        <w:t>New York: Routledge</w:t>
      </w:r>
      <w:r w:rsidRPr="00F967D4">
        <w:rPr>
          <w:rFonts w:ascii="Sylfaen" w:eastAsia="Times New Roman" w:hAnsi="Sylfaen" w:cs="Times New Roman"/>
          <w:color w:val="000000"/>
          <w:lang w:val="en-US"/>
        </w:rPr>
        <w:t>.</w:t>
      </w:r>
    </w:p>
    <w:p w14:paraId="7BB3104A" w14:textId="08CEE76F" w:rsidR="00F967D4" w:rsidRPr="00F967D4" w:rsidRDefault="00F967D4" w:rsidP="00143D64">
      <w:pPr>
        <w:spacing w:after="160" w:line="360" w:lineRule="auto"/>
        <w:ind w:right="278"/>
        <w:rPr>
          <w:rFonts w:ascii="Sylfaen" w:eastAsia="Times New Roman" w:hAnsi="Sylfaen" w:cs="Times New Roman"/>
          <w:color w:val="000000"/>
          <w:lang w:val="en-US"/>
        </w:rPr>
      </w:pP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B. P. (2006) </w:t>
      </w:r>
      <w:proofErr w:type="gramStart"/>
      <w:r w:rsidRPr="00F967D4">
        <w:rPr>
          <w:rFonts w:ascii="Sylfaen" w:eastAsia="Times New Roman" w:hAnsi="Sylfaen" w:cs="Times New Roman"/>
          <w:i/>
          <w:iCs/>
          <w:color w:val="000000"/>
          <w:lang w:val="en-US"/>
        </w:rPr>
        <w:t>The</w:t>
      </w:r>
      <w:proofErr w:type="gramEnd"/>
      <w:r w:rsidRPr="00F967D4">
        <w:rPr>
          <w:rFonts w:ascii="Sylfaen" w:eastAsia="Times New Roman" w:hAnsi="Sylfaen" w:cs="Times New Roman"/>
          <w:i/>
          <w:iCs/>
          <w:color w:val="000000"/>
          <w:lang w:val="en-US"/>
        </w:rPr>
        <w:t xml:space="preserve"> Witch-Hunt in Early Modern Europe</w:t>
      </w:r>
      <w:r w:rsidR="005E3271">
        <w:rPr>
          <w:rFonts w:ascii="Sylfaen" w:eastAsia="Times New Roman" w:hAnsi="Sylfaen" w:cs="Times New Roman"/>
          <w:color w:val="000000"/>
          <w:lang w:val="en-US"/>
        </w:rPr>
        <w:t>. Harlow: Routledge</w:t>
      </w:r>
      <w:r w:rsidRPr="00F967D4">
        <w:rPr>
          <w:rFonts w:ascii="Sylfaen" w:eastAsia="Times New Roman" w:hAnsi="Sylfaen" w:cs="Times New Roman"/>
          <w:color w:val="000000"/>
          <w:lang w:val="en-US"/>
        </w:rPr>
        <w:t>.</w:t>
      </w:r>
    </w:p>
    <w:p w14:paraId="1F84EC2F" w14:textId="0FCAF404"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t>L. P. (1655</w:t>
      </w:r>
      <w:r w:rsidR="009E1948">
        <w:rPr>
          <w:rFonts w:ascii="Sylfaen" w:eastAsia="Times New Roman" w:hAnsi="Sylfaen" w:cs="Times New Roman"/>
          <w:color w:val="000000"/>
          <w:lang w:val="en-US"/>
        </w:rPr>
        <w:t xml:space="preserve">) </w:t>
      </w:r>
      <w:proofErr w:type="gramStart"/>
      <w:r w:rsidR="009E1948" w:rsidRPr="009E1948">
        <w:rPr>
          <w:rFonts w:ascii="Sylfaen" w:eastAsia="Times New Roman" w:hAnsi="Sylfaen" w:cs="Times New Roman"/>
          <w:i/>
          <w:color w:val="000000"/>
          <w:lang w:val="en-US"/>
        </w:rPr>
        <w:t>The</w:t>
      </w:r>
      <w:proofErr w:type="gramEnd"/>
      <w:r w:rsidR="009E1948" w:rsidRPr="009E1948">
        <w:rPr>
          <w:rFonts w:ascii="Sylfaen" w:eastAsia="Times New Roman" w:hAnsi="Sylfaen" w:cs="Times New Roman"/>
          <w:i/>
          <w:color w:val="000000"/>
          <w:lang w:val="en-US"/>
        </w:rPr>
        <w:t xml:space="preserve"> Witch of the Woodlands</w:t>
      </w:r>
      <w:r w:rsidR="009E1948">
        <w:rPr>
          <w:rFonts w:ascii="Sylfaen" w:eastAsia="Times New Roman" w:hAnsi="Sylfaen" w:cs="Times New Roman"/>
          <w:color w:val="000000"/>
          <w:lang w:val="en-US"/>
        </w:rPr>
        <w:t xml:space="preserve">. </w:t>
      </w:r>
      <w:r w:rsidR="005E3271">
        <w:rPr>
          <w:rFonts w:ascii="Sylfaen" w:eastAsia="Times New Roman" w:hAnsi="Sylfaen" w:cs="Times New Roman"/>
          <w:color w:val="000000"/>
          <w:lang w:val="en-US"/>
        </w:rPr>
        <w:t xml:space="preserve">Available at: </w:t>
      </w:r>
      <w:hyperlink r:id="rId8" w:history="1">
        <w:r w:rsidR="005E3271" w:rsidRPr="00AC6D01">
          <w:rPr>
            <w:rStyle w:val="Hyperlink"/>
            <w:rFonts w:ascii="Sylfaen" w:eastAsia="Times New Roman" w:hAnsi="Sylfaen" w:cs="Times New Roman"/>
            <w:lang w:val="en-US"/>
          </w:rPr>
          <w:t>http://historicaltexts.jisc.ac.uk</w:t>
        </w:r>
      </w:hyperlink>
      <w:r w:rsidR="005E3271">
        <w:rPr>
          <w:rFonts w:ascii="Sylfaen" w:eastAsia="Times New Roman" w:hAnsi="Sylfaen" w:cs="Times New Roman"/>
          <w:color w:val="000000"/>
          <w:lang w:val="en-US"/>
        </w:rPr>
        <w:t xml:space="preserve"> (accessed 24 June 2019)</w:t>
      </w:r>
      <w:r w:rsidRPr="00F967D4">
        <w:rPr>
          <w:rFonts w:ascii="Sylfaen" w:eastAsia="Times New Roman" w:hAnsi="Sylfaen" w:cs="Times New Roman"/>
          <w:color w:val="000000"/>
          <w:lang w:val="en-US"/>
        </w:rPr>
        <w:t>.</w:t>
      </w:r>
    </w:p>
    <w:p w14:paraId="49657FF2" w14:textId="3201FAC2" w:rsidR="00F967D4" w:rsidRPr="00F967D4" w:rsidRDefault="00F967D4" w:rsidP="00143D64">
      <w:pPr>
        <w:spacing w:after="160" w:line="360" w:lineRule="auto"/>
        <w:ind w:right="278"/>
        <w:rPr>
          <w:rFonts w:ascii="Sylfaen" w:eastAsia="Times New Roman" w:hAnsi="Sylfaen" w:cs="Times New Roman"/>
          <w:color w:val="000000"/>
          <w:lang w:val="en-US"/>
        </w:rPr>
      </w:pPr>
      <w:r w:rsidRPr="00F967D4">
        <w:rPr>
          <w:rFonts w:ascii="Sylfaen" w:eastAsia="Times New Roman" w:hAnsi="Sylfaen" w:cs="Times New Roman"/>
          <w:color w:val="000000"/>
          <w:lang w:val="en-US"/>
        </w:rPr>
        <w:lastRenderedPageBreak/>
        <w:t xml:space="preserve">Macfarlane, A. (1970) </w:t>
      </w:r>
      <w:r w:rsidRPr="00F967D4">
        <w:rPr>
          <w:rFonts w:ascii="Sylfaen" w:eastAsia="Times New Roman" w:hAnsi="Sylfaen" w:cs="Times New Roman"/>
          <w:i/>
          <w:iCs/>
          <w:color w:val="000000"/>
          <w:lang w:val="en-US"/>
        </w:rPr>
        <w:t>Witchcraft in Tudor and Stuart England: A Regional and Comparative Study</w:t>
      </w:r>
      <w:r w:rsidR="005E3271">
        <w:rPr>
          <w:rFonts w:ascii="Sylfaen" w:eastAsia="Times New Roman" w:hAnsi="Sylfaen" w:cs="Times New Roman"/>
          <w:color w:val="000000"/>
          <w:lang w:val="en-US"/>
        </w:rPr>
        <w:t>. London: Routledge</w:t>
      </w:r>
      <w:r w:rsidRPr="00F967D4">
        <w:rPr>
          <w:rFonts w:ascii="Sylfaen" w:eastAsia="Times New Roman" w:hAnsi="Sylfaen" w:cs="Times New Roman"/>
          <w:color w:val="000000"/>
          <w:lang w:val="en-US"/>
        </w:rPr>
        <w:t>.</w:t>
      </w:r>
    </w:p>
    <w:p w14:paraId="55EA3B95" w14:textId="64199E76"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t xml:space="preserve">Mackay, S. C. (2009) </w:t>
      </w:r>
      <w:proofErr w:type="gramStart"/>
      <w:r w:rsidRPr="00F967D4">
        <w:rPr>
          <w:rFonts w:ascii="Sylfaen" w:eastAsia="Times New Roman" w:hAnsi="Sylfaen" w:cs="Times New Roman"/>
          <w:i/>
          <w:iCs/>
          <w:color w:val="000000"/>
          <w:lang w:val="en-US"/>
        </w:rPr>
        <w:t>The</w:t>
      </w:r>
      <w:proofErr w:type="gramEnd"/>
      <w:r w:rsidRPr="00F967D4">
        <w:rPr>
          <w:rFonts w:ascii="Sylfaen" w:eastAsia="Times New Roman" w:hAnsi="Sylfaen" w:cs="Times New Roman"/>
          <w:i/>
          <w:iCs/>
          <w:color w:val="000000"/>
          <w:lang w:val="en-US"/>
        </w:rPr>
        <w:t xml:space="preserve"> Hammer of the Witches: A Complete Transla</w:t>
      </w:r>
      <w:r w:rsidR="005E3271">
        <w:rPr>
          <w:rFonts w:ascii="Sylfaen" w:eastAsia="Times New Roman" w:hAnsi="Sylfaen" w:cs="Times New Roman"/>
          <w:i/>
          <w:iCs/>
          <w:color w:val="000000"/>
          <w:lang w:val="en-US"/>
        </w:rPr>
        <w:t xml:space="preserve">tion of the Malleus </w:t>
      </w:r>
      <w:proofErr w:type="spellStart"/>
      <w:r w:rsidR="005E3271">
        <w:rPr>
          <w:rFonts w:ascii="Sylfaen" w:eastAsia="Times New Roman" w:hAnsi="Sylfaen" w:cs="Times New Roman"/>
          <w:i/>
          <w:iCs/>
          <w:color w:val="000000"/>
          <w:lang w:val="en-US"/>
        </w:rPr>
        <w:t>Maleficarum</w:t>
      </w:r>
      <w:proofErr w:type="spellEnd"/>
      <w:r w:rsidR="005E3271">
        <w:rPr>
          <w:rFonts w:ascii="Sylfaen" w:eastAsia="Times New Roman" w:hAnsi="Sylfaen" w:cs="Times New Roman"/>
          <w:i/>
          <w:iCs/>
          <w:color w:val="000000"/>
          <w:lang w:val="en-US"/>
        </w:rPr>
        <w:t xml:space="preserve">. </w:t>
      </w:r>
      <w:r w:rsidR="005E3271">
        <w:rPr>
          <w:rFonts w:ascii="Sylfaen" w:eastAsia="Times New Roman" w:hAnsi="Sylfaen" w:cs="Times New Roman"/>
          <w:color w:val="000000"/>
          <w:lang w:val="en-US"/>
        </w:rPr>
        <w:t>Cambridge: Cambridge University Press</w:t>
      </w:r>
      <w:r w:rsidRPr="00F967D4">
        <w:rPr>
          <w:rFonts w:ascii="Sylfaen" w:eastAsia="Times New Roman" w:hAnsi="Sylfaen" w:cs="Times New Roman"/>
          <w:color w:val="000000"/>
          <w:lang w:val="en-US"/>
        </w:rPr>
        <w:t>.</w:t>
      </w:r>
      <w:r w:rsidRPr="00F967D4">
        <w:rPr>
          <w:rFonts w:ascii="Sylfaen" w:eastAsia="Times New Roman" w:hAnsi="Sylfaen" w:cs="Times New Roman"/>
          <w:i/>
          <w:iCs/>
          <w:color w:val="000000"/>
          <w:lang w:val="en-US"/>
        </w:rPr>
        <w:t xml:space="preserve"> </w:t>
      </w:r>
    </w:p>
    <w:p w14:paraId="15FCA6B6" w14:textId="3984A418" w:rsidR="00F967D4" w:rsidRPr="00F967D4" w:rsidRDefault="00F967D4" w:rsidP="00143D64">
      <w:pPr>
        <w:spacing w:after="160" w:line="360" w:lineRule="auto"/>
        <w:ind w:right="278"/>
        <w:rPr>
          <w:rFonts w:ascii="Sylfaen" w:eastAsia="Times New Roman" w:hAnsi="Sylfaen" w:cs="Times New Roman"/>
          <w:color w:val="000000"/>
        </w:rPr>
      </w:pPr>
      <w:proofErr w:type="spellStart"/>
      <w:r w:rsidRPr="00F967D4">
        <w:rPr>
          <w:rFonts w:ascii="Sylfaen" w:eastAsia="Times New Roman" w:hAnsi="Sylfaen" w:cs="Times New Roman"/>
          <w:color w:val="000000"/>
          <w:lang w:val="en-US"/>
        </w:rPr>
        <w:t>Nider</w:t>
      </w:r>
      <w:proofErr w:type="spellEnd"/>
      <w:r w:rsidRPr="00F967D4">
        <w:rPr>
          <w:rFonts w:ascii="Sylfaen" w:eastAsia="Times New Roman" w:hAnsi="Sylfaen" w:cs="Times New Roman"/>
          <w:color w:val="000000"/>
          <w:lang w:val="en-US"/>
        </w:rPr>
        <w:t xml:space="preserve">, J. (2015) ‘An Early Description of the Witches Sabbath’, in </w:t>
      </w: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B. P. (ed.) </w:t>
      </w:r>
      <w:proofErr w:type="gramStart"/>
      <w:r w:rsidRPr="00F967D4">
        <w:rPr>
          <w:rFonts w:ascii="Sylfaen" w:eastAsia="Times New Roman" w:hAnsi="Sylfaen" w:cs="Times New Roman"/>
          <w:i/>
          <w:iCs/>
          <w:color w:val="000000"/>
          <w:lang w:val="en-US"/>
        </w:rPr>
        <w:t>The</w:t>
      </w:r>
      <w:proofErr w:type="gramEnd"/>
      <w:r w:rsidRPr="00F967D4">
        <w:rPr>
          <w:rFonts w:ascii="Sylfaen" w:eastAsia="Times New Roman" w:hAnsi="Sylfaen" w:cs="Times New Roman"/>
          <w:i/>
          <w:iCs/>
          <w:color w:val="000000"/>
          <w:lang w:val="en-US"/>
        </w:rPr>
        <w:t xml:space="preserve"> Witchcraft Sourcebook</w:t>
      </w:r>
      <w:r w:rsidR="005E3271">
        <w:rPr>
          <w:rFonts w:ascii="Sylfaen" w:eastAsia="Times New Roman" w:hAnsi="Sylfaen" w:cs="Times New Roman"/>
          <w:color w:val="000000"/>
          <w:lang w:val="en-US"/>
        </w:rPr>
        <w:t>. Abingdon: Psychology Press</w:t>
      </w:r>
      <w:r w:rsidR="00A4621D">
        <w:rPr>
          <w:rFonts w:ascii="Sylfaen" w:eastAsia="Times New Roman" w:hAnsi="Sylfaen" w:cs="Times New Roman"/>
          <w:color w:val="000000"/>
          <w:lang w:val="en-US"/>
        </w:rPr>
        <w:t xml:space="preserve">, pp. 52-56. </w:t>
      </w:r>
    </w:p>
    <w:p w14:paraId="189456F5" w14:textId="19F1DDAC"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t xml:space="preserve">Roberts, A. (1616) ‘A Treatise on Witchcraft’, </w:t>
      </w:r>
      <w:r w:rsidR="005E3271">
        <w:rPr>
          <w:rFonts w:ascii="Sylfaen" w:eastAsia="Times New Roman" w:hAnsi="Sylfaen" w:cs="Times New Roman"/>
          <w:i/>
          <w:iCs/>
          <w:color w:val="000000"/>
          <w:lang w:val="en-US"/>
        </w:rPr>
        <w:t xml:space="preserve">Historical Texts. </w:t>
      </w:r>
      <w:r w:rsidR="005E3271" w:rsidRPr="005E3271">
        <w:rPr>
          <w:rFonts w:ascii="Sylfaen" w:eastAsia="Times New Roman" w:hAnsi="Sylfaen" w:cs="Times New Roman"/>
          <w:iCs/>
          <w:color w:val="000000"/>
          <w:lang w:val="en-US"/>
        </w:rPr>
        <w:t>Available at:</w:t>
      </w:r>
      <w:r w:rsidR="005E3271">
        <w:rPr>
          <w:rFonts w:ascii="Sylfaen" w:eastAsia="Times New Roman" w:hAnsi="Sylfaen" w:cs="Times New Roman"/>
          <w:i/>
          <w:iCs/>
          <w:color w:val="000000"/>
          <w:lang w:val="en-US"/>
        </w:rPr>
        <w:t xml:space="preserve"> </w:t>
      </w:r>
      <w:r w:rsidRPr="00F967D4">
        <w:rPr>
          <w:rFonts w:ascii="Sylfaen" w:eastAsia="Times New Roman" w:hAnsi="Sylfaen" w:cs="Times New Roman"/>
          <w:color w:val="000000"/>
          <w:lang w:val="en-US"/>
        </w:rPr>
        <w:t>htt</w:t>
      </w:r>
      <w:r w:rsidR="005E3271">
        <w:rPr>
          <w:rFonts w:ascii="Sylfaen" w:eastAsia="Times New Roman" w:hAnsi="Sylfaen" w:cs="Times New Roman"/>
          <w:color w:val="000000"/>
          <w:lang w:val="en-US"/>
        </w:rPr>
        <w:t>p://historicaltexts.jisc.ac.uk (A</w:t>
      </w:r>
      <w:r w:rsidRPr="00F967D4">
        <w:rPr>
          <w:rFonts w:ascii="Sylfaen" w:eastAsia="Times New Roman" w:hAnsi="Sylfaen" w:cs="Times New Roman"/>
          <w:color w:val="000000"/>
          <w:lang w:val="en-US"/>
        </w:rPr>
        <w:t>c</w:t>
      </w:r>
      <w:r w:rsidR="005E3271">
        <w:rPr>
          <w:rFonts w:ascii="Sylfaen" w:eastAsia="Times New Roman" w:hAnsi="Sylfaen" w:cs="Times New Roman"/>
          <w:color w:val="000000"/>
          <w:lang w:val="en-US"/>
        </w:rPr>
        <w:t>cessed 24 June 2019)</w:t>
      </w:r>
      <w:r w:rsidRPr="00F967D4">
        <w:rPr>
          <w:rFonts w:ascii="Sylfaen" w:eastAsia="Times New Roman" w:hAnsi="Sylfaen" w:cs="Times New Roman"/>
          <w:color w:val="000000"/>
          <w:lang w:val="en-US"/>
        </w:rPr>
        <w:t>.</w:t>
      </w:r>
    </w:p>
    <w:p w14:paraId="0DD8A962" w14:textId="6975CEFE"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t xml:space="preserve">Roper, L. (2001) </w:t>
      </w:r>
      <w:r w:rsidRPr="00F967D4">
        <w:rPr>
          <w:rFonts w:ascii="Sylfaen" w:eastAsia="Times New Roman" w:hAnsi="Sylfaen" w:cs="Times New Roman"/>
          <w:color w:val="000000"/>
        </w:rPr>
        <w:t xml:space="preserve">‘Witchcraft and Fantasy in Early Modern Germany’, in </w:t>
      </w: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B. P. (ed.) </w:t>
      </w:r>
      <w:r w:rsidRPr="00F967D4">
        <w:rPr>
          <w:rFonts w:ascii="Sylfaen" w:eastAsia="Times New Roman" w:hAnsi="Sylfaen" w:cs="Times New Roman"/>
          <w:i/>
          <w:iCs/>
          <w:color w:val="000000"/>
          <w:lang w:val="en-US"/>
        </w:rPr>
        <w:t>New Perspectives on Witchcraft, Magic and De</w:t>
      </w:r>
      <w:r w:rsidR="005E3271">
        <w:rPr>
          <w:rFonts w:ascii="Sylfaen" w:eastAsia="Times New Roman" w:hAnsi="Sylfaen" w:cs="Times New Roman"/>
          <w:i/>
          <w:iCs/>
          <w:color w:val="000000"/>
          <w:lang w:val="en-US"/>
        </w:rPr>
        <w:t xml:space="preserve">monology: Gender and Witchcraft. </w:t>
      </w:r>
      <w:r w:rsidR="005E3271">
        <w:rPr>
          <w:rFonts w:ascii="Sylfaen" w:eastAsia="Times New Roman" w:hAnsi="Sylfaen" w:cs="Times New Roman"/>
          <w:color w:val="000000"/>
          <w:lang w:val="en-US"/>
        </w:rPr>
        <w:t>New York: Routledge</w:t>
      </w:r>
      <w:r w:rsidR="00962C87">
        <w:rPr>
          <w:rFonts w:ascii="Sylfaen" w:eastAsia="Times New Roman" w:hAnsi="Sylfaen" w:cs="Times New Roman"/>
          <w:color w:val="000000"/>
          <w:lang w:val="en-US"/>
        </w:rPr>
        <w:t>, (pages unknown).</w:t>
      </w:r>
    </w:p>
    <w:p w14:paraId="4BE6C6CE" w14:textId="0691B6A5"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t xml:space="preserve">Roper, L. (2004) </w:t>
      </w:r>
      <w:r w:rsidRPr="00F967D4">
        <w:rPr>
          <w:rFonts w:ascii="Sylfaen" w:eastAsia="Times New Roman" w:hAnsi="Sylfaen" w:cs="Times New Roman"/>
          <w:i/>
          <w:iCs/>
          <w:color w:val="000000"/>
          <w:lang w:val="en-US"/>
        </w:rPr>
        <w:t>Witch Craze: Terror and Fantasy in Baroque Germany</w:t>
      </w:r>
      <w:r w:rsidR="005E3271">
        <w:rPr>
          <w:rFonts w:ascii="Sylfaen" w:eastAsia="Times New Roman" w:hAnsi="Sylfaen" w:cs="Times New Roman"/>
          <w:color w:val="000000"/>
          <w:lang w:val="en-US"/>
        </w:rPr>
        <w:t>. London: Yale University Press</w:t>
      </w:r>
      <w:r w:rsidRPr="00F967D4">
        <w:rPr>
          <w:rFonts w:ascii="Sylfaen" w:eastAsia="Times New Roman" w:hAnsi="Sylfaen" w:cs="Times New Roman"/>
          <w:color w:val="000000"/>
          <w:lang w:val="en-US"/>
        </w:rPr>
        <w:t>.</w:t>
      </w:r>
    </w:p>
    <w:p w14:paraId="6F659B22" w14:textId="12A98DE8"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rPr>
        <w:t xml:space="preserve">Rowlands, A. (2013) ‘Witchcraft and Gender in Early Modern Europe’, in </w:t>
      </w:r>
      <w:proofErr w:type="spellStart"/>
      <w:r w:rsidRPr="00F967D4">
        <w:rPr>
          <w:rFonts w:ascii="Sylfaen" w:eastAsia="Times New Roman" w:hAnsi="Sylfaen" w:cs="Times New Roman"/>
          <w:color w:val="000000"/>
        </w:rPr>
        <w:t>Levack</w:t>
      </w:r>
      <w:proofErr w:type="spellEnd"/>
      <w:r w:rsidRPr="00F967D4">
        <w:rPr>
          <w:rFonts w:ascii="Sylfaen" w:eastAsia="Times New Roman" w:hAnsi="Sylfaen" w:cs="Times New Roman"/>
          <w:color w:val="000000"/>
        </w:rPr>
        <w:t xml:space="preserve"> B. P. (ed.) </w:t>
      </w:r>
      <w:proofErr w:type="gramStart"/>
      <w:r w:rsidRPr="00F967D4">
        <w:rPr>
          <w:rFonts w:ascii="Sylfaen" w:eastAsia="Times New Roman" w:hAnsi="Sylfaen" w:cs="Times New Roman"/>
          <w:i/>
          <w:iCs/>
          <w:color w:val="000000"/>
        </w:rPr>
        <w:t>The</w:t>
      </w:r>
      <w:proofErr w:type="gramEnd"/>
      <w:r w:rsidRPr="00F967D4">
        <w:rPr>
          <w:rFonts w:ascii="Sylfaen" w:eastAsia="Times New Roman" w:hAnsi="Sylfaen" w:cs="Times New Roman"/>
          <w:i/>
          <w:iCs/>
          <w:color w:val="000000"/>
        </w:rPr>
        <w:t xml:space="preserve"> Oxford Handbook of Witchcraft in Early Modern Europe and Colonial America</w:t>
      </w:r>
      <w:r w:rsidR="00A4621D">
        <w:rPr>
          <w:rFonts w:ascii="Sylfaen" w:eastAsia="Times New Roman" w:hAnsi="Sylfaen" w:cs="Times New Roman"/>
          <w:color w:val="000000"/>
        </w:rPr>
        <w:t>. Oxford: OUP, pp. 449-467.</w:t>
      </w:r>
    </w:p>
    <w:p w14:paraId="27FD6070" w14:textId="3B6F00B6" w:rsidR="00F967D4" w:rsidRPr="00F967D4" w:rsidRDefault="00F967D4" w:rsidP="00143D64">
      <w:pPr>
        <w:spacing w:after="160" w:line="360" w:lineRule="auto"/>
        <w:ind w:right="278"/>
        <w:rPr>
          <w:rFonts w:ascii="Sylfaen" w:eastAsia="Times New Roman" w:hAnsi="Sylfaen" w:cs="Times New Roman"/>
          <w:color w:val="000000"/>
          <w:lang w:val="en-US"/>
        </w:rPr>
      </w:pPr>
      <w:r w:rsidRPr="00F967D4">
        <w:rPr>
          <w:rFonts w:ascii="Sylfaen" w:eastAsia="Times New Roman" w:hAnsi="Sylfaen" w:cs="Times New Roman"/>
          <w:color w:val="000000"/>
          <w:lang w:val="en-US"/>
        </w:rPr>
        <w:t xml:space="preserve">Rowlands, A. (2009) </w:t>
      </w:r>
      <w:r w:rsidRPr="005E3271">
        <w:rPr>
          <w:rFonts w:ascii="Sylfaen" w:eastAsia="Times New Roman" w:hAnsi="Sylfaen" w:cs="Times New Roman"/>
          <w:color w:val="000000"/>
          <w:lang w:val="en-US"/>
        </w:rPr>
        <w:t>(ed.)</w:t>
      </w:r>
      <w:r w:rsidRPr="00F967D4">
        <w:rPr>
          <w:rFonts w:ascii="Sylfaen" w:eastAsia="Times New Roman" w:hAnsi="Sylfaen" w:cs="Times New Roman"/>
          <w:color w:val="000000"/>
          <w:lang w:val="en-US"/>
        </w:rPr>
        <w:t xml:space="preserve"> </w:t>
      </w:r>
      <w:r w:rsidRPr="00F967D4">
        <w:rPr>
          <w:rFonts w:ascii="Sylfaen" w:eastAsia="Times New Roman" w:hAnsi="Sylfaen" w:cs="Times New Roman"/>
          <w:i/>
          <w:iCs/>
          <w:color w:val="000000"/>
          <w:lang w:val="en-US"/>
        </w:rPr>
        <w:t>Witchcraft and Mascu</w:t>
      </w:r>
      <w:r w:rsidR="005E3271">
        <w:rPr>
          <w:rFonts w:ascii="Sylfaen" w:eastAsia="Times New Roman" w:hAnsi="Sylfaen" w:cs="Times New Roman"/>
          <w:i/>
          <w:iCs/>
          <w:color w:val="000000"/>
          <w:lang w:val="en-US"/>
        </w:rPr>
        <w:t xml:space="preserve">linities in Early Modern Europe. </w:t>
      </w:r>
      <w:r w:rsidR="005E3271">
        <w:rPr>
          <w:rFonts w:ascii="Sylfaen" w:eastAsia="Times New Roman" w:hAnsi="Sylfaen" w:cs="Times New Roman"/>
          <w:color w:val="000000"/>
          <w:lang w:val="en-US"/>
        </w:rPr>
        <w:t>Basingstoke: Springer.</w:t>
      </w:r>
    </w:p>
    <w:p w14:paraId="3E69708B" w14:textId="131F9B01"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rPr>
        <w:t xml:space="preserve">Rowlands, A. (2001) ‘Witchcraft and Old Women in Early Modern Germany’, </w:t>
      </w:r>
      <w:r w:rsidRPr="00F967D4">
        <w:rPr>
          <w:rFonts w:ascii="Sylfaen" w:eastAsia="Times New Roman" w:hAnsi="Sylfaen" w:cs="Times New Roman"/>
          <w:i/>
          <w:iCs/>
          <w:color w:val="000000"/>
        </w:rPr>
        <w:t>Past and Present</w:t>
      </w:r>
      <w:r w:rsidRPr="00F967D4">
        <w:rPr>
          <w:rFonts w:ascii="Sylfaen" w:eastAsia="Times New Roman" w:hAnsi="Sylfaen" w:cs="Times New Roman"/>
          <w:color w:val="000000"/>
        </w:rPr>
        <w:t xml:space="preserve">, </w:t>
      </w:r>
      <w:r w:rsidR="005E3271">
        <w:rPr>
          <w:rFonts w:ascii="Sylfaen" w:eastAsia="Times New Roman" w:hAnsi="Sylfaen" w:cs="Times New Roman"/>
          <w:color w:val="000000"/>
        </w:rPr>
        <w:t>173(1)</w:t>
      </w:r>
      <w:r w:rsidRPr="00F967D4">
        <w:rPr>
          <w:rFonts w:ascii="Sylfaen" w:eastAsia="Times New Roman" w:hAnsi="Sylfaen" w:cs="Times New Roman"/>
          <w:color w:val="000000"/>
        </w:rPr>
        <w:t>, pp. 50-89.</w:t>
      </w:r>
    </w:p>
    <w:p w14:paraId="6E0F65C0" w14:textId="1A48F7C0"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rPr>
        <w:t xml:space="preserve">Rowlands, A. (2003) </w:t>
      </w:r>
      <w:r w:rsidRPr="00F967D4">
        <w:rPr>
          <w:rFonts w:ascii="Sylfaen" w:eastAsia="Times New Roman" w:hAnsi="Sylfaen" w:cs="Times New Roman"/>
          <w:i/>
          <w:iCs/>
          <w:color w:val="000000"/>
        </w:rPr>
        <w:t>Witchcraft Narratives in Germany:</w:t>
      </w:r>
      <w:r w:rsidR="005E3271">
        <w:rPr>
          <w:rFonts w:ascii="Sylfaen" w:eastAsia="Times New Roman" w:hAnsi="Sylfaen" w:cs="Times New Roman"/>
          <w:i/>
          <w:iCs/>
          <w:color w:val="000000"/>
        </w:rPr>
        <w:t xml:space="preserve"> </w:t>
      </w:r>
      <w:proofErr w:type="spellStart"/>
      <w:r w:rsidR="005E3271">
        <w:rPr>
          <w:rFonts w:ascii="Sylfaen" w:eastAsia="Times New Roman" w:hAnsi="Sylfaen" w:cs="Times New Roman"/>
          <w:i/>
          <w:iCs/>
          <w:color w:val="000000"/>
        </w:rPr>
        <w:t>Rothenburg</w:t>
      </w:r>
      <w:proofErr w:type="spellEnd"/>
      <w:r w:rsidR="005E3271">
        <w:rPr>
          <w:rFonts w:ascii="Sylfaen" w:eastAsia="Times New Roman" w:hAnsi="Sylfaen" w:cs="Times New Roman"/>
          <w:i/>
          <w:iCs/>
          <w:color w:val="000000"/>
        </w:rPr>
        <w:t xml:space="preserve">, 1561-1652. </w:t>
      </w:r>
      <w:r w:rsidR="005E3271">
        <w:rPr>
          <w:rFonts w:ascii="Sylfaen" w:eastAsia="Times New Roman" w:hAnsi="Sylfaen" w:cs="Times New Roman"/>
          <w:color w:val="000000"/>
        </w:rPr>
        <w:t>Manchester: Manchester University Press.</w:t>
      </w:r>
    </w:p>
    <w:p w14:paraId="5FBF6E1C" w14:textId="77777777"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t xml:space="preserve">Schulte, R. (2009) </w:t>
      </w:r>
      <w:r w:rsidRPr="00F967D4">
        <w:rPr>
          <w:rFonts w:ascii="Sylfaen" w:eastAsia="Times New Roman" w:hAnsi="Sylfaen" w:cs="Times New Roman"/>
          <w:i/>
          <w:iCs/>
          <w:color w:val="000000"/>
          <w:lang w:val="en-US"/>
        </w:rPr>
        <w:t xml:space="preserve">Man as Witch: Male Witches in Central Europe </w:t>
      </w:r>
      <w:r w:rsidRPr="00F967D4">
        <w:rPr>
          <w:rFonts w:ascii="Sylfaen" w:eastAsia="Times New Roman" w:hAnsi="Sylfaen" w:cs="Times New Roman"/>
          <w:color w:val="000000"/>
          <w:lang w:val="en-US"/>
        </w:rPr>
        <w:t>(Basingstoke, Springer).</w:t>
      </w:r>
    </w:p>
    <w:p w14:paraId="4DF00FA6" w14:textId="1A3F4955"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t>Schulte, R</w:t>
      </w:r>
      <w:r w:rsidRPr="00F967D4">
        <w:rPr>
          <w:rFonts w:ascii="Sylfaen" w:eastAsia="Times New Roman" w:hAnsi="Sylfaen" w:cs="Times New Roman"/>
          <w:color w:val="000000"/>
        </w:rPr>
        <w:t xml:space="preserve">. (2009) ‘Men as Accused Witches in the Holy Roman Empire’, in </w:t>
      </w:r>
      <w:r w:rsidRPr="00F967D4">
        <w:rPr>
          <w:rFonts w:ascii="Sylfaen" w:eastAsia="Times New Roman" w:hAnsi="Sylfaen" w:cs="Times New Roman"/>
          <w:color w:val="000000"/>
          <w:lang w:val="en-US"/>
        </w:rPr>
        <w:t xml:space="preserve">Rowlands, A. (ed.) </w:t>
      </w:r>
      <w:r w:rsidRPr="00F967D4">
        <w:rPr>
          <w:rFonts w:ascii="Sylfaen" w:eastAsia="Times New Roman" w:hAnsi="Sylfaen" w:cs="Times New Roman"/>
          <w:i/>
          <w:iCs/>
          <w:color w:val="000000"/>
          <w:lang w:val="en-US"/>
        </w:rPr>
        <w:t>Witchcraft and Mascu</w:t>
      </w:r>
      <w:r w:rsidR="00F577BE">
        <w:rPr>
          <w:rFonts w:ascii="Sylfaen" w:eastAsia="Times New Roman" w:hAnsi="Sylfaen" w:cs="Times New Roman"/>
          <w:i/>
          <w:iCs/>
          <w:color w:val="000000"/>
          <w:lang w:val="en-US"/>
        </w:rPr>
        <w:t xml:space="preserve">linities in Early Modern Europe. </w:t>
      </w:r>
      <w:r w:rsidR="00F577BE">
        <w:rPr>
          <w:rFonts w:ascii="Sylfaen" w:eastAsia="Times New Roman" w:hAnsi="Sylfaen" w:cs="Times New Roman"/>
          <w:color w:val="000000"/>
          <w:lang w:val="en-US"/>
        </w:rPr>
        <w:t>Basingstoke: Springer</w:t>
      </w:r>
      <w:r w:rsidR="00A4621D">
        <w:rPr>
          <w:rFonts w:ascii="Sylfaen" w:eastAsia="Times New Roman" w:hAnsi="Sylfaen" w:cs="Times New Roman"/>
          <w:color w:val="000000"/>
          <w:lang w:val="en-US"/>
        </w:rPr>
        <w:t xml:space="preserve">, pp. 52-73. </w:t>
      </w:r>
    </w:p>
    <w:p w14:paraId="0D95273A" w14:textId="44B69752"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lastRenderedPageBreak/>
        <w:t xml:space="preserve">Scot, R. (1584) </w:t>
      </w:r>
      <w:proofErr w:type="gramStart"/>
      <w:r w:rsidR="00F577BE" w:rsidRPr="00F577BE">
        <w:rPr>
          <w:rFonts w:ascii="Sylfaen" w:eastAsia="Times New Roman" w:hAnsi="Sylfaen" w:cs="Times New Roman"/>
          <w:i/>
          <w:color w:val="000000"/>
          <w:lang w:val="en-US"/>
        </w:rPr>
        <w:t>The</w:t>
      </w:r>
      <w:proofErr w:type="gramEnd"/>
      <w:r w:rsidR="00F577BE" w:rsidRPr="00F577BE">
        <w:rPr>
          <w:rFonts w:ascii="Sylfaen" w:eastAsia="Times New Roman" w:hAnsi="Sylfaen" w:cs="Times New Roman"/>
          <w:i/>
          <w:color w:val="000000"/>
          <w:lang w:val="en-US"/>
        </w:rPr>
        <w:t xml:space="preserve"> </w:t>
      </w:r>
      <w:proofErr w:type="spellStart"/>
      <w:r w:rsidR="00F577BE" w:rsidRPr="00F577BE">
        <w:rPr>
          <w:rFonts w:ascii="Sylfaen" w:eastAsia="Times New Roman" w:hAnsi="Sylfaen" w:cs="Times New Roman"/>
          <w:i/>
          <w:color w:val="000000"/>
          <w:lang w:val="en-US"/>
        </w:rPr>
        <w:t>Discoverie</w:t>
      </w:r>
      <w:proofErr w:type="spellEnd"/>
      <w:r w:rsidR="00F577BE" w:rsidRPr="00F577BE">
        <w:rPr>
          <w:rFonts w:ascii="Sylfaen" w:eastAsia="Times New Roman" w:hAnsi="Sylfaen" w:cs="Times New Roman"/>
          <w:i/>
          <w:color w:val="000000"/>
          <w:lang w:val="en-US"/>
        </w:rPr>
        <w:t xml:space="preserve"> of Witchcraft</w:t>
      </w:r>
      <w:r w:rsidR="00F577BE">
        <w:rPr>
          <w:rFonts w:ascii="Sylfaen" w:eastAsia="Times New Roman" w:hAnsi="Sylfaen" w:cs="Times New Roman"/>
          <w:color w:val="000000"/>
          <w:lang w:val="en-US"/>
        </w:rPr>
        <w:t xml:space="preserve">. </w:t>
      </w:r>
      <w:r w:rsidR="00F577BE">
        <w:rPr>
          <w:rFonts w:ascii="Sylfaen" w:eastAsia="Times New Roman" w:hAnsi="Sylfaen" w:cs="Times New Roman"/>
          <w:iCs/>
          <w:color w:val="000000"/>
          <w:lang w:val="en-US"/>
        </w:rPr>
        <w:t xml:space="preserve">Available at: </w:t>
      </w:r>
      <w:r w:rsidRPr="00F967D4">
        <w:rPr>
          <w:rFonts w:ascii="Sylfaen" w:eastAsia="Times New Roman" w:hAnsi="Sylfaen" w:cs="Times New Roman"/>
          <w:color w:val="000000"/>
          <w:lang w:val="en-US"/>
        </w:rPr>
        <w:t>htt</w:t>
      </w:r>
      <w:r w:rsidR="00F577BE">
        <w:rPr>
          <w:rFonts w:ascii="Sylfaen" w:eastAsia="Times New Roman" w:hAnsi="Sylfaen" w:cs="Times New Roman"/>
          <w:color w:val="000000"/>
          <w:lang w:val="en-US"/>
        </w:rPr>
        <w:t>p://historicaltexts.jisc.ac.uk (Accessed 24 June 2019)</w:t>
      </w:r>
      <w:r w:rsidRPr="00F967D4">
        <w:rPr>
          <w:rFonts w:ascii="Sylfaen" w:eastAsia="Times New Roman" w:hAnsi="Sylfaen" w:cs="Times New Roman"/>
          <w:color w:val="000000"/>
          <w:lang w:val="en-US"/>
        </w:rPr>
        <w:t>.</w:t>
      </w:r>
    </w:p>
    <w:p w14:paraId="2E0EA055" w14:textId="1FFD593B" w:rsidR="00F967D4" w:rsidRPr="00F967D4" w:rsidRDefault="00F967D4" w:rsidP="00143D64">
      <w:pPr>
        <w:spacing w:after="160" w:line="360" w:lineRule="auto"/>
        <w:ind w:right="278"/>
        <w:rPr>
          <w:rFonts w:ascii="Sylfaen" w:eastAsia="Times New Roman" w:hAnsi="Sylfaen" w:cs="Times New Roman"/>
          <w:color w:val="000000"/>
          <w:lang w:val="en-US"/>
        </w:rPr>
      </w:pPr>
      <w:r w:rsidRPr="00F967D4">
        <w:rPr>
          <w:rFonts w:ascii="Sylfaen" w:eastAsia="Times New Roman" w:hAnsi="Sylfaen" w:cs="Times New Roman"/>
          <w:color w:val="000000"/>
          <w:lang w:val="en-US"/>
        </w:rPr>
        <w:t xml:space="preserve">Seitz, J. (2011) </w:t>
      </w:r>
      <w:r w:rsidRPr="00F967D4">
        <w:rPr>
          <w:rFonts w:ascii="Sylfaen" w:eastAsia="Times New Roman" w:hAnsi="Sylfaen" w:cs="Times New Roman"/>
          <w:i/>
          <w:iCs/>
          <w:color w:val="000000"/>
          <w:lang w:val="en-US"/>
        </w:rPr>
        <w:t>Witchcraft and Inq</w:t>
      </w:r>
      <w:r w:rsidR="00F577BE">
        <w:rPr>
          <w:rFonts w:ascii="Sylfaen" w:eastAsia="Times New Roman" w:hAnsi="Sylfaen" w:cs="Times New Roman"/>
          <w:i/>
          <w:iCs/>
          <w:color w:val="000000"/>
          <w:lang w:val="en-US"/>
        </w:rPr>
        <w:t xml:space="preserve">uisition in Early Modern Venice. </w:t>
      </w:r>
      <w:r w:rsidR="00F577BE">
        <w:rPr>
          <w:rFonts w:ascii="Sylfaen" w:eastAsia="Times New Roman" w:hAnsi="Sylfaen" w:cs="Times New Roman"/>
          <w:color w:val="000000"/>
          <w:lang w:val="en-US"/>
        </w:rPr>
        <w:t>New York: Cambridge University Press</w:t>
      </w:r>
      <w:r w:rsidRPr="00F967D4">
        <w:rPr>
          <w:rFonts w:ascii="Sylfaen" w:eastAsia="Times New Roman" w:hAnsi="Sylfaen" w:cs="Times New Roman"/>
          <w:color w:val="000000"/>
          <w:lang w:val="en-US"/>
        </w:rPr>
        <w:t>.</w:t>
      </w:r>
    </w:p>
    <w:p w14:paraId="0229A291" w14:textId="6D5952CC" w:rsidR="00F967D4" w:rsidRPr="00F967D4" w:rsidRDefault="00F967D4" w:rsidP="00143D64">
      <w:pPr>
        <w:spacing w:after="160" w:line="360" w:lineRule="auto"/>
        <w:ind w:right="278"/>
        <w:rPr>
          <w:rFonts w:ascii="Sylfaen" w:eastAsia="Times New Roman" w:hAnsi="Sylfaen" w:cs="Times New Roman"/>
          <w:color w:val="000000"/>
          <w:lang w:val="en-US"/>
        </w:rPr>
      </w:pPr>
      <w:r w:rsidRPr="00F967D4">
        <w:rPr>
          <w:rFonts w:ascii="Sylfaen" w:eastAsia="Times New Roman" w:hAnsi="Sylfaen" w:cs="Times New Roman"/>
          <w:color w:val="000000"/>
        </w:rPr>
        <w:t xml:space="preserve">Sharpe, J. (1996) </w:t>
      </w:r>
      <w:r w:rsidRPr="00F967D4">
        <w:rPr>
          <w:rFonts w:ascii="Sylfaen" w:eastAsia="Times New Roman" w:hAnsi="Sylfaen" w:cs="Times New Roman"/>
          <w:i/>
          <w:iCs/>
          <w:color w:val="000000"/>
        </w:rPr>
        <w:t>Instruments of Darkness: Witchcraft in England, 1550-1750</w:t>
      </w:r>
      <w:r w:rsidR="00F577BE">
        <w:rPr>
          <w:rFonts w:ascii="Sylfaen" w:eastAsia="Times New Roman" w:hAnsi="Sylfaen" w:cs="Times New Roman"/>
          <w:color w:val="000000"/>
        </w:rPr>
        <w:t xml:space="preserve">. </w:t>
      </w:r>
      <w:r w:rsidR="00F577BE">
        <w:rPr>
          <w:rFonts w:ascii="Sylfaen" w:eastAsia="Times New Roman" w:hAnsi="Sylfaen" w:cs="Times New Roman"/>
          <w:color w:val="000000"/>
          <w:lang w:val="en-US"/>
        </w:rPr>
        <w:t>London: Penguin</w:t>
      </w:r>
      <w:r w:rsidRPr="00F967D4">
        <w:rPr>
          <w:rFonts w:ascii="Sylfaen" w:eastAsia="Times New Roman" w:hAnsi="Sylfaen" w:cs="Times New Roman"/>
          <w:color w:val="000000"/>
          <w:lang w:val="en-US"/>
        </w:rPr>
        <w:t>.</w:t>
      </w:r>
    </w:p>
    <w:p w14:paraId="124E454F" w14:textId="68BC01AF" w:rsidR="00F967D4" w:rsidRPr="00F967D4" w:rsidRDefault="00F967D4" w:rsidP="00143D64">
      <w:pPr>
        <w:spacing w:after="160" w:line="360" w:lineRule="auto"/>
        <w:ind w:right="278"/>
        <w:rPr>
          <w:rFonts w:ascii="Sylfaen" w:eastAsia="Times New Roman" w:hAnsi="Sylfaen" w:cs="Times New Roman"/>
          <w:color w:val="000000"/>
        </w:rPr>
      </w:pPr>
      <w:r w:rsidRPr="00F967D4">
        <w:rPr>
          <w:rFonts w:ascii="Sylfaen" w:eastAsia="Times New Roman" w:hAnsi="Sylfaen" w:cs="Times New Roman"/>
          <w:color w:val="000000"/>
          <w:lang w:val="en-US"/>
        </w:rPr>
        <w:t xml:space="preserve">Thomas, K. (1971) </w:t>
      </w:r>
      <w:r w:rsidRPr="00F967D4">
        <w:rPr>
          <w:rFonts w:ascii="Sylfaen" w:eastAsia="Times New Roman" w:hAnsi="Sylfaen" w:cs="Times New Roman"/>
          <w:i/>
          <w:iCs/>
          <w:color w:val="000000"/>
          <w:lang w:val="en-US"/>
        </w:rPr>
        <w:t xml:space="preserve">Religion and the Decline of Magic: Studies in Popular Belief in Sixteenth </w:t>
      </w:r>
      <w:r w:rsidR="00F577BE">
        <w:rPr>
          <w:rFonts w:ascii="Sylfaen" w:eastAsia="Times New Roman" w:hAnsi="Sylfaen" w:cs="Times New Roman"/>
          <w:i/>
          <w:iCs/>
          <w:color w:val="000000"/>
          <w:lang w:val="en-US"/>
        </w:rPr>
        <w:t xml:space="preserve">and Seventeenth Century England. </w:t>
      </w:r>
      <w:r w:rsidR="00F577BE">
        <w:rPr>
          <w:rFonts w:ascii="Sylfaen" w:eastAsia="Times New Roman" w:hAnsi="Sylfaen" w:cs="Times New Roman"/>
          <w:color w:val="000000"/>
          <w:lang w:val="en-US"/>
        </w:rPr>
        <w:t>London: Oxford University Press</w:t>
      </w:r>
      <w:r w:rsidRPr="00F967D4">
        <w:rPr>
          <w:rFonts w:ascii="Sylfaen" w:eastAsia="Times New Roman" w:hAnsi="Sylfaen" w:cs="Times New Roman"/>
          <w:color w:val="000000"/>
          <w:lang w:val="en-US"/>
        </w:rPr>
        <w:t>.</w:t>
      </w:r>
    </w:p>
    <w:p w14:paraId="5FC596C1" w14:textId="64593EC6" w:rsidR="00F967D4" w:rsidRPr="00F967D4" w:rsidRDefault="00F967D4" w:rsidP="00143D64">
      <w:pPr>
        <w:spacing w:after="160" w:line="360" w:lineRule="auto"/>
        <w:ind w:right="278"/>
        <w:rPr>
          <w:rFonts w:ascii="Sylfaen" w:eastAsia="Times New Roman" w:hAnsi="Sylfaen" w:cs="Times New Roman"/>
          <w:color w:val="000000"/>
          <w:lang w:val="en-US"/>
        </w:rPr>
      </w:pPr>
      <w:r w:rsidRPr="00F967D4">
        <w:rPr>
          <w:rFonts w:ascii="Sylfaen" w:eastAsia="Times New Roman" w:hAnsi="Sylfaen" w:cs="Times New Roman"/>
          <w:color w:val="000000"/>
        </w:rPr>
        <w:t>Whitney, E. (2001) ‘</w:t>
      </w:r>
      <w:proofErr w:type="gramStart"/>
      <w:r w:rsidRPr="00F967D4">
        <w:rPr>
          <w:rFonts w:ascii="Sylfaen" w:eastAsia="Times New Roman" w:hAnsi="Sylfaen" w:cs="Times New Roman"/>
          <w:color w:val="000000"/>
        </w:rPr>
        <w:t>The</w:t>
      </w:r>
      <w:proofErr w:type="gramEnd"/>
      <w:r w:rsidRPr="00F967D4">
        <w:rPr>
          <w:rFonts w:ascii="Sylfaen" w:eastAsia="Times New Roman" w:hAnsi="Sylfaen" w:cs="Times New Roman"/>
          <w:color w:val="000000"/>
        </w:rPr>
        <w:t xml:space="preserve"> Witch “She”/The Historian “He”: Gender and the Historiography of the European Witch-Hunts’, in </w:t>
      </w:r>
      <w:proofErr w:type="spellStart"/>
      <w:r w:rsidRPr="00F967D4">
        <w:rPr>
          <w:rFonts w:ascii="Sylfaen" w:eastAsia="Times New Roman" w:hAnsi="Sylfaen" w:cs="Times New Roman"/>
          <w:color w:val="000000"/>
          <w:lang w:val="en-US"/>
        </w:rPr>
        <w:t>Levack</w:t>
      </w:r>
      <w:proofErr w:type="spellEnd"/>
      <w:r w:rsidRPr="00F967D4">
        <w:rPr>
          <w:rFonts w:ascii="Sylfaen" w:eastAsia="Times New Roman" w:hAnsi="Sylfaen" w:cs="Times New Roman"/>
          <w:color w:val="000000"/>
          <w:lang w:val="en-US"/>
        </w:rPr>
        <w:t xml:space="preserve">, B. P. (ed.) </w:t>
      </w:r>
      <w:r w:rsidRPr="00F967D4">
        <w:rPr>
          <w:rFonts w:ascii="Sylfaen" w:eastAsia="Times New Roman" w:hAnsi="Sylfaen" w:cs="Times New Roman"/>
          <w:i/>
          <w:iCs/>
          <w:color w:val="000000"/>
          <w:lang w:val="en-US"/>
        </w:rPr>
        <w:t>New Perspectives on Witchcraft, Magic and De</w:t>
      </w:r>
      <w:r w:rsidR="00F577BE">
        <w:rPr>
          <w:rFonts w:ascii="Sylfaen" w:eastAsia="Times New Roman" w:hAnsi="Sylfaen" w:cs="Times New Roman"/>
          <w:i/>
          <w:iCs/>
          <w:color w:val="000000"/>
          <w:lang w:val="en-US"/>
        </w:rPr>
        <w:t xml:space="preserve">monology: Gender and Witchcraft. </w:t>
      </w:r>
      <w:r w:rsidR="00F577BE">
        <w:rPr>
          <w:rFonts w:ascii="Sylfaen" w:eastAsia="Times New Roman" w:hAnsi="Sylfaen" w:cs="Times New Roman"/>
          <w:color w:val="000000"/>
          <w:lang w:val="en-US"/>
        </w:rPr>
        <w:t>New York: Taylor and Francis</w:t>
      </w:r>
      <w:r w:rsidR="00962C87">
        <w:rPr>
          <w:rFonts w:ascii="Sylfaen" w:eastAsia="Times New Roman" w:hAnsi="Sylfaen" w:cs="Times New Roman"/>
          <w:color w:val="000000"/>
          <w:lang w:val="en-US"/>
        </w:rPr>
        <w:t>, (pages unknown).</w:t>
      </w:r>
    </w:p>
    <w:p w14:paraId="16DD0170" w14:textId="17CE6535" w:rsidR="00F967D4" w:rsidRPr="00A4621D" w:rsidRDefault="00F967D4" w:rsidP="00A4621D">
      <w:pPr>
        <w:spacing w:after="160" w:line="360" w:lineRule="auto"/>
        <w:ind w:right="278"/>
        <w:rPr>
          <w:rFonts w:ascii="Sylfaen" w:eastAsia="Times New Roman" w:hAnsi="Sylfaen" w:cs="Times New Roman"/>
          <w:color w:val="000000"/>
          <w:lang w:val="en-US"/>
        </w:rPr>
      </w:pPr>
      <w:proofErr w:type="spellStart"/>
      <w:r w:rsidRPr="00F967D4">
        <w:rPr>
          <w:rFonts w:ascii="Sylfaen" w:eastAsia="Times New Roman" w:hAnsi="Sylfaen" w:cs="Times New Roman"/>
          <w:color w:val="000000"/>
          <w:lang w:val="en-US"/>
        </w:rPr>
        <w:t>Wrightson</w:t>
      </w:r>
      <w:proofErr w:type="spellEnd"/>
      <w:r w:rsidRPr="00F967D4">
        <w:rPr>
          <w:rFonts w:ascii="Sylfaen" w:eastAsia="Times New Roman" w:hAnsi="Sylfaen" w:cs="Times New Roman"/>
          <w:color w:val="000000"/>
          <w:lang w:val="en-US"/>
        </w:rPr>
        <w:t xml:space="preserve">, K. (2004) </w:t>
      </w:r>
      <w:r w:rsidRPr="00F967D4">
        <w:rPr>
          <w:rFonts w:ascii="Sylfaen" w:eastAsia="Times New Roman" w:hAnsi="Sylfaen" w:cs="Times New Roman"/>
          <w:i/>
          <w:iCs/>
          <w:color w:val="000000"/>
          <w:lang w:val="en-US"/>
        </w:rPr>
        <w:t>English Society, 1580-1680</w:t>
      </w:r>
      <w:r w:rsidR="00F577BE">
        <w:rPr>
          <w:rFonts w:ascii="Sylfaen" w:eastAsia="Times New Roman" w:hAnsi="Sylfaen" w:cs="Times New Roman"/>
          <w:color w:val="000000"/>
          <w:lang w:val="en-US"/>
        </w:rPr>
        <w:t>. London: Routledge</w:t>
      </w:r>
      <w:r w:rsidRPr="00F967D4">
        <w:rPr>
          <w:rFonts w:ascii="Sylfaen" w:eastAsia="Times New Roman" w:hAnsi="Sylfaen" w:cs="Times New Roman"/>
          <w:color w:val="000000"/>
          <w:lang w:val="en-US"/>
        </w:rPr>
        <w:t>.</w:t>
      </w:r>
    </w:p>
    <w:sectPr w:rsidR="00F967D4" w:rsidRPr="00A4621D" w:rsidSect="00BE633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36560" w14:textId="77777777" w:rsidR="001838C9" w:rsidRDefault="001838C9" w:rsidP="002B247D">
      <w:pPr>
        <w:spacing w:after="0" w:line="240" w:lineRule="auto"/>
      </w:pPr>
      <w:r>
        <w:separator/>
      </w:r>
    </w:p>
  </w:endnote>
  <w:endnote w:type="continuationSeparator" w:id="0">
    <w:p w14:paraId="4C57561E" w14:textId="77777777" w:rsidR="001838C9" w:rsidRDefault="001838C9"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3C2542D9" w14:textId="77777777" w:rsidR="00BF7618" w:rsidRDefault="00BF7618">
        <w:pPr>
          <w:pStyle w:val="Footer"/>
          <w:jc w:val="center"/>
        </w:pPr>
      </w:p>
      <w:p w14:paraId="2FE11800" w14:textId="39828BE7" w:rsidR="00BF7618" w:rsidRDefault="001838C9">
        <w:pPr>
          <w:pStyle w:val="Footer"/>
          <w:jc w:val="center"/>
        </w:pPr>
        <w:r>
          <w:pict w14:anchorId="1FF9496D">
            <v:rect id="_x0000_i1026" style="width:0;height:1.5pt" o:hralign="center" o:hrstd="t" o:hr="t" fillcolor="#a0a0a0" stroked="f"/>
          </w:pict>
        </w:r>
      </w:p>
      <w:p w14:paraId="3655714B" w14:textId="2C9FCBE2" w:rsidR="00BE6334" w:rsidRPr="00BF7618" w:rsidRDefault="00BE6334">
        <w:pPr>
          <w:pStyle w:val="Footer"/>
          <w:jc w:val="center"/>
          <w:rPr>
            <w:rFonts w:ascii="Sylfaen" w:hAnsi="Sylfaen"/>
            <w:noProof/>
          </w:rPr>
        </w:pPr>
        <w:r w:rsidRPr="00BF7618">
          <w:rPr>
            <w:rFonts w:ascii="Sylfaen" w:hAnsi="Sylfaen"/>
          </w:rPr>
          <w:fldChar w:fldCharType="begin"/>
        </w:r>
        <w:r w:rsidRPr="00BF7618">
          <w:rPr>
            <w:rFonts w:ascii="Sylfaen" w:hAnsi="Sylfaen"/>
          </w:rPr>
          <w:instrText xml:space="preserve"> PAGE   \* MERGEFORMAT </w:instrText>
        </w:r>
        <w:r w:rsidRPr="00BF7618">
          <w:rPr>
            <w:rFonts w:ascii="Sylfaen" w:hAnsi="Sylfaen"/>
          </w:rPr>
          <w:fldChar w:fldCharType="separate"/>
        </w:r>
        <w:r w:rsidR="002563A8">
          <w:rPr>
            <w:rFonts w:ascii="Sylfaen" w:hAnsi="Sylfaen"/>
            <w:noProof/>
          </w:rPr>
          <w:t>14</w:t>
        </w:r>
        <w:r w:rsidRPr="00BF7618">
          <w:rPr>
            <w:rFonts w:ascii="Sylfaen" w:hAnsi="Sylfaen"/>
            <w:noProof/>
          </w:rPr>
          <w:fldChar w:fldCharType="end"/>
        </w:r>
      </w:p>
      <w:p w14:paraId="01B5BDD7" w14:textId="624A5973" w:rsidR="00BE6334" w:rsidRPr="00BF7618" w:rsidRDefault="00BE6334">
        <w:pPr>
          <w:pStyle w:val="Footer"/>
          <w:jc w:val="center"/>
          <w:rPr>
            <w:rFonts w:ascii="Sylfaen" w:hAnsi="Sylfaen"/>
            <w:sz w:val="20"/>
            <w:szCs w:val="20"/>
          </w:rPr>
        </w:pPr>
        <w:r w:rsidRPr="00BF7618">
          <w:rPr>
            <w:rFonts w:ascii="Sylfaen" w:hAnsi="Sylfaen"/>
            <w:noProof/>
            <w:sz w:val="20"/>
            <w:szCs w:val="20"/>
          </w:rPr>
          <w:t xml:space="preserve">This article is CC BY </w:t>
        </w:r>
        <w:r w:rsidR="00F967D4" w:rsidRPr="00BF7618">
          <w:rPr>
            <w:rFonts w:ascii="Sylfaen" w:hAnsi="Sylfaen"/>
            <w:noProof/>
            <w:sz w:val="20"/>
            <w:szCs w:val="20"/>
          </w:rPr>
          <w:t>J. W. E. Chaplin</w:t>
        </w:r>
        <w:r w:rsidRPr="00BF7618">
          <w:rPr>
            <w:rFonts w:ascii="Sylfaen" w:hAnsi="Sylfaen"/>
            <w:noProof/>
            <w:sz w:val="20"/>
            <w:szCs w:val="20"/>
          </w:rPr>
          <w:tab/>
        </w:r>
        <w:r w:rsidRPr="00BF7618">
          <w:rPr>
            <w:rFonts w:ascii="Sylfaen" w:hAnsi="Sylfaen"/>
            <w:noProof/>
            <w:sz w:val="20"/>
            <w:szCs w:val="20"/>
          </w:rPr>
          <w:tab/>
          <w:t>Essex Student Journal, 201</w:t>
        </w:r>
        <w:r w:rsidR="00435CD4" w:rsidRPr="00BF7618">
          <w:rPr>
            <w:rFonts w:ascii="Sylfaen" w:hAnsi="Sylfaen"/>
            <w:noProof/>
            <w:sz w:val="20"/>
            <w:szCs w:val="20"/>
          </w:rPr>
          <w:t>9</w:t>
        </w:r>
        <w:r w:rsidRPr="00BF7618">
          <w:rPr>
            <w:rFonts w:ascii="Sylfaen" w:hAnsi="Sylfaen"/>
            <w:noProof/>
            <w:sz w:val="20"/>
            <w:szCs w:val="20"/>
          </w:rPr>
          <w:t xml:space="preserve">, Vol </w:t>
        </w:r>
        <w:r w:rsidR="00435CD4" w:rsidRPr="00BF7618">
          <w:rPr>
            <w:rFonts w:ascii="Sylfaen" w:hAnsi="Sylfaen"/>
            <w:noProof/>
            <w:sz w:val="20"/>
            <w:szCs w:val="20"/>
          </w:rPr>
          <w:t>10</w:t>
        </w:r>
        <w:r w:rsidRPr="00BF7618">
          <w:rPr>
            <w:rFonts w:ascii="Sylfaen" w:hAnsi="Sylfaen"/>
            <w:noProof/>
            <w:sz w:val="20"/>
            <w:szCs w:val="20"/>
          </w:rPr>
          <w:t>.</w:t>
        </w:r>
      </w:p>
    </w:sdtContent>
  </w:sdt>
  <w:p w14:paraId="793C577F" w14:textId="7F3827D8" w:rsidR="00BE6334" w:rsidRPr="00BF7618" w:rsidRDefault="00BE6334">
    <w:pPr>
      <w:pStyle w:val="Footer"/>
      <w:rPr>
        <w:rFonts w:ascii="Sylfaen" w:hAnsi="Sylfaen"/>
        <w:sz w:val="20"/>
        <w:szCs w:val="20"/>
      </w:rPr>
    </w:pPr>
    <w:r w:rsidRPr="00BF7618">
      <w:rPr>
        <w:rFonts w:ascii="Sylfaen" w:hAnsi="Sylfaen"/>
        <w:sz w:val="20"/>
        <w:szCs w:val="20"/>
      </w:rPr>
      <w:t xml:space="preserve">DOI: </w:t>
    </w:r>
    <w:hyperlink r:id="rId1" w:history="1">
      <w:r w:rsidR="00F967D4" w:rsidRPr="00BF7618">
        <w:rPr>
          <w:rStyle w:val="Hyperlink"/>
          <w:rFonts w:ascii="Sylfaen" w:hAnsi="Sylfaen"/>
          <w:sz w:val="20"/>
          <w:szCs w:val="20"/>
        </w:rPr>
        <w:t>https://doi.org/10.5526/esj12</w:t>
      </w:r>
    </w:hyperlink>
    <w:r w:rsidR="00F967D4" w:rsidRPr="00BF7618">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456336BA" w14:textId="77777777" w:rsidR="00BF7618" w:rsidRDefault="00BF7618" w:rsidP="00BE6334">
        <w:pPr>
          <w:pStyle w:val="Footer"/>
          <w:jc w:val="center"/>
        </w:pPr>
      </w:p>
      <w:p w14:paraId="0826E890" w14:textId="57B48718" w:rsidR="00BF7618" w:rsidRDefault="001838C9" w:rsidP="00BE6334">
        <w:pPr>
          <w:pStyle w:val="Footer"/>
          <w:jc w:val="center"/>
        </w:pPr>
        <w:r>
          <w:pict w14:anchorId="43AF990E">
            <v:rect id="_x0000_i1027" style="width:0;height:1.5pt" o:hralign="center" o:hrstd="t" o:hr="t" fillcolor="#a0a0a0" stroked="f"/>
          </w:pict>
        </w:r>
      </w:p>
      <w:p w14:paraId="17E0F48F" w14:textId="61D6CB27" w:rsidR="00BE6334" w:rsidRPr="00BF7618" w:rsidRDefault="00BE6334" w:rsidP="00BE6334">
        <w:pPr>
          <w:pStyle w:val="Footer"/>
          <w:jc w:val="center"/>
          <w:rPr>
            <w:rFonts w:ascii="Sylfaen" w:hAnsi="Sylfaen"/>
            <w:noProof/>
          </w:rPr>
        </w:pPr>
        <w:r w:rsidRPr="00BF7618">
          <w:rPr>
            <w:rFonts w:ascii="Sylfaen" w:hAnsi="Sylfaen"/>
          </w:rPr>
          <w:fldChar w:fldCharType="begin"/>
        </w:r>
        <w:r w:rsidRPr="00BF7618">
          <w:rPr>
            <w:rFonts w:ascii="Sylfaen" w:hAnsi="Sylfaen"/>
          </w:rPr>
          <w:instrText xml:space="preserve"> PAGE   \* MERGEFORMAT </w:instrText>
        </w:r>
        <w:r w:rsidRPr="00BF7618">
          <w:rPr>
            <w:rFonts w:ascii="Sylfaen" w:hAnsi="Sylfaen"/>
          </w:rPr>
          <w:fldChar w:fldCharType="separate"/>
        </w:r>
        <w:r w:rsidR="002563A8">
          <w:rPr>
            <w:rFonts w:ascii="Sylfaen" w:hAnsi="Sylfaen"/>
            <w:noProof/>
          </w:rPr>
          <w:t>1</w:t>
        </w:r>
        <w:r w:rsidRPr="00BF7618">
          <w:rPr>
            <w:rFonts w:ascii="Sylfaen" w:hAnsi="Sylfaen"/>
            <w:noProof/>
          </w:rPr>
          <w:fldChar w:fldCharType="end"/>
        </w:r>
      </w:p>
      <w:p w14:paraId="2C12D576" w14:textId="64A2FD6E" w:rsidR="00BE6334" w:rsidRPr="00BF7618" w:rsidRDefault="00BE6334" w:rsidP="00BE6334">
        <w:pPr>
          <w:pStyle w:val="Footer"/>
          <w:jc w:val="center"/>
          <w:rPr>
            <w:rFonts w:ascii="Sylfaen" w:hAnsi="Sylfaen"/>
            <w:sz w:val="20"/>
            <w:szCs w:val="20"/>
          </w:rPr>
        </w:pPr>
        <w:r w:rsidRPr="00BF7618">
          <w:rPr>
            <w:rFonts w:ascii="Sylfaen" w:hAnsi="Sylfaen"/>
            <w:noProof/>
            <w:sz w:val="20"/>
            <w:szCs w:val="20"/>
          </w:rPr>
          <w:t>This article is CC BY</w:t>
        </w:r>
        <w:r w:rsidR="0020222F" w:rsidRPr="00BF7618">
          <w:rPr>
            <w:rFonts w:ascii="Sylfaen" w:hAnsi="Sylfaen"/>
            <w:noProof/>
            <w:sz w:val="20"/>
            <w:szCs w:val="20"/>
          </w:rPr>
          <w:t xml:space="preserve"> </w:t>
        </w:r>
        <w:r w:rsidR="00612910" w:rsidRPr="00BF7618">
          <w:rPr>
            <w:rFonts w:ascii="Sylfaen" w:hAnsi="Sylfaen"/>
            <w:noProof/>
            <w:sz w:val="20"/>
            <w:szCs w:val="20"/>
          </w:rPr>
          <w:t>J. W. E. Chaplin</w:t>
        </w:r>
        <w:r w:rsidRPr="00BF7618">
          <w:rPr>
            <w:rFonts w:ascii="Sylfaen" w:hAnsi="Sylfaen"/>
            <w:noProof/>
            <w:sz w:val="20"/>
            <w:szCs w:val="20"/>
          </w:rPr>
          <w:tab/>
        </w:r>
        <w:r w:rsidRPr="00BF7618">
          <w:rPr>
            <w:rFonts w:ascii="Sylfaen" w:hAnsi="Sylfaen"/>
            <w:noProof/>
            <w:sz w:val="20"/>
            <w:szCs w:val="20"/>
          </w:rPr>
          <w:tab/>
          <w:t>Essex Student Journal, 201</w:t>
        </w:r>
        <w:r w:rsidR="00435CD4" w:rsidRPr="00BF7618">
          <w:rPr>
            <w:rFonts w:ascii="Sylfaen" w:hAnsi="Sylfaen"/>
            <w:noProof/>
            <w:sz w:val="20"/>
            <w:szCs w:val="20"/>
          </w:rPr>
          <w:t>9</w:t>
        </w:r>
        <w:r w:rsidRPr="00BF7618">
          <w:rPr>
            <w:rFonts w:ascii="Sylfaen" w:hAnsi="Sylfaen"/>
            <w:noProof/>
            <w:sz w:val="20"/>
            <w:szCs w:val="20"/>
          </w:rPr>
          <w:t>, Vol</w:t>
        </w:r>
        <w:r w:rsidR="00D4284D" w:rsidRPr="00BF7618">
          <w:rPr>
            <w:rFonts w:ascii="Sylfaen" w:hAnsi="Sylfaen"/>
            <w:noProof/>
            <w:sz w:val="20"/>
            <w:szCs w:val="20"/>
          </w:rPr>
          <w:t xml:space="preserve"> </w:t>
        </w:r>
        <w:r w:rsidR="00435CD4" w:rsidRPr="00BF7618">
          <w:rPr>
            <w:rFonts w:ascii="Sylfaen" w:hAnsi="Sylfaen"/>
            <w:noProof/>
            <w:sz w:val="20"/>
            <w:szCs w:val="20"/>
          </w:rPr>
          <w:t>10</w:t>
        </w:r>
        <w:r w:rsidRPr="00BF7618">
          <w:rPr>
            <w:rFonts w:ascii="Sylfaen" w:hAnsi="Sylfaen"/>
            <w:noProof/>
            <w:sz w:val="20"/>
            <w:szCs w:val="20"/>
          </w:rPr>
          <w:t>.</w:t>
        </w:r>
      </w:p>
    </w:sdtContent>
  </w:sdt>
  <w:p w14:paraId="6519B2B9" w14:textId="7C41CC50" w:rsidR="001E5540" w:rsidRPr="00BF7618" w:rsidRDefault="00BE6334">
    <w:pPr>
      <w:pStyle w:val="Footer"/>
      <w:rPr>
        <w:rFonts w:ascii="Sylfaen" w:hAnsi="Sylfaen"/>
        <w:sz w:val="20"/>
        <w:szCs w:val="20"/>
      </w:rPr>
    </w:pPr>
    <w:r w:rsidRPr="00BF7618">
      <w:rPr>
        <w:rFonts w:ascii="Sylfaen" w:hAnsi="Sylfaen"/>
        <w:sz w:val="20"/>
        <w:szCs w:val="20"/>
      </w:rPr>
      <w:t xml:space="preserve">DOI: </w:t>
    </w:r>
    <w:hyperlink r:id="rId1" w:history="1">
      <w:r w:rsidR="00612910" w:rsidRPr="00BF7618">
        <w:rPr>
          <w:rStyle w:val="Hyperlink"/>
          <w:rFonts w:ascii="Sylfaen" w:hAnsi="Sylfaen"/>
          <w:sz w:val="20"/>
          <w:szCs w:val="20"/>
        </w:rPr>
        <w:t>https://doi.org/10.5526/esj12</w:t>
      </w:r>
    </w:hyperlink>
    <w:r w:rsidR="00612910" w:rsidRPr="00BF7618">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546C2" w14:textId="77777777" w:rsidR="001838C9" w:rsidRDefault="001838C9" w:rsidP="002B247D">
      <w:pPr>
        <w:spacing w:after="0" w:line="240" w:lineRule="auto"/>
      </w:pPr>
      <w:r>
        <w:separator/>
      </w:r>
    </w:p>
  </w:footnote>
  <w:footnote w:type="continuationSeparator" w:id="0">
    <w:p w14:paraId="452D66C8" w14:textId="77777777" w:rsidR="001838C9" w:rsidRDefault="001838C9" w:rsidP="002B247D">
      <w:pPr>
        <w:spacing w:after="0" w:line="240" w:lineRule="auto"/>
      </w:pPr>
      <w:r>
        <w:continuationSeparator/>
      </w:r>
    </w:p>
  </w:footnote>
  <w:footnote w:id="1">
    <w:p w14:paraId="2C56ACF5" w14:textId="77777777" w:rsidR="00F967D4" w:rsidRDefault="00F967D4" w:rsidP="00F967D4">
      <w:pPr>
        <w:pStyle w:val="FootnoteText"/>
        <w:jc w:val="both"/>
        <w:rPr>
          <w:rFonts w:ascii="Sylfaen" w:eastAsia="MS Mincho" w:hAnsi="Sylfaen"/>
          <w:sz w:val="20"/>
          <w:szCs w:val="20"/>
        </w:rPr>
      </w:pPr>
      <w:r>
        <w:rPr>
          <w:rStyle w:val="FootnoteReference"/>
          <w:rFonts w:ascii="Sylfaen" w:hAnsi="Sylfaen"/>
          <w:sz w:val="20"/>
          <w:szCs w:val="20"/>
        </w:rPr>
        <w:footnoteRef/>
      </w:r>
      <w:r>
        <w:rPr>
          <w:rFonts w:ascii="Sylfaen" w:hAnsi="Sylfaen"/>
          <w:sz w:val="20"/>
          <w:szCs w:val="20"/>
        </w:rPr>
        <w:t xml:space="preserve"> Thomas and Macfarlane were actually only referring to witchcraft in </w:t>
      </w:r>
      <w:proofErr w:type="gramStart"/>
      <w:r>
        <w:rPr>
          <w:rFonts w:ascii="Sylfaen" w:hAnsi="Sylfaen"/>
          <w:sz w:val="20"/>
          <w:szCs w:val="20"/>
        </w:rPr>
        <w:t>England,</w:t>
      </w:r>
      <w:proofErr w:type="gramEnd"/>
      <w:r>
        <w:rPr>
          <w:rFonts w:ascii="Sylfaen" w:hAnsi="Sylfaen"/>
          <w:sz w:val="20"/>
          <w:szCs w:val="20"/>
        </w:rPr>
        <w:t xml:space="preserve"> and, the latter based his research overwhelmingly on cases just from Essex. Nonetheless, their witch stereotype has made a lasting impression on researchers.</w:t>
      </w:r>
    </w:p>
  </w:footnote>
  <w:footnote w:id="2">
    <w:p w14:paraId="1435EBF4" w14:textId="77777777" w:rsidR="00F967D4" w:rsidRDefault="00F967D4" w:rsidP="00F967D4">
      <w:pPr>
        <w:pStyle w:val="FootnoteText"/>
        <w:jc w:val="both"/>
        <w:rPr>
          <w:rFonts w:ascii="Sylfaen" w:hAnsi="Sylfaen"/>
          <w:sz w:val="20"/>
          <w:szCs w:val="20"/>
        </w:rPr>
      </w:pPr>
      <w:r>
        <w:rPr>
          <w:rStyle w:val="FootnoteReference"/>
          <w:rFonts w:ascii="Sylfaen" w:hAnsi="Sylfaen"/>
          <w:sz w:val="20"/>
          <w:szCs w:val="20"/>
        </w:rPr>
        <w:footnoteRef/>
      </w:r>
      <w:r>
        <w:rPr>
          <w:rFonts w:ascii="Sylfaen" w:hAnsi="Sylfaen"/>
          <w:sz w:val="20"/>
          <w:szCs w:val="20"/>
        </w:rPr>
        <w:t xml:space="preserve"> For example, in one chapter, which claims to outline how ‘devils through witches’ seduced the innocent, Kramer pointed to evidence that exclusively depicted women as the perpetrators of dark magic.</w:t>
      </w:r>
    </w:p>
  </w:footnote>
  <w:footnote w:id="3">
    <w:p w14:paraId="73A9A4E9" w14:textId="77777777" w:rsidR="00F967D4" w:rsidRDefault="00F967D4" w:rsidP="00F967D4">
      <w:pPr>
        <w:pStyle w:val="FootnoteText"/>
        <w:jc w:val="both"/>
        <w:rPr>
          <w:sz w:val="20"/>
          <w:szCs w:val="20"/>
        </w:rPr>
      </w:pPr>
      <w:r>
        <w:rPr>
          <w:rStyle w:val="FootnoteReference"/>
          <w:rFonts w:ascii="Sylfaen" w:hAnsi="Sylfaen"/>
          <w:sz w:val="20"/>
          <w:szCs w:val="20"/>
        </w:rPr>
        <w:footnoteRef/>
      </w:r>
      <w:r>
        <w:rPr>
          <w:rFonts w:ascii="Sylfaen" w:hAnsi="Sylfaen"/>
          <w:sz w:val="20"/>
          <w:szCs w:val="20"/>
        </w:rPr>
        <w:t xml:space="preserve"> Whitney claimed the reason for this is that patriarchy divided women and encouraged them to accuse one another. Holmes took issue with some of the specifics of this interpretation, though he argued that women were generally better placed to make accusations than </w:t>
      </w:r>
      <w:proofErr w:type="gramStart"/>
      <w:r>
        <w:rPr>
          <w:rFonts w:ascii="Sylfaen" w:hAnsi="Sylfaen"/>
          <w:sz w:val="20"/>
          <w:szCs w:val="20"/>
        </w:rPr>
        <w:t>men</w:t>
      </w:r>
      <w:proofErr w:type="gramEnd"/>
      <w:r>
        <w:rPr>
          <w:rFonts w:ascii="Sylfaen" w:hAnsi="Sylfaen"/>
          <w:sz w:val="20"/>
          <w:szCs w:val="20"/>
        </w:rPr>
        <w:t>.</w:t>
      </w:r>
    </w:p>
  </w:footnote>
  <w:footnote w:id="4">
    <w:p w14:paraId="4E288477" w14:textId="77777777" w:rsidR="00F967D4" w:rsidRDefault="00F967D4" w:rsidP="00F967D4">
      <w:pPr>
        <w:pStyle w:val="FootnoteText"/>
        <w:jc w:val="both"/>
        <w:rPr>
          <w:rFonts w:ascii="Sylfaen" w:hAnsi="Sylfaen"/>
          <w:sz w:val="20"/>
          <w:szCs w:val="20"/>
        </w:rPr>
      </w:pPr>
      <w:r>
        <w:rPr>
          <w:rStyle w:val="FootnoteReference"/>
          <w:rFonts w:ascii="Sylfaen" w:hAnsi="Sylfaen"/>
          <w:sz w:val="20"/>
          <w:szCs w:val="20"/>
        </w:rPr>
        <w:footnoteRef/>
      </w:r>
      <w:r>
        <w:rPr>
          <w:rFonts w:ascii="Sylfaen" w:hAnsi="Sylfaen"/>
          <w:sz w:val="20"/>
          <w:szCs w:val="20"/>
        </w:rPr>
        <w:t xml:space="preserve"> For the entire Holy Roman Empire, </w:t>
      </w:r>
      <w:proofErr w:type="gramStart"/>
      <w:r>
        <w:rPr>
          <w:rFonts w:ascii="Sylfaen" w:hAnsi="Sylfaen"/>
          <w:sz w:val="20"/>
          <w:szCs w:val="20"/>
        </w:rPr>
        <w:t>the figure was 76%, whilst in what is modern day Germany specifically</w:t>
      </w:r>
      <w:proofErr w:type="gramEnd"/>
      <w:r>
        <w:rPr>
          <w:rFonts w:ascii="Sylfaen" w:hAnsi="Sylfaen"/>
          <w:sz w:val="20"/>
          <w:szCs w:val="20"/>
        </w:rPr>
        <w:t xml:space="preserve">, </w:t>
      </w:r>
      <w:proofErr w:type="gramStart"/>
      <w:r>
        <w:rPr>
          <w:rFonts w:ascii="Sylfaen" w:hAnsi="Sylfaen"/>
          <w:sz w:val="20"/>
          <w:szCs w:val="20"/>
        </w:rPr>
        <w:t>it was approximately 80%</w:t>
      </w:r>
      <w:proofErr w:type="gramEnd"/>
      <w:r>
        <w:rPr>
          <w:rFonts w:ascii="Sylfaen" w:hAnsi="Sylfaen"/>
          <w:sz w:val="20"/>
          <w:szCs w:val="20"/>
        </w:rPr>
        <w:t>. Women comprised 96% of the total in Poland, 90% in Hungary, 86% in Scotland, 76% in Geneva, around 75% in Norway, 75% in Sweden, 75% in Denmark, 75% in Hungary, 75% in Croatia, 75% in Siena, 71% in Castile, and 69% in Venice.</w:t>
      </w:r>
    </w:p>
  </w:footnote>
  <w:footnote w:id="5">
    <w:p w14:paraId="036EB2F5" w14:textId="77777777" w:rsidR="00F967D4" w:rsidRDefault="00F967D4" w:rsidP="00F967D4">
      <w:pPr>
        <w:pStyle w:val="FootnoteText"/>
        <w:jc w:val="both"/>
        <w:rPr>
          <w:sz w:val="20"/>
          <w:szCs w:val="20"/>
        </w:rPr>
      </w:pPr>
      <w:r>
        <w:rPr>
          <w:rStyle w:val="FootnoteReference"/>
          <w:rFonts w:ascii="Sylfaen" w:hAnsi="Sylfaen"/>
          <w:sz w:val="20"/>
          <w:szCs w:val="20"/>
        </w:rPr>
        <w:footnoteRef/>
      </w:r>
      <w:r>
        <w:rPr>
          <w:rFonts w:ascii="Sylfaen" w:hAnsi="Sylfaen"/>
          <w:sz w:val="20"/>
          <w:szCs w:val="20"/>
        </w:rPr>
        <w:t xml:space="preserve"> In popular </w:t>
      </w:r>
      <w:proofErr w:type="gramStart"/>
      <w:r>
        <w:rPr>
          <w:rFonts w:ascii="Sylfaen" w:hAnsi="Sylfaen"/>
          <w:sz w:val="20"/>
          <w:szCs w:val="20"/>
        </w:rPr>
        <w:t>culture</w:t>
      </w:r>
      <w:proofErr w:type="gramEnd"/>
      <w:r>
        <w:rPr>
          <w:rFonts w:ascii="Sylfaen" w:hAnsi="Sylfaen"/>
          <w:sz w:val="20"/>
          <w:szCs w:val="20"/>
        </w:rPr>
        <w:t xml:space="preserve"> the Witches Sabbath was imagined as an assembly – attended by the devil himself – of those who practiced </w:t>
      </w:r>
      <w:proofErr w:type="spellStart"/>
      <w:r>
        <w:rPr>
          <w:rFonts w:ascii="Sylfaen" w:hAnsi="Sylfaen"/>
          <w:sz w:val="20"/>
          <w:szCs w:val="20"/>
        </w:rPr>
        <w:t>maleficium</w:t>
      </w:r>
      <w:proofErr w:type="spellEnd"/>
      <w:r>
        <w:rPr>
          <w:rFonts w:ascii="Sylfaen" w:hAnsi="Sylfaen"/>
          <w:sz w:val="20"/>
          <w:szCs w:val="20"/>
        </w:rPr>
        <w:t xml:space="preserve">. Often depicted as the antithesis of the Godly church service, it also saw witches flying, feasting and, most alarmingly, fornicating with Satan. Contemporary artists such as Hans </w:t>
      </w:r>
      <w:proofErr w:type="spellStart"/>
      <w:r>
        <w:rPr>
          <w:rFonts w:ascii="Sylfaen" w:hAnsi="Sylfaen"/>
          <w:sz w:val="20"/>
          <w:szCs w:val="20"/>
        </w:rPr>
        <w:t>Baldung</w:t>
      </w:r>
      <w:proofErr w:type="spellEnd"/>
      <w:r>
        <w:rPr>
          <w:rFonts w:ascii="Sylfaen" w:hAnsi="Sylfaen"/>
          <w:sz w:val="20"/>
          <w:szCs w:val="20"/>
        </w:rPr>
        <w:t xml:space="preserve">, Francesco Maria </w:t>
      </w:r>
      <w:proofErr w:type="spellStart"/>
      <w:r>
        <w:rPr>
          <w:rFonts w:ascii="Sylfaen" w:hAnsi="Sylfaen"/>
          <w:sz w:val="20"/>
          <w:szCs w:val="20"/>
        </w:rPr>
        <w:t>Guazzo</w:t>
      </w:r>
      <w:proofErr w:type="spellEnd"/>
      <w:r>
        <w:rPr>
          <w:rFonts w:ascii="Sylfaen" w:hAnsi="Sylfaen"/>
          <w:sz w:val="20"/>
          <w:szCs w:val="20"/>
        </w:rPr>
        <w:t xml:space="preserve">, and </w:t>
      </w:r>
      <w:proofErr w:type="spellStart"/>
      <w:r>
        <w:rPr>
          <w:rFonts w:ascii="Sylfaen" w:hAnsi="Sylfaen"/>
          <w:sz w:val="20"/>
          <w:szCs w:val="20"/>
        </w:rPr>
        <w:t>Frans</w:t>
      </w:r>
      <w:proofErr w:type="spellEnd"/>
      <w:r>
        <w:rPr>
          <w:rFonts w:ascii="Sylfaen" w:hAnsi="Sylfaen"/>
          <w:sz w:val="20"/>
          <w:szCs w:val="20"/>
        </w:rPr>
        <w:t xml:space="preserve"> </w:t>
      </w:r>
      <w:proofErr w:type="spellStart"/>
      <w:r>
        <w:rPr>
          <w:rFonts w:ascii="Sylfaen" w:hAnsi="Sylfaen"/>
          <w:sz w:val="20"/>
          <w:szCs w:val="20"/>
        </w:rPr>
        <w:t>Francken</w:t>
      </w:r>
      <w:proofErr w:type="spellEnd"/>
      <w:r>
        <w:rPr>
          <w:rFonts w:ascii="Sylfaen" w:hAnsi="Sylfaen"/>
          <w:sz w:val="20"/>
          <w:szCs w:val="20"/>
        </w:rPr>
        <w:t xml:space="preserve"> all produced vivid portrayals of this phenomenon.</w:t>
      </w:r>
      <w:r>
        <w:rPr>
          <w:sz w:val="20"/>
          <w:szCs w:val="20"/>
        </w:rPr>
        <w:t xml:space="preserve"> </w:t>
      </w:r>
    </w:p>
  </w:footnote>
  <w:footnote w:id="6">
    <w:p w14:paraId="48D41FCB" w14:textId="77777777" w:rsidR="00F967D4" w:rsidRDefault="00F967D4" w:rsidP="00F967D4">
      <w:pPr>
        <w:pStyle w:val="FootnoteText"/>
        <w:jc w:val="both"/>
        <w:rPr>
          <w:rFonts w:ascii="Sylfaen" w:hAnsi="Sylfaen"/>
          <w:sz w:val="20"/>
          <w:szCs w:val="20"/>
        </w:rPr>
      </w:pPr>
      <w:r>
        <w:rPr>
          <w:rStyle w:val="FootnoteReference"/>
          <w:rFonts w:ascii="Sylfaen" w:hAnsi="Sylfaen"/>
          <w:sz w:val="20"/>
          <w:szCs w:val="20"/>
        </w:rPr>
        <w:footnoteRef/>
      </w:r>
      <w:r>
        <w:rPr>
          <w:rFonts w:ascii="Sylfaen" w:hAnsi="Sylfaen"/>
          <w:sz w:val="20"/>
          <w:szCs w:val="20"/>
        </w:rPr>
        <w:t xml:space="preserve"> The author of this account, MP Reginald Scot (</w:t>
      </w:r>
      <w:r>
        <w:rPr>
          <w:rFonts w:ascii="Sylfaen" w:hAnsi="Sylfaen"/>
          <w:i/>
          <w:sz w:val="20"/>
          <w:szCs w:val="20"/>
        </w:rPr>
        <w:t>c.</w:t>
      </w:r>
      <w:r>
        <w:rPr>
          <w:rFonts w:ascii="Sylfaen" w:hAnsi="Sylfaen"/>
          <w:sz w:val="20"/>
          <w:szCs w:val="20"/>
        </w:rPr>
        <w:t xml:space="preserve">1538-1599), was an important and vocal critic of witch-trials. </w:t>
      </w:r>
    </w:p>
  </w:footnote>
  <w:footnote w:id="7">
    <w:p w14:paraId="0CD490D5" w14:textId="77777777" w:rsidR="00F967D4" w:rsidRDefault="00F967D4" w:rsidP="00F967D4">
      <w:pPr>
        <w:pStyle w:val="FootnoteText"/>
        <w:jc w:val="both"/>
        <w:rPr>
          <w:sz w:val="20"/>
          <w:szCs w:val="20"/>
        </w:rPr>
      </w:pPr>
      <w:r>
        <w:rPr>
          <w:rStyle w:val="FootnoteReference"/>
          <w:rFonts w:ascii="Sylfaen" w:hAnsi="Sylfaen"/>
          <w:sz w:val="20"/>
          <w:szCs w:val="20"/>
        </w:rPr>
        <w:footnoteRef/>
      </w:r>
      <w:r>
        <w:rPr>
          <w:rFonts w:ascii="Sylfaen" w:hAnsi="Sylfaen"/>
          <w:sz w:val="20"/>
          <w:szCs w:val="20"/>
        </w:rPr>
        <w:t xml:space="preserve"> It was widely believed by early modern Europeans that the body was a producer and receptacle of four basic fluids, or humors: blood, yellow bile, black bile, and phlegm. Each, it </w:t>
      </w:r>
      <w:proofErr w:type="gramStart"/>
      <w:r>
        <w:rPr>
          <w:rFonts w:ascii="Sylfaen" w:hAnsi="Sylfaen"/>
          <w:sz w:val="20"/>
          <w:szCs w:val="20"/>
        </w:rPr>
        <w:t>was believed</w:t>
      </w:r>
      <w:proofErr w:type="gramEnd"/>
      <w:r>
        <w:rPr>
          <w:rFonts w:ascii="Sylfaen" w:hAnsi="Sylfaen"/>
          <w:sz w:val="20"/>
          <w:szCs w:val="20"/>
        </w:rPr>
        <w:t xml:space="preserve">, remained in perpetual flux throughout one’s life and had different properties relating to heat or moisture. The balance of the </w:t>
      </w:r>
      <w:proofErr w:type="spellStart"/>
      <w:r>
        <w:rPr>
          <w:rFonts w:ascii="Sylfaen" w:hAnsi="Sylfaen"/>
          <w:sz w:val="20"/>
          <w:szCs w:val="20"/>
        </w:rPr>
        <w:t>humours</w:t>
      </w:r>
      <w:proofErr w:type="spellEnd"/>
      <w:r>
        <w:rPr>
          <w:rFonts w:ascii="Sylfaen" w:hAnsi="Sylfaen"/>
          <w:sz w:val="20"/>
          <w:szCs w:val="20"/>
        </w:rPr>
        <w:t xml:space="preserve"> and the heat and moisture they provided was supposedly a major determinant of general health, but also of certain personality traits, behaviors, and even of biological sex.</w:t>
      </w:r>
      <w:r>
        <w:rPr>
          <w:sz w:val="20"/>
          <w:szCs w:val="20"/>
        </w:rPr>
        <w:t xml:space="preserve"> </w:t>
      </w:r>
    </w:p>
  </w:footnote>
  <w:footnote w:id="8">
    <w:p w14:paraId="51C4E5F0" w14:textId="77777777" w:rsidR="00F967D4" w:rsidRDefault="00F967D4" w:rsidP="00F967D4">
      <w:pPr>
        <w:pStyle w:val="FootnoteText"/>
        <w:jc w:val="both"/>
        <w:rPr>
          <w:rFonts w:ascii="Sylfaen" w:hAnsi="Sylfaen"/>
          <w:sz w:val="20"/>
          <w:szCs w:val="20"/>
        </w:rPr>
      </w:pPr>
      <w:r>
        <w:rPr>
          <w:rStyle w:val="FootnoteReference"/>
          <w:rFonts w:ascii="Sylfaen" w:hAnsi="Sylfaen"/>
          <w:sz w:val="20"/>
          <w:szCs w:val="20"/>
        </w:rPr>
        <w:footnoteRef/>
      </w:r>
      <w:r>
        <w:rPr>
          <w:rFonts w:ascii="Sylfaen" w:hAnsi="Sylfaen"/>
          <w:sz w:val="20"/>
          <w:szCs w:val="20"/>
        </w:rPr>
        <w:t xml:space="preserve"> To be precise, </w:t>
      </w:r>
      <w:proofErr w:type="spellStart"/>
      <w:r>
        <w:rPr>
          <w:rFonts w:ascii="Sylfaen" w:hAnsi="Sylfaen"/>
          <w:sz w:val="20"/>
          <w:szCs w:val="20"/>
        </w:rPr>
        <w:t>Levack</w:t>
      </w:r>
      <w:proofErr w:type="spellEnd"/>
      <w:r>
        <w:rPr>
          <w:rFonts w:ascii="Sylfaen" w:hAnsi="Sylfaen"/>
          <w:sz w:val="20"/>
          <w:szCs w:val="20"/>
        </w:rPr>
        <w:t xml:space="preserve"> showed that 45% of those in Württemberg, 44% of those in Saarland, and 41% of those in </w:t>
      </w:r>
      <w:proofErr w:type="spellStart"/>
      <w:r>
        <w:rPr>
          <w:rFonts w:ascii="Sylfaen" w:hAnsi="Sylfaen"/>
          <w:sz w:val="20"/>
          <w:szCs w:val="20"/>
        </w:rPr>
        <w:t>Würzburg</w:t>
      </w:r>
      <w:proofErr w:type="spellEnd"/>
      <w:r>
        <w:rPr>
          <w:rFonts w:ascii="Sylfaen" w:hAnsi="Sylfaen"/>
          <w:sz w:val="20"/>
          <w:szCs w:val="20"/>
        </w:rPr>
        <w:t xml:space="preserve"> were under fifty, while under 50s constitute 60% of those accused in </w:t>
      </w:r>
      <w:proofErr w:type="spellStart"/>
      <w:r>
        <w:rPr>
          <w:rFonts w:ascii="Sylfaen" w:hAnsi="Sylfaen"/>
          <w:sz w:val="20"/>
          <w:szCs w:val="20"/>
        </w:rPr>
        <w:t>Rothenburg</w:t>
      </w:r>
      <w:proofErr w:type="spellEnd"/>
      <w:r>
        <w:rPr>
          <w:rFonts w:ascii="Sylfaen" w:hAnsi="Sylfaen"/>
          <w:sz w:val="20"/>
          <w:szCs w:val="20"/>
        </w:rPr>
        <w:t>.</w:t>
      </w:r>
    </w:p>
  </w:footnote>
  <w:footnote w:id="9">
    <w:p w14:paraId="09B608A0" w14:textId="77777777" w:rsidR="00F967D4" w:rsidRDefault="00F967D4" w:rsidP="00F967D4">
      <w:pPr>
        <w:pStyle w:val="FootnoteText"/>
        <w:jc w:val="both"/>
        <w:rPr>
          <w:rFonts w:ascii="Sylfaen" w:hAnsi="Sylfaen"/>
          <w:sz w:val="20"/>
          <w:szCs w:val="20"/>
        </w:rPr>
      </w:pPr>
      <w:r>
        <w:rPr>
          <w:rStyle w:val="FootnoteReference"/>
          <w:rFonts w:ascii="Sylfaen" w:hAnsi="Sylfaen"/>
          <w:sz w:val="20"/>
          <w:szCs w:val="20"/>
        </w:rPr>
        <w:footnoteRef/>
      </w:r>
      <w:r>
        <w:rPr>
          <w:rFonts w:ascii="Sylfaen" w:hAnsi="Sylfaen"/>
          <w:sz w:val="20"/>
          <w:szCs w:val="20"/>
        </w:rPr>
        <w:t xml:space="preserve"> Contemporaries believed that incubi, supernatural demons employed in service of the devil, tempted women into performing illicit sexual acts with them.</w:t>
      </w:r>
    </w:p>
  </w:footnote>
  <w:footnote w:id="10">
    <w:p w14:paraId="27758CD6" w14:textId="77777777" w:rsidR="00F967D4" w:rsidRDefault="00F967D4" w:rsidP="00F967D4">
      <w:pPr>
        <w:pStyle w:val="FootnoteText"/>
        <w:jc w:val="both"/>
        <w:rPr>
          <w:sz w:val="20"/>
          <w:szCs w:val="20"/>
        </w:rPr>
      </w:pPr>
      <w:r>
        <w:rPr>
          <w:rStyle w:val="FootnoteReference"/>
          <w:rFonts w:ascii="Sylfaen" w:hAnsi="Sylfaen"/>
          <w:sz w:val="20"/>
          <w:szCs w:val="20"/>
        </w:rPr>
        <w:footnoteRef/>
      </w:r>
      <w:r>
        <w:rPr>
          <w:rFonts w:ascii="Sylfaen" w:hAnsi="Sylfaen"/>
          <w:sz w:val="20"/>
          <w:szCs w:val="20"/>
        </w:rPr>
        <w:t xml:space="preserve"> The so-called devil’s mark was usually a blemish left on an individual’s body – perhaps a mole or birthmark – that denoted the formal consummation of their relationship with Satan. Crucially, the relationship itself was one of servitude, whereby the bearer had agreed to do the devil’s bidding on earth.</w:t>
      </w:r>
      <w:r>
        <w:rPr>
          <w:sz w:val="20"/>
          <w:szCs w:val="20"/>
        </w:rPr>
        <w:t xml:space="preserve">  </w:t>
      </w:r>
    </w:p>
  </w:footnote>
  <w:footnote w:id="11">
    <w:p w14:paraId="63A8B5BF" w14:textId="77777777" w:rsidR="00F967D4" w:rsidRDefault="00F967D4" w:rsidP="00F967D4">
      <w:pPr>
        <w:pStyle w:val="FootnoteText"/>
        <w:jc w:val="both"/>
        <w:rPr>
          <w:rFonts w:ascii="Sylfaen" w:hAnsi="Sylfaen"/>
          <w:sz w:val="20"/>
          <w:szCs w:val="20"/>
        </w:rPr>
      </w:pPr>
      <w:r>
        <w:rPr>
          <w:rStyle w:val="FootnoteReference"/>
          <w:rFonts w:ascii="Sylfaen" w:hAnsi="Sylfaen"/>
          <w:sz w:val="20"/>
          <w:szCs w:val="20"/>
        </w:rPr>
        <w:footnoteRef/>
      </w:r>
      <w:r>
        <w:rPr>
          <w:rFonts w:ascii="Sylfaen" w:hAnsi="Sylfaen"/>
          <w:sz w:val="20"/>
          <w:szCs w:val="20"/>
        </w:rPr>
        <w:t xml:space="preserve"> Rowlands insisted (particularly in relation to the Imperial city of </w:t>
      </w:r>
      <w:proofErr w:type="spellStart"/>
      <w:r>
        <w:rPr>
          <w:rFonts w:ascii="Sylfaen" w:hAnsi="Sylfaen"/>
          <w:sz w:val="20"/>
          <w:szCs w:val="20"/>
        </w:rPr>
        <w:t>Rothenburg</w:t>
      </w:r>
      <w:proofErr w:type="spellEnd"/>
      <w:r>
        <w:rPr>
          <w:rFonts w:ascii="Sylfaen" w:hAnsi="Sylfaen"/>
          <w:sz w:val="20"/>
          <w:szCs w:val="20"/>
        </w:rPr>
        <w:t xml:space="preserve"> </w:t>
      </w:r>
      <w:proofErr w:type="spellStart"/>
      <w:r>
        <w:rPr>
          <w:rFonts w:ascii="Sylfaen" w:hAnsi="Sylfaen"/>
          <w:sz w:val="20"/>
          <w:szCs w:val="20"/>
        </w:rPr>
        <w:t>ob</w:t>
      </w:r>
      <w:proofErr w:type="spellEnd"/>
      <w:r>
        <w:rPr>
          <w:rFonts w:ascii="Sylfaen" w:hAnsi="Sylfaen"/>
          <w:sz w:val="20"/>
          <w:szCs w:val="20"/>
        </w:rPr>
        <w:t xml:space="preserve"> der Tauber) that many elderly witches must have first aroused suspicion long before they were charged, though she admitted that we cannot truly know how many fall into this category, since only patchy records remain. Similarly, </w:t>
      </w:r>
      <w:proofErr w:type="spellStart"/>
      <w:r>
        <w:rPr>
          <w:rFonts w:ascii="Sylfaen" w:hAnsi="Sylfaen"/>
          <w:sz w:val="20"/>
          <w:szCs w:val="20"/>
        </w:rPr>
        <w:t>Kallestrup</w:t>
      </w:r>
      <w:proofErr w:type="spellEnd"/>
      <w:r>
        <w:rPr>
          <w:rFonts w:ascii="Sylfaen" w:hAnsi="Sylfaen"/>
          <w:sz w:val="20"/>
          <w:szCs w:val="20"/>
        </w:rPr>
        <w:t xml:space="preserve"> found that many of those accused in parts of Italy and Denmark </w:t>
      </w:r>
      <w:proofErr w:type="gramStart"/>
      <w:r>
        <w:rPr>
          <w:rFonts w:ascii="Sylfaen" w:hAnsi="Sylfaen"/>
          <w:sz w:val="20"/>
          <w:szCs w:val="20"/>
        </w:rPr>
        <w:t>were only tried</w:t>
      </w:r>
      <w:proofErr w:type="gramEnd"/>
      <w:r>
        <w:rPr>
          <w:rFonts w:ascii="Sylfaen" w:hAnsi="Sylfaen"/>
          <w:sz w:val="20"/>
          <w:szCs w:val="20"/>
        </w:rPr>
        <w:t xml:space="preserve"> after they had developed a reputation for practicing magic over a number of years. She points to one example of a suspected witch whose reputation had stood for forty years before she came to court. </w:t>
      </w:r>
    </w:p>
  </w:footnote>
  <w:footnote w:id="12">
    <w:p w14:paraId="5A514F94" w14:textId="77777777" w:rsidR="00F967D4" w:rsidRDefault="00F967D4" w:rsidP="00F967D4">
      <w:pPr>
        <w:pStyle w:val="FootnoteText"/>
        <w:jc w:val="both"/>
        <w:rPr>
          <w:rFonts w:ascii="Sylfaen" w:hAnsi="Sylfaen"/>
          <w:sz w:val="20"/>
          <w:szCs w:val="20"/>
        </w:rPr>
      </w:pPr>
      <w:r>
        <w:rPr>
          <w:rStyle w:val="FootnoteReference"/>
          <w:rFonts w:ascii="Sylfaen" w:hAnsi="Sylfaen"/>
          <w:sz w:val="20"/>
          <w:szCs w:val="20"/>
        </w:rPr>
        <w:footnoteRef/>
      </w:r>
      <w:r>
        <w:rPr>
          <w:rFonts w:ascii="Sylfaen" w:hAnsi="Sylfaen"/>
          <w:sz w:val="20"/>
          <w:szCs w:val="20"/>
        </w:rPr>
        <w:t xml:space="preserve"> While marriage in early modern Europe was, according to </w:t>
      </w:r>
      <w:proofErr w:type="spellStart"/>
      <w:r>
        <w:rPr>
          <w:rFonts w:ascii="Sylfaen" w:hAnsi="Sylfaen"/>
          <w:sz w:val="20"/>
          <w:szCs w:val="20"/>
        </w:rPr>
        <w:t>Wrightson</w:t>
      </w:r>
      <w:proofErr w:type="spellEnd"/>
      <w:r>
        <w:rPr>
          <w:rFonts w:ascii="Sylfaen" w:hAnsi="Sylfaen"/>
          <w:sz w:val="20"/>
          <w:szCs w:val="20"/>
        </w:rPr>
        <w:t xml:space="preserve">, principally an economic partnership, men typically earned far more than </w:t>
      </w:r>
      <w:proofErr w:type="gramStart"/>
      <w:r>
        <w:rPr>
          <w:rFonts w:ascii="Sylfaen" w:hAnsi="Sylfaen"/>
          <w:sz w:val="20"/>
          <w:szCs w:val="20"/>
        </w:rPr>
        <w:t>women</w:t>
      </w:r>
      <w:proofErr w:type="gramEnd"/>
      <w:r>
        <w:rPr>
          <w:rFonts w:ascii="Sylfaen" w:hAnsi="Sylfaen"/>
          <w:sz w:val="20"/>
          <w:szCs w:val="20"/>
        </w:rPr>
        <w:t xml:space="preserve">. As </w:t>
      </w:r>
      <w:proofErr w:type="spellStart"/>
      <w:r>
        <w:rPr>
          <w:rFonts w:ascii="Sylfaen" w:hAnsi="Sylfaen"/>
          <w:sz w:val="20"/>
          <w:szCs w:val="20"/>
        </w:rPr>
        <w:t>Gowing</w:t>
      </w:r>
      <w:proofErr w:type="spellEnd"/>
      <w:r>
        <w:rPr>
          <w:rFonts w:ascii="Sylfaen" w:hAnsi="Sylfaen"/>
          <w:sz w:val="20"/>
          <w:szCs w:val="20"/>
        </w:rPr>
        <w:t xml:space="preserve"> explained, there was never any expectation that a woman would be able to support a household on her own earnings.</w:t>
      </w:r>
    </w:p>
  </w:footnote>
  <w:footnote w:id="13">
    <w:p w14:paraId="7C66CFE2" w14:textId="77777777" w:rsidR="00F967D4" w:rsidRDefault="00F967D4" w:rsidP="00F967D4">
      <w:pPr>
        <w:pStyle w:val="FootnoteText"/>
        <w:jc w:val="both"/>
        <w:rPr>
          <w:sz w:val="20"/>
          <w:szCs w:val="20"/>
        </w:rPr>
      </w:pPr>
      <w:r>
        <w:rPr>
          <w:rStyle w:val="FootnoteReference"/>
          <w:rFonts w:ascii="Sylfaen" w:hAnsi="Sylfaen"/>
          <w:sz w:val="20"/>
          <w:szCs w:val="20"/>
        </w:rPr>
        <w:footnoteRef/>
      </w:r>
      <w:r>
        <w:rPr>
          <w:rFonts w:ascii="Sylfaen" w:hAnsi="Sylfaen"/>
          <w:sz w:val="20"/>
          <w:szCs w:val="20"/>
        </w:rPr>
        <w:t xml:space="preserve"> </w:t>
      </w:r>
      <w:proofErr w:type="spellStart"/>
      <w:r>
        <w:rPr>
          <w:rFonts w:ascii="Sylfaen" w:hAnsi="Sylfaen"/>
          <w:sz w:val="20"/>
          <w:szCs w:val="20"/>
        </w:rPr>
        <w:t>Gaskill</w:t>
      </w:r>
      <w:proofErr w:type="spellEnd"/>
      <w:r>
        <w:rPr>
          <w:rFonts w:ascii="Sylfaen" w:hAnsi="Sylfaen"/>
          <w:sz w:val="20"/>
          <w:szCs w:val="20"/>
        </w:rPr>
        <w:t xml:space="preserve"> noted that Cason had inherited a large sum of money shortly before she was accused.</w:t>
      </w:r>
    </w:p>
  </w:footnote>
  <w:footnote w:id="14">
    <w:p w14:paraId="0F41F941" w14:textId="77777777" w:rsidR="00F967D4" w:rsidRDefault="00F967D4" w:rsidP="00F967D4">
      <w:pPr>
        <w:pStyle w:val="FootnoteText"/>
        <w:jc w:val="both"/>
        <w:rPr>
          <w:rFonts w:ascii="Sylfaen" w:hAnsi="Sylfaen"/>
          <w:sz w:val="20"/>
          <w:szCs w:val="20"/>
        </w:rPr>
      </w:pPr>
      <w:r>
        <w:rPr>
          <w:rStyle w:val="FootnoteReference"/>
          <w:rFonts w:ascii="Sylfaen" w:hAnsi="Sylfaen"/>
          <w:sz w:val="20"/>
          <w:szCs w:val="20"/>
        </w:rPr>
        <w:footnoteRef/>
      </w:r>
      <w:r>
        <w:rPr>
          <w:rFonts w:ascii="Sylfaen" w:hAnsi="Sylfaen"/>
          <w:sz w:val="20"/>
          <w:szCs w:val="20"/>
        </w:rPr>
        <w:t xml:space="preserve"> </w:t>
      </w:r>
      <w:proofErr w:type="spellStart"/>
      <w:r>
        <w:rPr>
          <w:rFonts w:ascii="Sylfaen" w:hAnsi="Sylfaen"/>
          <w:sz w:val="20"/>
          <w:szCs w:val="20"/>
        </w:rPr>
        <w:t>Larner</w:t>
      </w:r>
      <w:proofErr w:type="spellEnd"/>
      <w:r>
        <w:rPr>
          <w:rFonts w:ascii="Sylfaen" w:hAnsi="Sylfaen"/>
          <w:sz w:val="20"/>
          <w:szCs w:val="20"/>
        </w:rPr>
        <w:t xml:space="preserve"> highlights a petition submitted in support of accused Scottish witch Mary Morrison. It claimed that she had been ‘of undoubted good fame and </w:t>
      </w:r>
      <w:proofErr w:type="spellStart"/>
      <w:r>
        <w:rPr>
          <w:rFonts w:ascii="Sylfaen" w:hAnsi="Sylfaen"/>
          <w:sz w:val="20"/>
          <w:szCs w:val="20"/>
        </w:rPr>
        <w:t>reputatione</w:t>
      </w:r>
      <w:proofErr w:type="spellEnd"/>
      <w:r>
        <w:rPr>
          <w:rFonts w:ascii="Sylfaen" w:hAnsi="Sylfaen"/>
          <w:sz w:val="20"/>
          <w:szCs w:val="20"/>
        </w:rPr>
        <w:t xml:space="preserve"> all her life’ and was not ‘tainted with any guilt of </w:t>
      </w:r>
      <w:proofErr w:type="spellStart"/>
      <w:r>
        <w:rPr>
          <w:rFonts w:ascii="Sylfaen" w:hAnsi="Sylfaen"/>
          <w:sz w:val="20"/>
          <w:szCs w:val="20"/>
        </w:rPr>
        <w:t>malifice</w:t>
      </w:r>
      <w:proofErr w:type="spellEnd"/>
      <w:r>
        <w:rPr>
          <w:rFonts w:ascii="Sylfaen" w:hAnsi="Sylfaen"/>
          <w:sz w:val="20"/>
          <w:szCs w:val="20"/>
        </w:rPr>
        <w:t xml:space="preserve"> to her </w:t>
      </w:r>
      <w:proofErr w:type="spellStart"/>
      <w:r>
        <w:rPr>
          <w:rFonts w:ascii="Sylfaen" w:hAnsi="Sylfaen"/>
          <w:sz w:val="20"/>
          <w:szCs w:val="20"/>
        </w:rPr>
        <w:t>neighbours</w:t>
      </w:r>
      <w:proofErr w:type="spellEnd"/>
      <w:r>
        <w:rPr>
          <w:rFonts w:ascii="Sylfaen" w:hAnsi="Sylfaen"/>
          <w:sz w:val="20"/>
          <w:szCs w:val="20"/>
        </w:rPr>
        <w:t xml:space="preserve">’. Similarly, Durrant found few who fit the ‘charity refused’ model in </w:t>
      </w:r>
      <w:proofErr w:type="spellStart"/>
      <w:r>
        <w:rPr>
          <w:rFonts w:ascii="Sylfaen" w:hAnsi="Sylfaen"/>
          <w:sz w:val="20"/>
          <w:szCs w:val="20"/>
        </w:rPr>
        <w:t>Eichstätt</w:t>
      </w:r>
      <w:proofErr w:type="spellEnd"/>
      <w:r>
        <w:rPr>
          <w:rFonts w:ascii="Sylfaen" w:hAnsi="Sylfaen"/>
          <w:sz w:val="20"/>
          <w:szCs w:val="20"/>
        </w:rPr>
        <w:t>. Most, he claimed, were ‘highly integrated into the political and social fabric of the principality and its capital’.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03C1BEC5" w:rsidR="002B247D" w:rsidRPr="00BF7618" w:rsidRDefault="00612910">
    <w:pPr>
      <w:pStyle w:val="Header"/>
      <w:rPr>
        <w:rFonts w:ascii="Sylfaen" w:hAnsi="Sylfaen"/>
      </w:rPr>
    </w:pPr>
    <w:r w:rsidRPr="00BF7618">
      <w:rPr>
        <w:rFonts w:ascii="Sylfaen" w:hAnsi="Sylfaen"/>
      </w:rPr>
      <w:t xml:space="preserve">‘A Wrinkled Face, a </w:t>
    </w:r>
    <w:proofErr w:type="spellStart"/>
    <w:r w:rsidRPr="00BF7618">
      <w:rPr>
        <w:rFonts w:ascii="Sylfaen" w:hAnsi="Sylfaen"/>
      </w:rPr>
      <w:t>Furr’d</w:t>
    </w:r>
    <w:proofErr w:type="spellEnd"/>
    <w:r w:rsidRPr="00BF7618">
      <w:rPr>
        <w:rFonts w:ascii="Sylfaen" w:hAnsi="Sylfaen"/>
      </w:rPr>
      <w:t xml:space="preserve"> Brow, a Hairy Lip [and</w:t>
    </w:r>
    <w:r w:rsidR="00F967D4" w:rsidRPr="00BF7618">
      <w:rPr>
        <w:rFonts w:ascii="Sylfaen" w:hAnsi="Sylfaen"/>
      </w:rPr>
      <w:t xml:space="preserve">] a </w:t>
    </w:r>
    <w:proofErr w:type="spellStart"/>
    <w:r w:rsidR="00F967D4" w:rsidRPr="00BF7618">
      <w:rPr>
        <w:rFonts w:ascii="Sylfaen" w:hAnsi="Sylfaen"/>
      </w:rPr>
      <w:t>Gobber</w:t>
    </w:r>
    <w:proofErr w:type="spellEnd"/>
    <w:r w:rsidR="00F967D4" w:rsidRPr="00BF7618">
      <w:rPr>
        <w:rFonts w:ascii="Sylfaen" w:hAnsi="Sylfaen"/>
      </w:rPr>
      <w:t xml:space="preserve"> Tooth’: Searching for the Victims of the Early Modern European Witch-Hunt, </w:t>
    </w:r>
    <w:r w:rsidR="00F967D4" w:rsidRPr="00BF7618">
      <w:rPr>
        <w:rFonts w:ascii="Sylfaen" w:hAnsi="Sylfaen"/>
        <w:i/>
        <w:iCs/>
      </w:rPr>
      <w:t>c.</w:t>
    </w:r>
    <w:r w:rsidR="00F967D4" w:rsidRPr="00BF7618">
      <w:rPr>
        <w:rFonts w:ascii="Sylfaen" w:hAnsi="Sylfaen"/>
      </w:rPr>
      <w:t>1450-1750.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0A5B"/>
    <w:multiLevelType w:val="hybridMultilevel"/>
    <w:tmpl w:val="5DB0A154"/>
    <w:lvl w:ilvl="0" w:tplc="DE3EABDA">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1C4236B3"/>
    <w:multiLevelType w:val="hybridMultilevel"/>
    <w:tmpl w:val="E31A1434"/>
    <w:lvl w:ilvl="0" w:tplc="5532BA8A">
      <w:start w:val="1"/>
      <w:numFmt w:val="decimal"/>
      <w:lvlText w:val="%1."/>
      <w:lvlJc w:val="left"/>
      <w:pPr>
        <w:ind w:left="1320" w:hanging="360"/>
      </w:pPr>
    </w:lvl>
    <w:lvl w:ilvl="1" w:tplc="04090017">
      <w:start w:val="1"/>
      <w:numFmt w:val="aiueoFullWidth"/>
      <w:lvlText w:val="(%2)"/>
      <w:lvlJc w:val="left"/>
      <w:pPr>
        <w:ind w:left="1920" w:hanging="480"/>
      </w:pPr>
    </w:lvl>
    <w:lvl w:ilvl="2" w:tplc="04090011">
      <w:start w:val="1"/>
      <w:numFmt w:val="decimalEnclosedCircle"/>
      <w:lvlText w:val="%3"/>
      <w:lvlJc w:val="left"/>
      <w:pPr>
        <w:ind w:left="2400" w:hanging="480"/>
      </w:pPr>
    </w:lvl>
    <w:lvl w:ilvl="3" w:tplc="0409000F">
      <w:start w:val="1"/>
      <w:numFmt w:val="decimal"/>
      <w:lvlText w:val="%4."/>
      <w:lvlJc w:val="left"/>
      <w:pPr>
        <w:ind w:left="2880" w:hanging="480"/>
      </w:pPr>
    </w:lvl>
    <w:lvl w:ilvl="4" w:tplc="04090017">
      <w:start w:val="1"/>
      <w:numFmt w:val="aiueoFullWidth"/>
      <w:lvlText w:val="(%5)"/>
      <w:lvlJc w:val="left"/>
      <w:pPr>
        <w:ind w:left="3360" w:hanging="480"/>
      </w:pPr>
    </w:lvl>
    <w:lvl w:ilvl="5" w:tplc="04090011">
      <w:start w:val="1"/>
      <w:numFmt w:val="decimalEnclosedCircle"/>
      <w:lvlText w:val="%6"/>
      <w:lvlJc w:val="left"/>
      <w:pPr>
        <w:ind w:left="3840" w:hanging="480"/>
      </w:pPr>
    </w:lvl>
    <w:lvl w:ilvl="6" w:tplc="0409000F">
      <w:start w:val="1"/>
      <w:numFmt w:val="decimal"/>
      <w:lvlText w:val="%7."/>
      <w:lvlJc w:val="left"/>
      <w:pPr>
        <w:ind w:left="4320" w:hanging="480"/>
      </w:pPr>
    </w:lvl>
    <w:lvl w:ilvl="7" w:tplc="04090017">
      <w:start w:val="1"/>
      <w:numFmt w:val="aiueoFullWidth"/>
      <w:lvlText w:val="(%8)"/>
      <w:lvlJc w:val="left"/>
      <w:pPr>
        <w:ind w:left="4800" w:hanging="480"/>
      </w:pPr>
    </w:lvl>
    <w:lvl w:ilvl="8" w:tplc="04090011">
      <w:start w:val="1"/>
      <w:numFmt w:val="decimalEnclosedCircle"/>
      <w:lvlText w:val="%9"/>
      <w:lvlJc w:val="left"/>
      <w:pPr>
        <w:ind w:left="5280" w:hanging="480"/>
      </w:pPr>
    </w:lvl>
  </w:abstractNum>
  <w:abstractNum w:abstractNumId="2"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7F5BC9"/>
    <w:multiLevelType w:val="hybridMultilevel"/>
    <w:tmpl w:val="02E205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2"/>
  </w:num>
  <w:num w:numId="3">
    <w:abstractNumId w:val="12"/>
  </w:num>
  <w:num w:numId="4">
    <w:abstractNumId w:val="14"/>
  </w:num>
  <w:num w:numId="5">
    <w:abstractNumId w:val="5"/>
  </w:num>
  <w:num w:numId="6">
    <w:abstractNumId w:val="4"/>
  </w:num>
  <w:num w:numId="7">
    <w:abstractNumId w:val="3"/>
  </w:num>
  <w:num w:numId="8">
    <w:abstractNumId w:val="6"/>
  </w:num>
  <w:num w:numId="9">
    <w:abstractNumId w:val="7"/>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90918"/>
    <w:rsid w:val="000C6DCF"/>
    <w:rsid w:val="000F3166"/>
    <w:rsid w:val="001232EB"/>
    <w:rsid w:val="001360DD"/>
    <w:rsid w:val="00143D64"/>
    <w:rsid w:val="001838C9"/>
    <w:rsid w:val="001E5540"/>
    <w:rsid w:val="0020222F"/>
    <w:rsid w:val="00240FC1"/>
    <w:rsid w:val="002563A8"/>
    <w:rsid w:val="00283D84"/>
    <w:rsid w:val="002B247D"/>
    <w:rsid w:val="00331418"/>
    <w:rsid w:val="00355BD8"/>
    <w:rsid w:val="00374289"/>
    <w:rsid w:val="00396A37"/>
    <w:rsid w:val="003D7268"/>
    <w:rsid w:val="00435CD4"/>
    <w:rsid w:val="00435FEC"/>
    <w:rsid w:val="00475BE3"/>
    <w:rsid w:val="00480ACF"/>
    <w:rsid w:val="00481CA4"/>
    <w:rsid w:val="004A1B0B"/>
    <w:rsid w:val="004D1734"/>
    <w:rsid w:val="004E41D3"/>
    <w:rsid w:val="004E77C0"/>
    <w:rsid w:val="004F04C9"/>
    <w:rsid w:val="005036A2"/>
    <w:rsid w:val="005364B0"/>
    <w:rsid w:val="00590BFF"/>
    <w:rsid w:val="005D15F2"/>
    <w:rsid w:val="005D3746"/>
    <w:rsid w:val="005E3271"/>
    <w:rsid w:val="005F4647"/>
    <w:rsid w:val="00612910"/>
    <w:rsid w:val="006B45AF"/>
    <w:rsid w:val="006D67F4"/>
    <w:rsid w:val="00724A6F"/>
    <w:rsid w:val="00832CEB"/>
    <w:rsid w:val="008B61DD"/>
    <w:rsid w:val="008D7050"/>
    <w:rsid w:val="00962C87"/>
    <w:rsid w:val="009A0883"/>
    <w:rsid w:val="009E1948"/>
    <w:rsid w:val="009F4888"/>
    <w:rsid w:val="00A10993"/>
    <w:rsid w:val="00A24878"/>
    <w:rsid w:val="00A42A1E"/>
    <w:rsid w:val="00A4621D"/>
    <w:rsid w:val="00A538B5"/>
    <w:rsid w:val="00A75419"/>
    <w:rsid w:val="00AA34EB"/>
    <w:rsid w:val="00AB6015"/>
    <w:rsid w:val="00AD37FD"/>
    <w:rsid w:val="00AD66BD"/>
    <w:rsid w:val="00AE7E62"/>
    <w:rsid w:val="00B322FB"/>
    <w:rsid w:val="00B77266"/>
    <w:rsid w:val="00BA4AF7"/>
    <w:rsid w:val="00BC0C64"/>
    <w:rsid w:val="00BE6334"/>
    <w:rsid w:val="00BF7618"/>
    <w:rsid w:val="00C2271C"/>
    <w:rsid w:val="00C34E81"/>
    <w:rsid w:val="00C4128C"/>
    <w:rsid w:val="00C4692D"/>
    <w:rsid w:val="00C71792"/>
    <w:rsid w:val="00C73221"/>
    <w:rsid w:val="00CC529E"/>
    <w:rsid w:val="00D4284D"/>
    <w:rsid w:val="00DB402D"/>
    <w:rsid w:val="00E355F6"/>
    <w:rsid w:val="00E837BC"/>
    <w:rsid w:val="00EA7662"/>
    <w:rsid w:val="00EB0574"/>
    <w:rsid w:val="00ED039A"/>
    <w:rsid w:val="00F577BE"/>
    <w:rsid w:val="00F967D4"/>
    <w:rsid w:val="00FA4501"/>
    <w:rsid w:val="00FA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table" w:styleId="TableGrid">
    <w:name w:val="Table Grid"/>
    <w:basedOn w:val="TableNormal"/>
    <w:uiPriority w:val="39"/>
    <w:rsid w:val="00FA7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BFF"/>
    <w:pPr>
      <w:autoSpaceDE w:val="0"/>
      <w:autoSpaceDN w:val="0"/>
      <w:adjustRightInd w:val="0"/>
      <w:spacing w:after="0" w:line="240" w:lineRule="auto"/>
    </w:pPr>
    <w:rPr>
      <w:rFonts w:ascii="Minion Pro" w:eastAsiaTheme="minorEastAsia" w:hAnsi="Minion Pro" w:cs="Minion Pro"/>
      <w:color w:val="000000"/>
      <w:sz w:val="24"/>
      <w:szCs w:val="24"/>
      <w:lang w:val="en-US" w:eastAsia="ja-JP"/>
    </w:rPr>
  </w:style>
  <w:style w:type="table" w:customStyle="1" w:styleId="TableGrid1">
    <w:name w:val="Table Grid1"/>
    <w:basedOn w:val="TableNormal"/>
    <w:next w:val="TableGrid"/>
    <w:uiPriority w:val="39"/>
    <w:rsid w:val="00435CD4"/>
    <w:pPr>
      <w:spacing w:after="0" w:line="240" w:lineRule="auto"/>
    </w:pPr>
    <w:rPr>
      <w:rFonts w:ascii="Calibri" w:eastAsia="Calibri" w:hAnsi="Calibri" w:cs="Times New Roman"/>
      <w:lang w:val="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33986912">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82135814">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2994973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49654175">
      <w:bodyDiv w:val="1"/>
      <w:marLeft w:val="0"/>
      <w:marRight w:val="0"/>
      <w:marTop w:val="0"/>
      <w:marBottom w:val="0"/>
      <w:divBdr>
        <w:top w:val="none" w:sz="0" w:space="0" w:color="auto"/>
        <w:left w:val="none" w:sz="0" w:space="0" w:color="auto"/>
        <w:bottom w:val="none" w:sz="0" w:space="0" w:color="auto"/>
        <w:right w:val="none" w:sz="0" w:space="0" w:color="auto"/>
      </w:divBdr>
    </w:div>
    <w:div w:id="563832012">
      <w:bodyDiv w:val="1"/>
      <w:marLeft w:val="0"/>
      <w:marRight w:val="0"/>
      <w:marTop w:val="0"/>
      <w:marBottom w:val="0"/>
      <w:divBdr>
        <w:top w:val="none" w:sz="0" w:space="0" w:color="auto"/>
        <w:left w:val="none" w:sz="0" w:space="0" w:color="auto"/>
        <w:bottom w:val="none" w:sz="0" w:space="0" w:color="auto"/>
        <w:right w:val="none" w:sz="0" w:space="0" w:color="auto"/>
      </w:divBdr>
    </w:div>
    <w:div w:id="574437322">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3320769">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03753974">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22893082">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76822131">
      <w:bodyDiv w:val="1"/>
      <w:marLeft w:val="0"/>
      <w:marRight w:val="0"/>
      <w:marTop w:val="0"/>
      <w:marBottom w:val="0"/>
      <w:divBdr>
        <w:top w:val="none" w:sz="0" w:space="0" w:color="auto"/>
        <w:left w:val="none" w:sz="0" w:space="0" w:color="auto"/>
        <w:bottom w:val="none" w:sz="0" w:space="0" w:color="auto"/>
        <w:right w:val="none" w:sz="0" w:space="0" w:color="auto"/>
      </w:divBdr>
    </w:div>
    <w:div w:id="88441674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19557562">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102645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60193292">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65000275">
      <w:bodyDiv w:val="1"/>
      <w:marLeft w:val="0"/>
      <w:marRight w:val="0"/>
      <w:marTop w:val="0"/>
      <w:marBottom w:val="0"/>
      <w:divBdr>
        <w:top w:val="none" w:sz="0" w:space="0" w:color="auto"/>
        <w:left w:val="none" w:sz="0" w:space="0" w:color="auto"/>
        <w:bottom w:val="none" w:sz="0" w:space="0" w:color="auto"/>
        <w:right w:val="none" w:sz="0" w:space="0" w:color="auto"/>
      </w:divBdr>
    </w:div>
    <w:div w:id="1307780798">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09976529">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589533667">
      <w:bodyDiv w:val="1"/>
      <w:marLeft w:val="0"/>
      <w:marRight w:val="0"/>
      <w:marTop w:val="0"/>
      <w:marBottom w:val="0"/>
      <w:divBdr>
        <w:top w:val="none" w:sz="0" w:space="0" w:color="auto"/>
        <w:left w:val="none" w:sz="0" w:space="0" w:color="auto"/>
        <w:bottom w:val="none" w:sz="0" w:space="0" w:color="auto"/>
        <w:right w:val="none" w:sz="0" w:space="0" w:color="auto"/>
      </w:divBdr>
    </w:div>
    <w:div w:id="160487579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2273416">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377120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3723583">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0225213">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895775324">
      <w:bodyDiv w:val="1"/>
      <w:marLeft w:val="0"/>
      <w:marRight w:val="0"/>
      <w:marTop w:val="0"/>
      <w:marBottom w:val="0"/>
      <w:divBdr>
        <w:top w:val="none" w:sz="0" w:space="0" w:color="auto"/>
        <w:left w:val="none" w:sz="0" w:space="0" w:color="auto"/>
        <w:bottom w:val="none" w:sz="0" w:space="0" w:color="auto"/>
        <w:right w:val="none" w:sz="0" w:space="0" w:color="auto"/>
      </w:divBdr>
    </w:div>
    <w:div w:id="1912033495">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7192112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ricaltexts.jisc.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1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1C3BC23A-CA76-45A7-B0C5-D7EDF562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3983</Words>
  <Characters>22705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Wrinkled Face, a Furr’d Brow, a Hairy Lip [and] a Gobber Tooth’: Searching for the Victims of the Early Modern European Witch-Hunt, c.1450-1750</dc:title>
  <dc:subject/>
  <dc:creator>Sundsbo, Katrine</dc:creator>
  <cp:keywords/>
  <dc:description/>
  <cp:lastModifiedBy>Pyman, Hannah R</cp:lastModifiedBy>
  <cp:revision>12</cp:revision>
  <cp:lastPrinted>2020-04-07T11:09:00Z</cp:lastPrinted>
  <dcterms:created xsi:type="dcterms:W3CDTF">2020-03-19T17:02:00Z</dcterms:created>
  <dcterms:modified xsi:type="dcterms:W3CDTF">2020-04-07T11:09:00Z</dcterms:modified>
</cp:coreProperties>
</file>