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4BF13637" w:rsidR="00A538B5" w:rsidRPr="00A538B5" w:rsidRDefault="00623A53" w:rsidP="00A23A4F">
      <w:r>
        <w:t>Essay</w:t>
      </w:r>
      <w:r w:rsidR="00990D5E">
        <w:t xml:space="preserve"> </w:t>
      </w:r>
      <w:r w:rsidR="00A538B5">
        <w:tab/>
      </w:r>
    </w:p>
    <w:p w14:paraId="19BBC0D1" w14:textId="21F925DE" w:rsidR="00E355F6" w:rsidRPr="00CE0F71" w:rsidRDefault="00A23A4F" w:rsidP="00A23A4F">
      <w:pPr>
        <w:pStyle w:val="Title"/>
        <w:rPr>
          <w:sz w:val="48"/>
          <w:szCs w:val="48"/>
        </w:rPr>
      </w:pPr>
      <w:bookmarkStart w:id="0" w:name="_Hlk94802507"/>
      <w:r w:rsidRPr="00CE0F71">
        <w:rPr>
          <w:sz w:val="48"/>
          <w:szCs w:val="48"/>
        </w:rPr>
        <w:t>International Trade Theory: A Comparison Between Three Schools of Thought</w:t>
      </w:r>
    </w:p>
    <w:bookmarkEnd w:id="0"/>
    <w:p w14:paraId="16CB3892" w14:textId="77777777" w:rsidR="00CE0F71" w:rsidRDefault="00CE0F71" w:rsidP="00CE0F71">
      <w:pPr>
        <w:spacing w:line="276" w:lineRule="auto"/>
      </w:pPr>
    </w:p>
    <w:p w14:paraId="326C558F" w14:textId="773DBEBC" w:rsidR="00CE0F71" w:rsidRPr="00A0610F" w:rsidRDefault="00CE0F71" w:rsidP="00A23A4F">
      <w:proofErr w:type="spellStart"/>
      <w:r>
        <w:t>Pierluigi</w:t>
      </w:r>
      <w:proofErr w:type="spellEnd"/>
      <w:r>
        <w:t xml:space="preserve"> De </w:t>
      </w:r>
      <w:proofErr w:type="spellStart"/>
      <w:r>
        <w:t>Rogatis</w:t>
      </w:r>
      <w:proofErr w:type="spellEnd"/>
    </w:p>
    <w:p w14:paraId="2A35EB5D" w14:textId="3B1B0097" w:rsidR="002B247D" w:rsidRPr="00A0610F" w:rsidRDefault="002B247D" w:rsidP="00A23A4F">
      <w:r w:rsidRPr="00A0610F">
        <w:t>University of Essex</w:t>
      </w:r>
      <w:r w:rsidR="002A4924">
        <w:rPr>
          <w:noProof/>
        </w:rPr>
        <w:pict w14:anchorId="03B1286F">
          <v:rect id="_x0000_i1025" alt="" style="width:451.3pt;height:.05pt;mso-width-percent:0;mso-height-percent:0;mso-width-percent:0;mso-height-percent:0" o:hralign="center" o:hrstd="t" o:hr="t" fillcolor="#a0a0a0" stroked="f"/>
        </w:pict>
      </w:r>
    </w:p>
    <w:p w14:paraId="42AE1F70" w14:textId="44BF30BC" w:rsidR="00240FC1" w:rsidRPr="00A0610F" w:rsidRDefault="00331418" w:rsidP="00A23A4F">
      <w:pPr>
        <w:pStyle w:val="Heading1"/>
      </w:pPr>
      <w:r w:rsidRPr="00A0610F">
        <w:t>Abstract</w:t>
      </w:r>
    </w:p>
    <w:p w14:paraId="2F5D5A1A" w14:textId="47B7A784" w:rsidR="00302A9E" w:rsidRPr="00A0610F" w:rsidRDefault="00302A9E" w:rsidP="00A23A4F">
      <w:r w:rsidRPr="00A0610F">
        <w:t xml:space="preserve">This paper critically compares three different theorisations of trade based on the </w:t>
      </w:r>
      <w:proofErr w:type="spellStart"/>
      <w:r w:rsidRPr="00A0610F">
        <w:t>factoral</w:t>
      </w:r>
      <w:proofErr w:type="spellEnd"/>
      <w:r w:rsidRPr="00A0610F">
        <w:t xml:space="preserve"> </w:t>
      </w:r>
      <w:bookmarkStart w:id="1" w:name="_Hlk102129715"/>
      <w:r w:rsidRPr="00A0610F">
        <w:t>Heckscher-Ohlin</w:t>
      </w:r>
      <w:bookmarkEnd w:id="1"/>
      <w:r w:rsidRPr="00A0610F">
        <w:t>-Samuelson model (Rogowski, 1987), the sectoral Ricardo-Viner model (</w:t>
      </w:r>
      <w:proofErr w:type="spellStart"/>
      <w:r w:rsidRPr="00A0610F">
        <w:t>Hiscox</w:t>
      </w:r>
      <w:proofErr w:type="spellEnd"/>
      <w:r w:rsidRPr="00A0610F">
        <w:t>, 2001)</w:t>
      </w:r>
      <w:r w:rsidR="007F1D36" w:rsidRPr="00A0610F">
        <w:t xml:space="preserve"> </w:t>
      </w:r>
      <w:r w:rsidRPr="00A0610F">
        <w:t>and the firm-related New Trade Theory model (</w:t>
      </w:r>
      <w:proofErr w:type="spellStart"/>
      <w:r w:rsidRPr="00A0610F">
        <w:t>Baccini</w:t>
      </w:r>
      <w:proofErr w:type="spellEnd"/>
      <w:r w:rsidRPr="00A0610F">
        <w:rPr>
          <w:rStyle w:val="Emphasis"/>
          <w:color w:val="0E101A"/>
        </w:rPr>
        <w:t> et al.</w:t>
      </w:r>
      <w:r w:rsidRPr="00A0610F">
        <w:t xml:space="preserve">, 2017). </w:t>
      </w:r>
      <w:r w:rsidR="00CC3F4D" w:rsidRPr="00A0610F">
        <w:t>Indeed, all three papers seek to explain why some interest groups favour trade openness while others prefer protectionism. Respectively, each article explained trade based on the differences in the factor-endowments between various social groups, the domestic factor mobility (which can increase the importance of industrial-sectoral disparities), or the international competitiveness level of individual firms</w:t>
      </w:r>
      <w:r w:rsidR="00083F9F" w:rsidRPr="00A0610F">
        <w:t xml:space="preserve">. </w:t>
      </w:r>
      <w:r w:rsidRPr="00A0610F">
        <w:t>Although the theorisation background</w:t>
      </w:r>
      <w:r w:rsidR="000E1FE5">
        <w:t>s</w:t>
      </w:r>
      <w:r w:rsidRPr="00A0610F">
        <w:t xml:space="preserve"> and the research design</w:t>
      </w:r>
      <w:r w:rsidR="000E1FE5">
        <w:t>s</w:t>
      </w:r>
      <w:r w:rsidRPr="00A0610F">
        <w:t xml:space="preserve"> differ between the analysed papers, </w:t>
      </w:r>
      <w:r w:rsidR="00F65EF8">
        <w:t>this article</w:t>
      </w:r>
      <w:r w:rsidRPr="00A0610F">
        <w:t xml:space="preserve"> argue</w:t>
      </w:r>
      <w:r w:rsidR="00F65EF8">
        <w:t>s</w:t>
      </w:r>
      <w:r w:rsidRPr="00A0610F">
        <w:t xml:space="preserve"> that, in the end, these contributions are an integral part of a bigger vision that</w:t>
      </w:r>
      <w:r w:rsidR="005C24E2">
        <w:t xml:space="preserve"> support</w:t>
      </w:r>
      <w:r w:rsidRPr="00A0610F">
        <w:t xml:space="preserve"> researchers </w:t>
      </w:r>
      <w:r w:rsidR="00D11183" w:rsidRPr="00A0610F">
        <w:t>in</w:t>
      </w:r>
      <w:r w:rsidRPr="00A0610F">
        <w:t xml:space="preserve"> assess</w:t>
      </w:r>
      <w:r w:rsidR="00D11183" w:rsidRPr="00A0610F">
        <w:t>ing</w:t>
      </w:r>
      <w:r w:rsidRPr="00A0610F">
        <w:t xml:space="preserve"> to what extent </w:t>
      </w:r>
      <w:r w:rsidR="00C078AA" w:rsidRPr="00A0610F">
        <w:t>some interest groups</w:t>
      </w:r>
      <w:r w:rsidRPr="00A0610F">
        <w:t xml:space="preserve"> influence policy-making process</w:t>
      </w:r>
      <w:r w:rsidR="00C078AA" w:rsidRPr="00A0610F">
        <w:t>es</w:t>
      </w:r>
      <w:r w:rsidRPr="00A0610F">
        <w:t xml:space="preserve"> in contemporary democracies. Finally, </w:t>
      </w:r>
      <w:r w:rsidR="00F65EF8">
        <w:t>this review</w:t>
      </w:r>
      <w:r w:rsidRPr="00A0610F">
        <w:t xml:space="preserve"> noted the significant contribution </w:t>
      </w:r>
      <w:r w:rsidR="009930FA" w:rsidRPr="00A0610F">
        <w:t>of</w:t>
      </w:r>
      <w:r w:rsidRPr="00A0610F">
        <w:t xml:space="preserve"> the micro</w:t>
      </w:r>
      <w:r w:rsidR="008E0684" w:rsidRPr="00A0610F">
        <w:t>economic</w:t>
      </w:r>
      <w:r w:rsidRPr="00A0610F">
        <w:t xml:space="preserve"> New Trade Theory: winners</w:t>
      </w:r>
      <w:r w:rsidR="00A62CEA" w:rsidRPr="00A0610F">
        <w:t xml:space="preserve"> from trade liberalisation</w:t>
      </w:r>
      <w:r w:rsidRPr="00A0610F">
        <w:t xml:space="preserve"> are not diffuse as presumed by macro-level analyses but highly concentrated</w:t>
      </w:r>
      <w:r w:rsidR="00564B67" w:rsidRPr="00A0610F">
        <w:t xml:space="preserve"> and limited</w:t>
      </w:r>
      <w:r w:rsidRPr="00A0610F">
        <w:t>.</w:t>
      </w:r>
    </w:p>
    <w:p w14:paraId="37B73D13" w14:textId="0BB8A350" w:rsidR="002B247D" w:rsidRPr="00A0610F" w:rsidRDefault="00240FC1" w:rsidP="00A23A4F">
      <w:r w:rsidRPr="00A0610F">
        <w:rPr>
          <w:rStyle w:val="Heading1Char"/>
        </w:rPr>
        <w:t>Keywords:</w:t>
      </w:r>
      <w:r w:rsidRPr="00A0610F">
        <w:t xml:space="preserve">  </w:t>
      </w:r>
      <w:r w:rsidR="00A23A4F" w:rsidRPr="00A0610F">
        <w:t xml:space="preserve">international trade, international political economy, </w:t>
      </w:r>
      <w:r w:rsidR="00D53714" w:rsidRPr="00A0610F">
        <w:t>H-O-S</w:t>
      </w:r>
      <w:r w:rsidR="00A23A4F" w:rsidRPr="00A0610F">
        <w:t xml:space="preserve"> model, </w:t>
      </w:r>
      <w:r w:rsidR="00D53714" w:rsidRPr="00A0610F">
        <w:t>R-V</w:t>
      </w:r>
      <w:r w:rsidR="00A23A4F" w:rsidRPr="00A0610F">
        <w:t xml:space="preserve"> model, </w:t>
      </w:r>
      <w:r w:rsidR="00D53714" w:rsidRPr="00A0610F">
        <w:t>New Trade Theory</w:t>
      </w:r>
      <w:r w:rsidR="0008400A">
        <w:t>.</w:t>
      </w:r>
    </w:p>
    <w:p w14:paraId="47111766" w14:textId="4FACB512" w:rsidR="00F5168B" w:rsidRPr="00A0610F" w:rsidRDefault="00F5168B" w:rsidP="00A23A4F"/>
    <w:p w14:paraId="65182523" w14:textId="77777777" w:rsidR="00421871" w:rsidRPr="00A0610F" w:rsidRDefault="00421871" w:rsidP="00A23A4F"/>
    <w:p w14:paraId="2133EC88" w14:textId="77777777" w:rsidR="00A23A4F" w:rsidRPr="00A0610F" w:rsidRDefault="00A23A4F" w:rsidP="00A23A4F">
      <w:pPr>
        <w:pStyle w:val="Heading1"/>
      </w:pPr>
      <w:r w:rsidRPr="00A0610F">
        <w:lastRenderedPageBreak/>
        <w:t>Introduction</w:t>
      </w:r>
    </w:p>
    <w:p w14:paraId="6005D4B4" w14:textId="47CE3B93" w:rsidR="00A23A4F" w:rsidRPr="00A0610F" w:rsidRDefault="00A23A4F" w:rsidP="002F764A">
      <w:r w:rsidRPr="00A0610F">
        <w:t xml:space="preserve">After the first essay by </w:t>
      </w:r>
      <w:r w:rsidRPr="00A0610F">
        <w:rPr>
          <w:noProof/>
        </w:rPr>
        <w:t>Strange (1970)</w:t>
      </w:r>
      <w:r w:rsidRPr="00A0610F">
        <w:t xml:space="preserve">, International Political Economy (IPE) started to analyse the multiple interactions between the </w:t>
      </w:r>
      <w:r w:rsidR="00824D47" w:rsidRPr="00A0610F">
        <w:t>global</w:t>
      </w:r>
      <w:r w:rsidRPr="00A0610F">
        <w:t xml:space="preserve"> political system and economic capitalism. However, one topic captured the majority of scholar</w:t>
      </w:r>
      <w:r w:rsidR="00BB4439" w:rsidRPr="00A0610F">
        <w:t>ly</w:t>
      </w:r>
      <w:r w:rsidRPr="00A0610F">
        <w:t xml:space="preserve"> attention: international trade. Indeed, many theories study the numerous relationships between political variables and </w:t>
      </w:r>
      <w:r w:rsidR="00FD0202" w:rsidRPr="00A0610F">
        <w:t>global</w:t>
      </w:r>
      <w:r w:rsidR="0017088E" w:rsidRPr="00A0610F">
        <w:t xml:space="preserve"> commercial and financial</w:t>
      </w:r>
      <w:r w:rsidRPr="00A0610F">
        <w:t xml:space="preserve"> </w:t>
      </w:r>
      <w:r w:rsidR="00FD0202" w:rsidRPr="00A0610F">
        <w:t>exchanges</w:t>
      </w:r>
      <w:r w:rsidRPr="00A0610F">
        <w:t xml:space="preserve">, </w:t>
      </w:r>
      <w:r w:rsidR="00284158" w:rsidRPr="00A0610F">
        <w:t xml:space="preserve">especially regarding diverse regime types like democracies and autocracies </w:t>
      </w:r>
      <w:r w:rsidRPr="00A0610F">
        <w:rPr>
          <w:noProof/>
        </w:rPr>
        <w:t>(e.g., Nielson, 2003; Kono, 2006; Hollyer and Rosendorff, 2012)</w:t>
      </w:r>
      <w:r w:rsidRPr="00A0610F">
        <w:t xml:space="preserve">. Moreover, the IPE literature distinguished itself from IR for its capacity to build a cumulative knowledge that </w:t>
      </w:r>
      <w:r w:rsidR="008D75B8" w:rsidRPr="00A0610F">
        <w:t xml:space="preserve">can simultaneously </w:t>
      </w:r>
      <w:r w:rsidRPr="00A0610F">
        <w:t>implement</w:t>
      </w:r>
      <w:r w:rsidR="00303598" w:rsidRPr="00A0610F">
        <w:t xml:space="preserve"> and modernise</w:t>
      </w:r>
      <w:r w:rsidRPr="00A0610F">
        <w:t xml:space="preserve"> preceding theories with new arguments and hypotheses or invent </w:t>
      </w:r>
      <w:r w:rsidR="00303598" w:rsidRPr="00A0610F">
        <w:t>original and innovative</w:t>
      </w:r>
      <w:r w:rsidRPr="00A0610F">
        <w:t xml:space="preserve"> </w:t>
      </w:r>
      <w:r w:rsidR="009B597C" w:rsidRPr="00A0610F">
        <w:t>models, which replace the former ones,</w:t>
      </w:r>
      <w:r w:rsidRPr="00A0610F">
        <w:t xml:space="preserve"> to explain the global economic behaviour as normal science</w:t>
      </w:r>
      <w:r w:rsidR="0057286C">
        <w:t>s</w:t>
      </w:r>
      <w:r w:rsidRPr="00A0610F">
        <w:t xml:space="preserve"> typically accomplish </w:t>
      </w:r>
      <w:r w:rsidRPr="00A0610F">
        <w:rPr>
          <w:noProof/>
        </w:rPr>
        <w:t>(Rickard, 2021)</w:t>
      </w:r>
      <w:r w:rsidRPr="00A0610F">
        <w:t xml:space="preserve">. </w:t>
      </w:r>
      <w:r w:rsidR="002F764A" w:rsidRPr="00A0610F">
        <w:t>Although</w:t>
      </w:r>
      <w:r w:rsidR="0042210D" w:rsidRPr="00A0610F">
        <w:t xml:space="preserve"> all</w:t>
      </w:r>
      <w:r w:rsidR="002F764A" w:rsidRPr="00A0610F">
        <w:t xml:space="preserve"> IPE literature shares the general assumption that interests are exogenous and</w:t>
      </w:r>
      <w:r w:rsidR="007D6ADD">
        <w:t xml:space="preserve"> one of</w:t>
      </w:r>
      <w:r w:rsidR="002F764A" w:rsidRPr="00A0610F">
        <w:t xml:space="preserve"> the predominant driver</w:t>
      </w:r>
      <w:r w:rsidR="007D6ADD">
        <w:t>s</w:t>
      </w:r>
      <w:r w:rsidR="002F764A" w:rsidRPr="00A0610F">
        <w:t xml:space="preserve"> of actors’ decisions (Lake, 2009), </w:t>
      </w:r>
      <w:proofErr w:type="spellStart"/>
      <w:r w:rsidR="002F764A" w:rsidRPr="00A0610F">
        <w:t>Bearce</w:t>
      </w:r>
      <w:proofErr w:type="spellEnd"/>
      <w:r w:rsidR="002F764A" w:rsidRPr="00A0610F">
        <w:t xml:space="preserve"> (2021) divided the literature on trade policies into three</w:t>
      </w:r>
      <w:r w:rsidR="00710A31" w:rsidRPr="00A0610F">
        <w:t xml:space="preserve"> separate</w:t>
      </w:r>
      <w:r w:rsidR="002F764A" w:rsidRPr="00A0610F">
        <w:t xml:space="preserve"> scholarships. Indeed, he differentiates assumptions and theories based on </w:t>
      </w:r>
      <w:proofErr w:type="spellStart"/>
      <w:r w:rsidR="002F764A" w:rsidRPr="00A0610F">
        <w:t>factoral</w:t>
      </w:r>
      <w:proofErr w:type="spellEnd"/>
      <w:r w:rsidR="002F764A" w:rsidRPr="00A0610F">
        <w:t xml:space="preserve"> differences (Heckscher-Ohlin-Samuelson model), on sectoral-industry disputes (Ricardo-Viner model), or on firm-based characteristics (New Trade Theory).</w:t>
      </w:r>
      <w:r w:rsidR="00E57C14" w:rsidRPr="00A0610F">
        <w:rPr>
          <w:rStyle w:val="FootnoteReference"/>
        </w:rPr>
        <w:footnoteReference w:id="1"/>
      </w:r>
      <w:r w:rsidRPr="00A0610F">
        <w:t xml:space="preserve"> </w:t>
      </w:r>
      <w:r w:rsidR="00620C53" w:rsidRPr="00A0610F">
        <w:t xml:space="preserve">Consequently, this review examines three different articles, one for each school of thought, comparing and evaluating their capacity in explaining trade preferences, globalisation coalitions, and protectionism, i.e., which factor-owning classes, sector-based industries, or individual firms benefit from economic liberalisation, and how they use this comparative advantage to influence policymakers and legislators. For the </w:t>
      </w:r>
      <w:proofErr w:type="spellStart"/>
      <w:r w:rsidR="00620C53" w:rsidRPr="00A0610F">
        <w:t>factoral</w:t>
      </w:r>
      <w:proofErr w:type="spellEnd"/>
      <w:r w:rsidR="00620C53" w:rsidRPr="00A0610F">
        <w:t xml:space="preserve"> model, </w:t>
      </w:r>
      <w:r w:rsidR="00685886">
        <w:t>this article</w:t>
      </w:r>
      <w:r w:rsidR="00620C53" w:rsidRPr="00A0610F">
        <w:t xml:space="preserve"> will analyse the canonical paper by Rogowski (1987), while, for the sectoral-industry model, </w:t>
      </w:r>
      <w:r w:rsidR="00685886">
        <w:t>it</w:t>
      </w:r>
      <w:r w:rsidR="00620C53" w:rsidRPr="00A0610F">
        <w:t xml:space="preserve"> will examine the article by </w:t>
      </w:r>
      <w:proofErr w:type="spellStart"/>
      <w:r w:rsidR="00620C53" w:rsidRPr="00A0610F">
        <w:t>Hiscox</w:t>
      </w:r>
      <w:proofErr w:type="spellEnd"/>
      <w:r w:rsidR="00620C53" w:rsidRPr="00A0610F">
        <w:t xml:space="preserve"> (2001), and, finally, </w:t>
      </w:r>
      <w:r w:rsidR="00685886">
        <w:t>it</w:t>
      </w:r>
      <w:r w:rsidR="00620C53" w:rsidRPr="00A0610F">
        <w:t xml:space="preserve"> will consider the essay by </w:t>
      </w:r>
      <w:proofErr w:type="spellStart"/>
      <w:r w:rsidR="00620C53" w:rsidRPr="00A0610F">
        <w:t>Baccini</w:t>
      </w:r>
      <w:proofErr w:type="spellEnd"/>
      <w:r w:rsidR="00620C53" w:rsidRPr="00A0610F">
        <w:rPr>
          <w:rStyle w:val="Emphasis"/>
          <w:color w:val="0E101A"/>
        </w:rPr>
        <w:t> et al.</w:t>
      </w:r>
      <w:r w:rsidR="00620C53" w:rsidRPr="00A0610F">
        <w:t> (2017) for the firm-related model</w:t>
      </w:r>
      <w:r w:rsidRPr="00A0610F">
        <w:rPr>
          <w:noProof/>
        </w:rPr>
        <w:t>.</w:t>
      </w:r>
      <w:r w:rsidR="00426F1D" w:rsidRPr="00A0610F">
        <w:rPr>
          <w:noProof/>
        </w:rPr>
        <w:t xml:space="preserve"> </w:t>
      </w:r>
    </w:p>
    <w:p w14:paraId="5ABDD92D" w14:textId="77777777" w:rsidR="00A23A4F" w:rsidRPr="00A0610F" w:rsidRDefault="00A23A4F" w:rsidP="00A23A4F">
      <w:pPr>
        <w:pStyle w:val="Heading1"/>
      </w:pPr>
      <w:r w:rsidRPr="00A0610F">
        <w:t>Argument and Research Question of the Papers</w:t>
      </w:r>
    </w:p>
    <w:p w14:paraId="39C9A4EB" w14:textId="29FC94FD" w:rsidR="00B07071" w:rsidRPr="00A0610F" w:rsidRDefault="00A23A4F" w:rsidP="00A23A4F">
      <w:r w:rsidRPr="00A0610F">
        <w:t xml:space="preserve">All three papers share an argument: </w:t>
      </w:r>
      <w:r w:rsidR="00954304" w:rsidRPr="00A0610F">
        <w:t xml:space="preserve">international </w:t>
      </w:r>
      <w:r w:rsidRPr="00A0610F">
        <w:t>trade. However, they differ in how their hypotheses consider</w:t>
      </w:r>
      <w:r w:rsidR="0084412A" w:rsidRPr="00A0610F">
        <w:t xml:space="preserve"> and implement</w:t>
      </w:r>
      <w:r w:rsidRPr="00A0610F">
        <w:t xml:space="preserve"> it. Indeed, liberalisation </w:t>
      </w:r>
      <w:r w:rsidR="006C1B79" w:rsidRPr="00A0610F">
        <w:t>and</w:t>
      </w:r>
      <w:r w:rsidRPr="00A0610F">
        <w:t xml:space="preserve"> protectionism are studied either </w:t>
      </w:r>
      <w:r w:rsidRPr="00A0610F">
        <w:lastRenderedPageBreak/>
        <w:t xml:space="preserve">as </w:t>
      </w:r>
      <w:r w:rsidR="00B11BE7" w:rsidRPr="00A0610F">
        <w:t xml:space="preserve">the </w:t>
      </w:r>
      <w:r w:rsidRPr="00A0610F">
        <w:t xml:space="preserve">independent variable </w:t>
      </w:r>
      <w:r w:rsidRPr="00A0610F">
        <w:rPr>
          <w:noProof/>
        </w:rPr>
        <w:t>(Rogowski, 1987; Baccini</w:t>
      </w:r>
      <w:r w:rsidRPr="00A0610F">
        <w:rPr>
          <w:i/>
          <w:noProof/>
        </w:rPr>
        <w:t xml:space="preserve"> et al.</w:t>
      </w:r>
      <w:r w:rsidRPr="00A0610F">
        <w:rPr>
          <w:noProof/>
        </w:rPr>
        <w:t>, 2017)</w:t>
      </w:r>
      <w:r w:rsidRPr="00A0610F">
        <w:t xml:space="preserve"> or as</w:t>
      </w:r>
      <w:r w:rsidR="00B11BE7" w:rsidRPr="00A0610F">
        <w:t xml:space="preserve"> the</w:t>
      </w:r>
      <w:r w:rsidRPr="00A0610F">
        <w:t xml:space="preserve"> theoretical background </w:t>
      </w:r>
      <w:r w:rsidR="00B11BE7" w:rsidRPr="00A0610F">
        <w:t xml:space="preserve">in their papers </w:t>
      </w:r>
      <w:r w:rsidRPr="00A0610F">
        <w:rPr>
          <w:noProof/>
        </w:rPr>
        <w:t>(Hiscox, 2001)</w:t>
      </w:r>
      <w:r w:rsidRPr="00A0610F">
        <w:t xml:space="preserve">. For instance, </w:t>
      </w:r>
      <w:r w:rsidRPr="00A0610F">
        <w:rPr>
          <w:noProof/>
        </w:rPr>
        <w:t>Rogowski (1987)</w:t>
      </w:r>
      <w:r w:rsidRPr="00A0610F">
        <w:t xml:space="preserve"> argued that exposure to trade </w:t>
      </w:r>
      <w:r w:rsidR="00B11BE7" w:rsidRPr="00A0610F">
        <w:t xml:space="preserve">improves the </w:t>
      </w:r>
      <w:r w:rsidR="00453EBB" w:rsidRPr="00A0610F">
        <w:t>political power and lobbying outcomes of</w:t>
      </w:r>
      <w:r w:rsidRPr="00A0610F">
        <w:t xml:space="preserve"> specific political movements or ideologies based on the different factor-endowments</w:t>
      </w:r>
      <w:r w:rsidR="00996E0E" w:rsidRPr="00A0610F">
        <w:t xml:space="preserve"> (capital, labour, and land)</w:t>
      </w:r>
      <w:r w:rsidRPr="00A0610F">
        <w:t xml:space="preserve"> in the country.</w:t>
      </w:r>
      <w:r w:rsidR="00267FC4" w:rsidRPr="00A0610F">
        <w:rPr>
          <w:rStyle w:val="FootnoteReference"/>
        </w:rPr>
        <w:footnoteReference w:id="2"/>
      </w:r>
      <w:r w:rsidRPr="00A0610F">
        <w:t xml:space="preserve"> </w:t>
      </w:r>
      <w:r w:rsidR="005F2376" w:rsidRPr="00A0610F">
        <w:t xml:space="preserve">Indeed, </w:t>
      </w:r>
      <w:proofErr w:type="spellStart"/>
      <w:r w:rsidR="004F2233" w:rsidRPr="00A0610F">
        <w:t>Stolper</w:t>
      </w:r>
      <w:proofErr w:type="spellEnd"/>
      <w:r w:rsidR="004F2233" w:rsidRPr="00A0610F">
        <w:t xml:space="preserve"> and Samuelson (1941) theorem revealed</w:t>
      </w:r>
      <w:r w:rsidR="00605B7E" w:rsidRPr="00A0610F">
        <w:t xml:space="preserve"> </w:t>
      </w:r>
      <w:r w:rsidR="00475234" w:rsidRPr="00A0610F">
        <w:t>that “in any society</w:t>
      </w:r>
      <w:r w:rsidR="00CD78C9" w:rsidRPr="00A0610F">
        <w:t xml:space="preserve"> protection benefits – and liberalization of trade harms – owners of factors in which that society is poorly endowed, relative to the rest of the world, as well as producers who use the scarce factors intensively</w:t>
      </w:r>
      <w:r w:rsidR="00C347F7" w:rsidRPr="00A0610F">
        <w:t xml:space="preserve"> […]. </w:t>
      </w:r>
      <w:r w:rsidR="00580533" w:rsidRPr="00A0610F">
        <w:t xml:space="preserve">Thus, in a society rich in </w:t>
      </w:r>
      <w:proofErr w:type="spellStart"/>
      <w:r w:rsidR="00580533" w:rsidRPr="00A0610F">
        <w:t>labor</w:t>
      </w:r>
      <w:proofErr w:type="spellEnd"/>
      <w:r w:rsidR="00580533" w:rsidRPr="00A0610F">
        <w:t xml:space="preserve"> but poor in capital, protection would benefit capital and harm </w:t>
      </w:r>
      <w:proofErr w:type="spellStart"/>
      <w:r w:rsidR="00580533" w:rsidRPr="00A0610F">
        <w:t>labor</w:t>
      </w:r>
      <w:proofErr w:type="spellEnd"/>
      <w:r w:rsidR="00580533" w:rsidRPr="00A0610F">
        <w:t xml:space="preserve">; and liberalization of trade would benefit </w:t>
      </w:r>
      <w:proofErr w:type="spellStart"/>
      <w:r w:rsidR="00580533" w:rsidRPr="00A0610F">
        <w:t>labor</w:t>
      </w:r>
      <w:proofErr w:type="spellEnd"/>
      <w:r w:rsidR="00580533" w:rsidRPr="00A0610F">
        <w:t xml:space="preserve"> and harm capital” </w:t>
      </w:r>
      <w:r w:rsidR="00CD78C9" w:rsidRPr="00A0610F">
        <w:t>(Rogo</w:t>
      </w:r>
      <w:r w:rsidR="00CB7296" w:rsidRPr="00A0610F">
        <w:t xml:space="preserve">wski, 1987, p. 1122). </w:t>
      </w:r>
      <w:r w:rsidR="004D281B" w:rsidRPr="00A0610F">
        <w:t xml:space="preserve">Therefore, </w:t>
      </w:r>
      <w:r w:rsidR="00FD721C" w:rsidRPr="00A0610F">
        <w:t>social classes alter their relative political power since th</w:t>
      </w:r>
      <w:r w:rsidR="00832C49" w:rsidRPr="00A0610F">
        <w:t>ey can economically gain from exogenous shifts in international trade</w:t>
      </w:r>
      <w:r w:rsidR="00B1149C" w:rsidRPr="00A0610F">
        <w:t>.</w:t>
      </w:r>
      <w:r w:rsidR="00A31099" w:rsidRPr="00A0610F">
        <w:rPr>
          <w:rStyle w:val="FootnoteReference"/>
        </w:rPr>
        <w:footnoteReference w:id="3"/>
      </w:r>
      <w:r w:rsidR="00B1149C" w:rsidRPr="00A0610F">
        <w:t xml:space="preserve"> </w:t>
      </w:r>
      <w:r w:rsidR="00BB2A62" w:rsidRPr="00A0610F">
        <w:t>For instance, workers benefit from increased commercial relationships when the country is labour-abundant since they principally possess the labour factor. By contrast, protectionism harms and deteriorates their political status and economic wealth</w:t>
      </w:r>
      <w:r w:rsidR="00D24FEE" w:rsidRPr="00A0610F">
        <w:t xml:space="preserve">. </w:t>
      </w:r>
      <w:r w:rsidRPr="00A0610F">
        <w:t xml:space="preserve">Likewise, </w:t>
      </w:r>
      <w:r w:rsidRPr="00A0610F">
        <w:rPr>
          <w:noProof/>
        </w:rPr>
        <w:t>Baccini</w:t>
      </w:r>
      <w:r w:rsidRPr="00A0610F">
        <w:rPr>
          <w:i/>
          <w:noProof/>
        </w:rPr>
        <w:t xml:space="preserve"> et al.</w:t>
      </w:r>
      <w:r w:rsidRPr="00A0610F">
        <w:rPr>
          <w:noProof/>
        </w:rPr>
        <w:t xml:space="preserve"> (2017)</w:t>
      </w:r>
      <w:r w:rsidRPr="00A0610F">
        <w:t xml:space="preserve"> demonstrated that Preferential Trade Agreements (PTAs) favour only the most</w:t>
      </w:r>
      <w:r w:rsidR="00D97A28" w:rsidRPr="00A0610F">
        <w:t xml:space="preserve"> internationally</w:t>
      </w:r>
      <w:r w:rsidRPr="00A0610F">
        <w:t xml:space="preserve"> competitive companies</w:t>
      </w:r>
      <w:r w:rsidR="004F1A30" w:rsidRPr="00A0610F">
        <w:t xml:space="preserve"> – i.e., </w:t>
      </w:r>
      <w:r w:rsidR="0080571F" w:rsidRPr="00A0610F">
        <w:t>the largest and most productive</w:t>
      </w:r>
      <w:r w:rsidR="00F84283" w:rsidRPr="00A0610F">
        <w:t xml:space="preserve"> firms since </w:t>
      </w:r>
      <w:r w:rsidR="00A54862" w:rsidRPr="00A0610F">
        <w:t>lower international tariffs enhance the profitability of subsidiary enterprises in service abroad</w:t>
      </w:r>
      <w:r w:rsidR="003F4FA5" w:rsidRPr="00A0610F">
        <w:t xml:space="preserve">. Therefore, free trade policies </w:t>
      </w:r>
      <w:r w:rsidR="00135425" w:rsidRPr="00A0610F">
        <w:t>boost revenues</w:t>
      </w:r>
      <w:r w:rsidR="003F4FA5" w:rsidRPr="00A0610F">
        <w:t xml:space="preserve"> only </w:t>
      </w:r>
      <w:r w:rsidR="00135425" w:rsidRPr="00A0610F">
        <w:t xml:space="preserve">for leading businesses, </w:t>
      </w:r>
      <w:r w:rsidR="005132B3" w:rsidRPr="00A0610F">
        <w:t>broadening</w:t>
      </w:r>
      <w:r w:rsidRPr="00A0610F">
        <w:t xml:space="preserve"> the gap with the smaller ones </w:t>
      </w:r>
      <w:r w:rsidR="000109AA" w:rsidRPr="00A0610F">
        <w:t>which</w:t>
      </w:r>
      <w:r w:rsidRPr="00A0610F">
        <w:t xml:space="preserve"> cannot </w:t>
      </w:r>
      <w:r w:rsidR="000109AA" w:rsidRPr="00A0610F">
        <w:t>successfully compete</w:t>
      </w:r>
      <w:r w:rsidRPr="00A0610F">
        <w:t xml:space="preserve"> in a new post-PTAs environment with lower prices for manufactured goods and higher production costs</w:t>
      </w:r>
      <w:r w:rsidR="005132B3" w:rsidRPr="00A0610F">
        <w:t xml:space="preserve"> (</w:t>
      </w:r>
      <w:proofErr w:type="spellStart"/>
      <w:r w:rsidR="005132B3" w:rsidRPr="00A0610F">
        <w:t>Baccini</w:t>
      </w:r>
      <w:proofErr w:type="spellEnd"/>
      <w:r w:rsidR="005132B3" w:rsidRPr="00A0610F">
        <w:t xml:space="preserve"> </w:t>
      </w:r>
      <w:r w:rsidR="005132B3" w:rsidRPr="00A0610F">
        <w:rPr>
          <w:i/>
          <w:iCs/>
        </w:rPr>
        <w:t>et al.</w:t>
      </w:r>
      <w:r w:rsidR="005132B3" w:rsidRPr="00A0610F">
        <w:t>, 2017)</w:t>
      </w:r>
      <w:r w:rsidR="002324F1" w:rsidRPr="00A0610F">
        <w:t xml:space="preserve">. </w:t>
      </w:r>
      <w:r w:rsidR="000109AA" w:rsidRPr="00A0610F">
        <w:t>Furthermore, t</w:t>
      </w:r>
      <w:r w:rsidR="00964209" w:rsidRPr="00A0610F">
        <w:t>his mechanism</w:t>
      </w:r>
      <w:r w:rsidR="002324F1" w:rsidRPr="00A0610F">
        <w:t xml:space="preserve"> is not dissimilar </w:t>
      </w:r>
      <w:r w:rsidR="00844298" w:rsidRPr="00A0610F">
        <w:t>to</w:t>
      </w:r>
      <w:r w:rsidR="002324F1" w:rsidRPr="00A0610F">
        <w:t xml:space="preserve"> the one unveiled by Rogowski (1987) since they both contend that exogenous shocks in trade</w:t>
      </w:r>
      <w:r w:rsidR="00B07071" w:rsidRPr="00A0610F">
        <w:t xml:space="preserve"> only benefit particular social sector</w:t>
      </w:r>
      <w:r w:rsidR="00964209" w:rsidRPr="00A0610F">
        <w:t>s</w:t>
      </w:r>
      <w:r w:rsidR="00B07071" w:rsidRPr="00A0610F">
        <w:t xml:space="preserve"> or </w:t>
      </w:r>
      <w:r w:rsidR="00964209" w:rsidRPr="00A0610F">
        <w:t>profitable companies in the system</w:t>
      </w:r>
      <w:r w:rsidRPr="00A0610F">
        <w:t xml:space="preserve">. </w:t>
      </w:r>
    </w:p>
    <w:p w14:paraId="404180BE" w14:textId="1EE90CCF" w:rsidR="00A23A4F" w:rsidRPr="00A0610F" w:rsidRDefault="00A23A4F" w:rsidP="00A23A4F">
      <w:r w:rsidRPr="00A0610F">
        <w:t xml:space="preserve">By contrast, </w:t>
      </w:r>
      <w:r w:rsidRPr="00A0610F">
        <w:rPr>
          <w:noProof/>
        </w:rPr>
        <w:t>Hiscox (2001)</w:t>
      </w:r>
      <w:r w:rsidRPr="00A0610F">
        <w:t xml:space="preserve"> reasoned that both the </w:t>
      </w:r>
      <w:proofErr w:type="spellStart"/>
      <w:r w:rsidRPr="00A0610F">
        <w:t>factoral</w:t>
      </w:r>
      <w:proofErr w:type="spellEnd"/>
      <w:r w:rsidRPr="00A0610F">
        <w:t xml:space="preserve">-based and the sectoral-based theories have robust explanatory </w:t>
      </w:r>
      <w:r w:rsidR="00B86B7D" w:rsidRPr="00A0610F">
        <w:t>capacities,</w:t>
      </w:r>
      <w:r w:rsidRPr="00A0610F">
        <w:t xml:space="preserve"> </w:t>
      </w:r>
      <w:r w:rsidR="00B92FA0" w:rsidRPr="00A0610F">
        <w:t>and they are not c</w:t>
      </w:r>
      <w:r w:rsidR="00552D5D" w:rsidRPr="00A0610F">
        <w:t>ontrasting</w:t>
      </w:r>
      <w:r w:rsidR="00604CD9" w:rsidRPr="00A0610F">
        <w:t xml:space="preserve"> </w:t>
      </w:r>
      <w:r w:rsidR="003804B1" w:rsidRPr="00A0610F">
        <w:t>approaches</w:t>
      </w:r>
      <w:r w:rsidR="00604CD9" w:rsidRPr="00A0610F">
        <w:t xml:space="preserve"> but </w:t>
      </w:r>
      <w:r w:rsidR="00911121" w:rsidRPr="00A0610F">
        <w:t>the outcome of different</w:t>
      </w:r>
      <w:r w:rsidRPr="00A0610F">
        <w:t xml:space="preserve"> political-economic environments</w:t>
      </w:r>
      <w:r w:rsidR="002C3425" w:rsidRPr="00A0610F">
        <w:t xml:space="preserve"> due to diverse </w:t>
      </w:r>
      <w:r w:rsidRPr="00A0610F">
        <w:t>degree</w:t>
      </w:r>
      <w:r w:rsidR="002C3425" w:rsidRPr="00A0610F">
        <w:t>s</w:t>
      </w:r>
      <w:r w:rsidRPr="00A0610F">
        <w:t xml:space="preserve"> of factor mobility. Indeed, </w:t>
      </w:r>
      <w:r w:rsidRPr="00A0610F">
        <w:rPr>
          <w:noProof/>
        </w:rPr>
        <w:t>Hiscox (2001)</w:t>
      </w:r>
      <w:r w:rsidRPr="00A0610F">
        <w:t xml:space="preserve"> tried to resolve </w:t>
      </w:r>
      <w:r w:rsidR="00AE1732" w:rsidRPr="00A0610F">
        <w:t>one</w:t>
      </w:r>
      <w:r w:rsidRPr="00A0610F">
        <w:t xml:space="preserve"> empirical and theoretical puzzle in his research question: why in certain </w:t>
      </w:r>
      <w:r w:rsidRPr="00A0610F">
        <w:lastRenderedPageBreak/>
        <w:t xml:space="preserve">economies do we find class-based cleavages </w:t>
      </w:r>
      <w:r w:rsidR="00A10E73" w:rsidRPr="00A0610F">
        <w:t>i</w:t>
      </w:r>
      <w:r w:rsidRPr="00A0610F">
        <w:t xml:space="preserve">n the attitude toward trade openness, and why in others do we notice industry-based divisions? He found an answer </w:t>
      </w:r>
      <w:r w:rsidR="00B86B7D" w:rsidRPr="00A0610F">
        <w:t>by implementing</w:t>
      </w:r>
      <w:r w:rsidRPr="00A0610F">
        <w:t xml:space="preserve"> the </w:t>
      </w:r>
      <w:r w:rsidR="00D96A38" w:rsidRPr="00A0610F">
        <w:t>domestic</w:t>
      </w:r>
      <w:r w:rsidRPr="00A0610F">
        <w:t xml:space="preserve"> factor mobility</w:t>
      </w:r>
      <w:r w:rsidR="00B86B7D" w:rsidRPr="00A0610F">
        <w:t xml:space="preserve"> variable</w:t>
      </w:r>
      <w:r w:rsidR="00FC3F21" w:rsidRPr="00A0610F">
        <w:t xml:space="preserve"> as a mediating variable</w:t>
      </w:r>
      <w:r w:rsidRPr="00A0610F">
        <w:t>, where high mobility (H-O-S model)</w:t>
      </w:r>
      <w:r w:rsidR="00976B1E" w:rsidRPr="00A0610F">
        <w:rPr>
          <w:rStyle w:val="FootnoteReference"/>
        </w:rPr>
        <w:footnoteReference w:id="4"/>
      </w:r>
      <w:r w:rsidRPr="00A0610F">
        <w:t xml:space="preserve"> denotes cleavages based on class identification since the gains or losses from factor returns are equally shared </w:t>
      </w:r>
      <w:r w:rsidR="00A10E73" w:rsidRPr="00A0610F">
        <w:t>by</w:t>
      </w:r>
      <w:r w:rsidRPr="00A0610F">
        <w:t xml:space="preserve"> all the owners of it, concluding that same-factor holders disclose identical inclinations over trade </w:t>
      </w:r>
      <w:r w:rsidRPr="00A0610F">
        <w:rPr>
          <w:noProof/>
        </w:rPr>
        <w:t>(Hiscox, 2001)</w:t>
      </w:r>
      <w:r w:rsidRPr="00A0610F">
        <w:t>. At the other extreme, with low factor mobility in the economy (R-V model),</w:t>
      </w:r>
      <w:r w:rsidR="00235002" w:rsidRPr="00A0610F">
        <w:rPr>
          <w:rStyle w:val="FootnoteReference"/>
        </w:rPr>
        <w:footnoteReference w:id="5"/>
      </w:r>
      <w:r w:rsidRPr="00A0610F">
        <w:t xml:space="preserve"> predispositions over commerce are based on industries because they employ factors with different ratios, improving or damaging their total returns based on their factor consumption in their production techniques </w:t>
      </w:r>
      <w:r w:rsidRPr="00A0610F">
        <w:rPr>
          <w:noProof/>
        </w:rPr>
        <w:t>(Hiscox, 2001)</w:t>
      </w:r>
      <w:r w:rsidRPr="00A0610F">
        <w:t xml:space="preserve">. Likewise, </w:t>
      </w:r>
      <w:r w:rsidRPr="00A0610F">
        <w:rPr>
          <w:noProof/>
        </w:rPr>
        <w:t>Baccini</w:t>
      </w:r>
      <w:r w:rsidRPr="00A0610F">
        <w:rPr>
          <w:i/>
          <w:noProof/>
        </w:rPr>
        <w:t xml:space="preserve"> et al.</w:t>
      </w:r>
      <w:r w:rsidRPr="00A0610F">
        <w:rPr>
          <w:noProof/>
        </w:rPr>
        <w:t xml:space="preserve"> (2017)</w:t>
      </w:r>
      <w:r w:rsidRPr="00A0610F">
        <w:t xml:space="preserve"> started their papers </w:t>
      </w:r>
      <w:r w:rsidR="00A10E73" w:rsidRPr="00A0610F">
        <w:t xml:space="preserve">by </w:t>
      </w:r>
      <w:r w:rsidR="00E738EC" w:rsidRPr="00A0610F">
        <w:t>detecting</w:t>
      </w:r>
      <w:r w:rsidRPr="00A0610F">
        <w:t xml:space="preserve"> a notable gap in the literature that does not explain “which are the firms that primarily benefit from preferential agreements, or why”</w:t>
      </w:r>
      <w:r w:rsidR="00A10E73" w:rsidRPr="00A0610F">
        <w:t xml:space="preserve"> (</w:t>
      </w:r>
      <w:r w:rsidR="00A10E73" w:rsidRPr="00A0610F">
        <w:rPr>
          <w:noProof/>
        </w:rPr>
        <w:t>p. 374)</w:t>
      </w:r>
      <w:r w:rsidRPr="00A0610F">
        <w:t xml:space="preserve">. </w:t>
      </w:r>
      <w:r w:rsidR="00811DD2" w:rsidRPr="00A0610F">
        <w:t xml:space="preserve">Indeed, they considered this omission significant for the IPE improvement and academic expansion, especially regarding the phenomenon of firms’ lobbying </w:t>
      </w:r>
      <w:r w:rsidRPr="00A0610F">
        <w:rPr>
          <w:noProof/>
        </w:rPr>
        <w:t>(Baccini</w:t>
      </w:r>
      <w:r w:rsidRPr="00A0610F">
        <w:rPr>
          <w:i/>
          <w:noProof/>
        </w:rPr>
        <w:t xml:space="preserve"> et al.</w:t>
      </w:r>
      <w:r w:rsidRPr="00A0610F">
        <w:rPr>
          <w:noProof/>
        </w:rPr>
        <w:t>, 2017)</w:t>
      </w:r>
      <w:r w:rsidRPr="00A0610F">
        <w:t xml:space="preserve">. Finally, </w:t>
      </w:r>
      <w:r w:rsidRPr="00A0610F">
        <w:rPr>
          <w:noProof/>
        </w:rPr>
        <w:t>Rogowski (1987)</w:t>
      </w:r>
      <w:r w:rsidRPr="00A0610F">
        <w:t xml:space="preserve"> tried to investigate the origins of the diverse cleavages inside countries by providing a new theorisation, corroborated by</w:t>
      </w:r>
      <w:r w:rsidR="00B41191" w:rsidRPr="00A0610F">
        <w:t xml:space="preserve"> a detailed</w:t>
      </w:r>
      <w:r w:rsidRPr="00A0610F">
        <w:t xml:space="preserve"> historical and empirical </w:t>
      </w:r>
      <w:r w:rsidR="00B41191" w:rsidRPr="00A0610F">
        <w:t>analysis</w:t>
      </w:r>
      <w:r w:rsidRPr="00A0610F">
        <w:t xml:space="preserve">, to enrich the comparative politics literature, more thoroughly exposed in its canonical book “Commerce and Coalitions” </w:t>
      </w:r>
      <w:r w:rsidRPr="00A0610F">
        <w:rPr>
          <w:noProof/>
        </w:rPr>
        <w:t>(Rogowski, 1989)</w:t>
      </w:r>
      <w:r w:rsidRPr="00A0610F">
        <w:t xml:space="preserve">. </w:t>
      </w:r>
    </w:p>
    <w:p w14:paraId="2BF4DA5B" w14:textId="77777777" w:rsidR="00A23A4F" w:rsidRPr="00A0610F" w:rsidRDefault="00A23A4F" w:rsidP="00A23A4F">
      <w:pPr>
        <w:pStyle w:val="Heading1"/>
      </w:pPr>
      <w:r w:rsidRPr="00A0610F">
        <w:t>Data and Scholarly Position of the Papers</w:t>
      </w:r>
    </w:p>
    <w:p w14:paraId="4C54CDB0" w14:textId="361B965E" w:rsidR="00FE5BA0" w:rsidRPr="00A0610F" w:rsidRDefault="00A23A4F" w:rsidP="00A23A4F">
      <w:r w:rsidRPr="00A0610F">
        <w:t xml:space="preserve">In their attempt to answer their questions, all papers tried to evaluate the robustness of their assumptions in various empirical contexts. Both </w:t>
      </w:r>
      <w:r w:rsidRPr="00A0610F">
        <w:rPr>
          <w:noProof/>
        </w:rPr>
        <w:t>Rogowski (1987)</w:t>
      </w:r>
      <w:r w:rsidRPr="00A0610F">
        <w:t xml:space="preserve"> and </w:t>
      </w:r>
      <w:r w:rsidRPr="00A0610F">
        <w:rPr>
          <w:noProof/>
        </w:rPr>
        <w:t>Hiscox (2001)</w:t>
      </w:r>
      <w:r w:rsidRPr="00A0610F">
        <w:t xml:space="preserve"> </w:t>
      </w:r>
      <w:r w:rsidR="001E1CB6" w:rsidRPr="00A0610F">
        <w:t xml:space="preserve">implemented </w:t>
      </w:r>
      <w:r w:rsidR="006A25BD" w:rsidRPr="00A0610F">
        <w:t xml:space="preserve">a more qualitative research design that </w:t>
      </w:r>
      <w:r w:rsidRPr="00A0610F">
        <w:t>used historical data</w:t>
      </w:r>
      <w:r w:rsidR="0090266B" w:rsidRPr="00A0610F">
        <w:t xml:space="preserve"> on the </w:t>
      </w:r>
      <w:r w:rsidR="00931488" w:rsidRPr="00A0610F">
        <w:t xml:space="preserve">enforced policies, trade coalitions, economic developments, and other </w:t>
      </w:r>
      <w:r w:rsidR="0070558F" w:rsidRPr="00A0610F">
        <w:t>international and domestic political and economic observations</w:t>
      </w:r>
      <w:r w:rsidRPr="00A0610F">
        <w:t xml:space="preserve"> </w:t>
      </w:r>
      <w:r w:rsidR="0070558F" w:rsidRPr="00A0610F">
        <w:t>from</w:t>
      </w:r>
      <w:r w:rsidRPr="00A0610F">
        <w:t xml:space="preserve"> several countries</w:t>
      </w:r>
      <w:r w:rsidR="00495042" w:rsidRPr="00A0610F">
        <w:t xml:space="preserve">. </w:t>
      </w:r>
      <w:r w:rsidR="00812684" w:rsidRPr="00A0610F">
        <w:t>Numerous pieces of literature accredited and demonstrated the validity of qualitative research methods in hypothesis testing (</w:t>
      </w:r>
      <w:proofErr w:type="spellStart"/>
      <w:r w:rsidR="00812684" w:rsidRPr="00A0610F">
        <w:t>Lijphart</w:t>
      </w:r>
      <w:proofErr w:type="spellEnd"/>
      <w:r w:rsidR="00812684" w:rsidRPr="00A0610F">
        <w:t xml:space="preserve">, 1975; Eckstein, 2009) because they can </w:t>
      </w:r>
      <w:r w:rsidR="00812684" w:rsidRPr="00A0610F">
        <w:lastRenderedPageBreak/>
        <w:t>highlight, as reliably as quantitative studies, the indispensable conditions necessary to corroborate theories and empirical patterns: logical soundness and empirical consistency (Mearsheimer and Walt, 2013</w:t>
      </w:r>
      <w:r w:rsidRPr="00A0610F">
        <w:rPr>
          <w:noProof/>
        </w:rPr>
        <w:t>)</w:t>
      </w:r>
      <w:r w:rsidRPr="00A0610F">
        <w:t>.</w:t>
      </w:r>
      <w:r w:rsidR="00A61660" w:rsidRPr="00A0610F">
        <w:rPr>
          <w:rStyle w:val="FootnoteReference"/>
        </w:rPr>
        <w:footnoteReference w:id="6"/>
      </w:r>
      <w:r w:rsidRPr="00A0610F">
        <w:t xml:space="preserve"> However, the hypothesis testing process in the two papers is quite different. Indeed, the former gather</w:t>
      </w:r>
      <w:r w:rsidR="008C7F72" w:rsidRPr="00A0610F">
        <w:t>ed</w:t>
      </w:r>
      <w:r w:rsidRPr="00A0610F">
        <w:t xml:space="preserve"> </w:t>
      </w:r>
      <w:r w:rsidR="008C7F72" w:rsidRPr="00A0610F">
        <w:t>a substantial number of</w:t>
      </w:r>
      <w:r w:rsidRPr="00A0610F">
        <w:t xml:space="preserve"> empirical </w:t>
      </w:r>
      <w:r w:rsidR="008C7F72" w:rsidRPr="00A0610F">
        <w:t>facts and measures,</w:t>
      </w:r>
      <w:r w:rsidRPr="00A0610F">
        <w:t xml:space="preserve"> both in time and space,</w:t>
      </w:r>
      <w:r w:rsidRPr="00A0610F">
        <w:rPr>
          <w:rStyle w:val="FootnoteReference"/>
        </w:rPr>
        <w:footnoteReference w:id="7"/>
      </w:r>
      <w:r w:rsidRPr="00A0610F">
        <w:t xml:space="preserve"> collecting information from the 16</w:t>
      </w:r>
      <w:r w:rsidRPr="00A0610F">
        <w:rPr>
          <w:vertAlign w:val="superscript"/>
        </w:rPr>
        <w:t>th</w:t>
      </w:r>
      <w:r w:rsidRPr="00A0610F">
        <w:t xml:space="preserve"> century until the Cold War in various regions</w:t>
      </w:r>
      <w:r w:rsidR="003167F9" w:rsidRPr="00A0610F">
        <w:t xml:space="preserve"> such</w:t>
      </w:r>
      <w:r w:rsidRPr="00A0610F">
        <w:t xml:space="preserve"> as Europe, America, and Asia, regarding industrial, demographic, and territorial statistics, despite sometimes being a challenging categorisation</w:t>
      </w:r>
      <w:r w:rsidR="00FE5BA0" w:rsidRPr="00A0610F">
        <w:t xml:space="preserve"> </w:t>
      </w:r>
      <w:r w:rsidR="00FE5BA0" w:rsidRPr="00A0610F">
        <w:rPr>
          <w:noProof/>
        </w:rPr>
        <w:t>(Rogowski, 1987)</w:t>
      </w:r>
      <w:r w:rsidRPr="00A0610F">
        <w:t xml:space="preserve">. </w:t>
      </w:r>
      <w:r w:rsidR="007D44D1" w:rsidRPr="00A0610F">
        <w:t>In a different way</w:t>
      </w:r>
      <w:r w:rsidRPr="00A0610F">
        <w:t>, the latter collected more in-depth</w:t>
      </w:r>
      <w:r w:rsidR="000F6144" w:rsidRPr="00A0610F">
        <w:t xml:space="preserve"> and detailed</w:t>
      </w:r>
      <w:r w:rsidRPr="00A0610F">
        <w:t xml:space="preserve"> data but only from six Western and “developed” countries</w:t>
      </w:r>
      <w:r w:rsidR="00CB3566" w:rsidRPr="00A0610F">
        <w:t xml:space="preserve"> </w:t>
      </w:r>
      <w:r w:rsidRPr="00A0610F">
        <w:t>(namely, the US, the UK, France, Switzerland, Canada, and Australia), creating concerns about the external validity and generalisation of the findings</w:t>
      </w:r>
      <w:r w:rsidR="007D44D1" w:rsidRPr="00A0610F">
        <w:t xml:space="preserve"> (</w:t>
      </w:r>
      <w:proofErr w:type="spellStart"/>
      <w:r w:rsidR="007D44D1" w:rsidRPr="00A0610F">
        <w:t>Hiscox</w:t>
      </w:r>
      <w:proofErr w:type="spellEnd"/>
      <w:r w:rsidR="007D44D1" w:rsidRPr="00A0610F">
        <w:t>, 2001)</w:t>
      </w:r>
      <w:r w:rsidR="00FE5BA0" w:rsidRPr="00A0610F">
        <w:t>.</w:t>
      </w:r>
      <w:r w:rsidR="00BB4925" w:rsidRPr="00A0610F">
        <w:rPr>
          <w:rStyle w:val="FootnoteReference"/>
        </w:rPr>
        <w:footnoteReference w:id="8"/>
      </w:r>
      <w:r w:rsidR="00FE5BA0" w:rsidRPr="00A0610F">
        <w:t xml:space="preserve"> Indeed, many researchers argued that small-N qualitative design </w:t>
      </w:r>
      <w:r w:rsidR="00B85F7C" w:rsidRPr="00A0610F">
        <w:t>could</w:t>
      </w:r>
      <w:r w:rsidR="007668A3" w:rsidRPr="00A0610F">
        <w:t xml:space="preserve"> generate bias problems in the results, hampering the possibility to replicate the findings in other </w:t>
      </w:r>
      <w:r w:rsidR="00F535F2" w:rsidRPr="00A0610F">
        <w:t>geographical</w:t>
      </w:r>
      <w:r w:rsidR="007668A3" w:rsidRPr="00A0610F">
        <w:t xml:space="preserve"> or temporal </w:t>
      </w:r>
      <w:r w:rsidR="004F1C2D" w:rsidRPr="00A0610F">
        <w:t>contexts</w:t>
      </w:r>
      <w:r w:rsidR="004F1C2D" w:rsidRPr="00A0610F">
        <w:rPr>
          <w:noProof/>
        </w:rPr>
        <w:t xml:space="preserve"> (Collier</w:t>
      </w:r>
      <w:r w:rsidR="004F1C2D" w:rsidRPr="00A0610F">
        <w:rPr>
          <w:i/>
          <w:noProof/>
        </w:rPr>
        <w:t xml:space="preserve"> et al.</w:t>
      </w:r>
      <w:r w:rsidR="004F1C2D" w:rsidRPr="00A0610F">
        <w:rPr>
          <w:noProof/>
        </w:rPr>
        <w:t>, 2004)</w:t>
      </w:r>
      <w:r w:rsidR="004F1C2D" w:rsidRPr="00A0610F">
        <w:t>.</w:t>
      </w:r>
      <w:r w:rsidRPr="00A0610F">
        <w:t xml:space="preserve"> Instead, </w:t>
      </w:r>
      <w:r w:rsidRPr="00A0610F">
        <w:rPr>
          <w:noProof/>
        </w:rPr>
        <w:t>Baccini</w:t>
      </w:r>
      <w:r w:rsidRPr="00A0610F">
        <w:rPr>
          <w:i/>
          <w:noProof/>
        </w:rPr>
        <w:t xml:space="preserve"> et al.</w:t>
      </w:r>
      <w:r w:rsidRPr="00A0610F">
        <w:rPr>
          <w:noProof/>
        </w:rPr>
        <w:t xml:space="preserve"> (2017)</w:t>
      </w:r>
      <w:r w:rsidRPr="00A0610F">
        <w:t xml:space="preserve"> adopted a quantitative approach, using regression analysis over the data of firms and PTAs in the US between 1989 and 2009, </w:t>
      </w:r>
      <w:r w:rsidR="00783066" w:rsidRPr="00A0610F">
        <w:t>which</w:t>
      </w:r>
      <w:r w:rsidR="00D95658" w:rsidRPr="00A0610F">
        <w:t xml:space="preserve"> infers greater internal validity to the study, but that creates various concerns over its replicability in different contexts, primarily due to issues in the data-gathering process</w:t>
      </w:r>
      <w:r w:rsidRPr="00A0610F">
        <w:t xml:space="preserve">. </w:t>
      </w:r>
    </w:p>
    <w:p w14:paraId="6B69AD06" w14:textId="4D38E6CB" w:rsidR="00A23A4F" w:rsidRPr="00A0610F" w:rsidRDefault="00A23A4F" w:rsidP="00A23A4F">
      <w:r w:rsidRPr="00A0610F">
        <w:t xml:space="preserve">Finally, even though we cannot pinpoint Rogowski in a clear scholarly position since he was one of the pioneers of IPE theory, we can argue that he was </w:t>
      </w:r>
      <w:r w:rsidR="006C0733" w:rsidRPr="00A0610F">
        <w:t>a pioneer</w:t>
      </w:r>
      <w:r w:rsidR="00F45A97" w:rsidRPr="00A0610F">
        <w:t xml:space="preserve"> of a new way of analysing economic models through political</w:t>
      </w:r>
      <w:r w:rsidR="000C55E0" w:rsidRPr="00A0610F">
        <w:t xml:space="preserve"> lens</w:t>
      </w:r>
      <w:r w:rsidR="008442D1" w:rsidRPr="00A0610F">
        <w:t>es</w:t>
      </w:r>
      <w:r w:rsidR="000C55E0" w:rsidRPr="00A0610F">
        <w:t xml:space="preserve"> and assessing their socio-political repercussions</w:t>
      </w:r>
      <w:r w:rsidRPr="00A0610F">
        <w:t xml:space="preserve">. By contrast, other academics employed </w:t>
      </w:r>
      <w:r w:rsidRPr="00A0610F">
        <w:rPr>
          <w:noProof/>
        </w:rPr>
        <w:t>Rogowski</w:t>
      </w:r>
      <w:r w:rsidR="00247F76" w:rsidRPr="00A0610F">
        <w:rPr>
          <w:noProof/>
        </w:rPr>
        <w:t>’s</w:t>
      </w:r>
      <w:r w:rsidRPr="00A0610F">
        <w:rPr>
          <w:noProof/>
        </w:rPr>
        <w:t xml:space="preserve"> (1987; 1989)</w:t>
      </w:r>
      <w:r w:rsidRPr="00A0610F">
        <w:t xml:space="preserve"> findings to investigate and deepen his theorisation or criticise his emphasis on the macro-tendencies rather than the microeconomic firm-</w:t>
      </w:r>
      <w:r w:rsidRPr="00A0610F">
        <w:lastRenderedPageBreak/>
        <w:t xml:space="preserve">related trends. Indeed, </w:t>
      </w:r>
      <w:r w:rsidRPr="00A0610F">
        <w:rPr>
          <w:noProof/>
        </w:rPr>
        <w:t>Hiscox (2001)</w:t>
      </w:r>
      <w:r w:rsidRPr="00A0610F">
        <w:t xml:space="preserve"> tried to explain why two different explanations, the class-</w:t>
      </w:r>
      <w:proofErr w:type="spellStart"/>
      <w:r w:rsidRPr="00A0610F">
        <w:t>factoral</w:t>
      </w:r>
      <w:proofErr w:type="spellEnd"/>
      <w:r w:rsidRPr="00A0610F">
        <w:t xml:space="preserve"> theory of </w:t>
      </w:r>
      <w:r w:rsidRPr="00A0610F">
        <w:rPr>
          <w:noProof/>
        </w:rPr>
        <w:t>(Rogowski, 1987; 1989)</w:t>
      </w:r>
      <w:r w:rsidRPr="00A0610F">
        <w:t xml:space="preserve"> and the group-sectoral theory of </w:t>
      </w:r>
      <w:r w:rsidRPr="00A0610F">
        <w:rPr>
          <w:noProof/>
        </w:rPr>
        <w:t>Gourevitch (1986)</w:t>
      </w:r>
      <w:r w:rsidRPr="00A0610F">
        <w:t xml:space="preserve">, have both convincing empirical </w:t>
      </w:r>
      <w:proofErr w:type="gramStart"/>
      <w:r w:rsidR="00F43DA4" w:rsidRPr="00A0610F">
        <w:t>support</w:t>
      </w:r>
      <w:proofErr w:type="gramEnd"/>
      <w:r w:rsidRPr="00A0610F">
        <w:t xml:space="preserve">. However, </w:t>
      </w:r>
      <w:r w:rsidRPr="00A0610F">
        <w:rPr>
          <w:noProof/>
        </w:rPr>
        <w:t>Hiscox (2001)</w:t>
      </w:r>
      <w:r w:rsidRPr="00A0610F">
        <w:t xml:space="preserve"> did not favour one hypothesis over the other but instead </w:t>
      </w:r>
      <w:r w:rsidR="00FC52A8" w:rsidRPr="00A0610F">
        <w:t>combined</w:t>
      </w:r>
      <w:r w:rsidRPr="00A0610F">
        <w:t xml:space="preserve"> them together in a theorisation in which a third variable decides which one can better explain the empirical studied phenomenon. Conversely, </w:t>
      </w:r>
      <w:r w:rsidRPr="00A0610F">
        <w:rPr>
          <w:noProof/>
        </w:rPr>
        <w:t>Baccini</w:t>
      </w:r>
      <w:r w:rsidRPr="00A0610F">
        <w:rPr>
          <w:i/>
          <w:noProof/>
        </w:rPr>
        <w:t xml:space="preserve"> et al.</w:t>
      </w:r>
      <w:r w:rsidRPr="00A0610F">
        <w:rPr>
          <w:noProof/>
        </w:rPr>
        <w:t xml:space="preserve"> (2017, p. 376)</w:t>
      </w:r>
      <w:r w:rsidRPr="00A0610F">
        <w:t xml:space="preserve"> identified and acknowledged the contribution of the macro-literature over political analyses of </w:t>
      </w:r>
      <w:r w:rsidR="00C600BB" w:rsidRPr="00A0610F">
        <w:t>trade but</w:t>
      </w:r>
      <w:r w:rsidRPr="00A0610F">
        <w:t xml:space="preserve"> supported and </w:t>
      </w:r>
      <w:r w:rsidR="00C600BB" w:rsidRPr="00A0610F">
        <w:t>employed</w:t>
      </w:r>
      <w:r w:rsidRPr="00A0610F">
        <w:t xml:space="preserve"> the New Trade Theory based on firm-level studies since “debates over the politics of trade policy are best informed using evidence at the micro level”. </w:t>
      </w:r>
    </w:p>
    <w:p w14:paraId="501FA276" w14:textId="5790A284" w:rsidR="00A23A4F" w:rsidRPr="00A0610F" w:rsidRDefault="00A23A4F" w:rsidP="00A23A4F">
      <w:pPr>
        <w:pStyle w:val="Heading1"/>
      </w:pPr>
      <w:r w:rsidRPr="00A0610F">
        <w:t>Implications for IPE and Conclusion</w:t>
      </w:r>
    </w:p>
    <w:p w14:paraId="68A85644" w14:textId="0144FAED" w:rsidR="00A23A4F" w:rsidRPr="00A0610F" w:rsidRDefault="006D0B83" w:rsidP="00A23A4F">
      <w:r w:rsidRPr="00A0610F">
        <w:t>Each study has numerous and distinct conclusions and implications for understanding international trade theories and political phenomena</w:t>
      </w:r>
      <w:r w:rsidR="00E16A2E" w:rsidRPr="00A0610F">
        <w:t>. However</w:t>
      </w:r>
      <w:r w:rsidR="002F46C0" w:rsidRPr="00A0610F">
        <w:t xml:space="preserve">, their general and applicable findings are not as contrasting as scholars usually contend or predict in their studies. </w:t>
      </w:r>
      <w:r w:rsidR="00A23A4F" w:rsidRPr="00A0610F">
        <w:t xml:space="preserve">Firstly, </w:t>
      </w:r>
      <w:r w:rsidR="00A23A4F" w:rsidRPr="00A0610F">
        <w:rPr>
          <w:noProof/>
        </w:rPr>
        <w:t>Hiscox (2001)</w:t>
      </w:r>
      <w:r w:rsidR="00A23A4F" w:rsidRPr="00A0610F">
        <w:t xml:space="preserve"> emphasised</w:t>
      </w:r>
      <w:r w:rsidR="005652B7" w:rsidRPr="00A0610F">
        <w:t xml:space="preserve"> that the “classical”</w:t>
      </w:r>
      <w:r w:rsidR="00F27629" w:rsidRPr="00A0610F">
        <w:t xml:space="preserve"> and most-studied</w:t>
      </w:r>
      <w:r w:rsidR="005652B7" w:rsidRPr="00A0610F">
        <w:t xml:space="preserve"> variables</w:t>
      </w:r>
      <w:r w:rsidR="00FC7A32" w:rsidRPr="00A0610F">
        <w:t xml:space="preserve"> implemented in IPE literature, such as unionisation, taxation, and redistribution </w:t>
      </w:r>
      <w:r w:rsidR="00FC7A32" w:rsidRPr="00A0610F">
        <w:rPr>
          <w:noProof/>
        </w:rPr>
        <w:t>(e.g., Ahlquist</w:t>
      </w:r>
      <w:r w:rsidR="00FC7A32" w:rsidRPr="00A0610F">
        <w:rPr>
          <w:i/>
          <w:noProof/>
        </w:rPr>
        <w:t xml:space="preserve"> et al.</w:t>
      </w:r>
      <w:r w:rsidR="00FC7A32" w:rsidRPr="00A0610F">
        <w:rPr>
          <w:noProof/>
        </w:rPr>
        <w:t>, 2014; Alessandria</w:t>
      </w:r>
      <w:r w:rsidR="00FC7A32" w:rsidRPr="00A0610F">
        <w:rPr>
          <w:i/>
          <w:noProof/>
        </w:rPr>
        <w:t xml:space="preserve"> et al.</w:t>
      </w:r>
      <w:r w:rsidR="00FC7A32" w:rsidRPr="00A0610F">
        <w:rPr>
          <w:noProof/>
        </w:rPr>
        <w:t>, 2021), are i</w:t>
      </w:r>
      <w:r w:rsidR="00F25575" w:rsidRPr="00A0610F">
        <w:rPr>
          <w:noProof/>
        </w:rPr>
        <w:t xml:space="preserve">nsufficient or even spurious if not </w:t>
      </w:r>
      <w:r w:rsidR="000B02EA" w:rsidRPr="00A0610F">
        <w:rPr>
          <w:noProof/>
        </w:rPr>
        <w:t>implemented together with the</w:t>
      </w:r>
      <w:r w:rsidR="00BB6236" w:rsidRPr="00A0610F">
        <w:rPr>
          <w:noProof/>
        </w:rPr>
        <w:t xml:space="preserve"> significant</w:t>
      </w:r>
      <w:r w:rsidR="000B02EA" w:rsidRPr="00A0610F">
        <w:rPr>
          <w:noProof/>
        </w:rPr>
        <w:t xml:space="preserve"> economic and political effects that technological innovations generate</w:t>
      </w:r>
      <w:r w:rsidR="00CC6602" w:rsidRPr="00A0610F">
        <w:rPr>
          <w:noProof/>
        </w:rPr>
        <w:t>.</w:t>
      </w:r>
      <w:r w:rsidR="00CC6602" w:rsidRPr="00A0610F">
        <w:rPr>
          <w:rStyle w:val="FootnoteReference"/>
          <w:noProof/>
        </w:rPr>
        <w:footnoteReference w:id="9"/>
      </w:r>
      <w:r w:rsidR="00CC6602" w:rsidRPr="00A0610F">
        <w:t xml:space="preserve"> </w:t>
      </w:r>
      <w:r w:rsidR="00F340E3" w:rsidRPr="00A0610F">
        <w:t xml:space="preserve">Further, different coalitions will gain or lose political influence according to the economic development level at the moment when they are first exposed to trade </w:t>
      </w:r>
      <w:r w:rsidR="00A23A4F" w:rsidRPr="00A0610F">
        <w:rPr>
          <w:noProof/>
        </w:rPr>
        <w:t>(Rogowski, 1987)</w:t>
      </w:r>
      <w:r w:rsidR="00A23A4F" w:rsidRPr="00A0610F">
        <w:t xml:space="preserve">. Therefore, various political groupings are influenced and affected by the economic (degree of development) and technological (degree of factor mobility) environments and by the distribution effects of preferential liberalisation </w:t>
      </w:r>
      <w:r w:rsidR="00A23A4F" w:rsidRPr="00A0610F">
        <w:rPr>
          <w:noProof/>
        </w:rPr>
        <w:t>(Baccini</w:t>
      </w:r>
      <w:r w:rsidR="00A23A4F" w:rsidRPr="00A0610F">
        <w:rPr>
          <w:i/>
          <w:noProof/>
        </w:rPr>
        <w:t xml:space="preserve"> et al.</w:t>
      </w:r>
      <w:r w:rsidR="00A23A4F" w:rsidRPr="00A0610F">
        <w:rPr>
          <w:noProof/>
        </w:rPr>
        <w:t>, 2017)</w:t>
      </w:r>
      <w:r w:rsidR="00A23A4F" w:rsidRPr="00A0610F">
        <w:t xml:space="preserve">. Additionally, these conditions can change over time, explaining the fortunes and failures of political movements, like fascism, socialism, and populism, in various democracies. Finally, </w:t>
      </w:r>
      <w:proofErr w:type="gramStart"/>
      <w:r w:rsidR="00A23A4F" w:rsidRPr="00A0610F">
        <w:t>economic</w:t>
      </w:r>
      <w:proofErr w:type="gramEnd"/>
      <w:r w:rsidR="00A23A4F" w:rsidRPr="00A0610F">
        <w:t xml:space="preserve"> and technological variables are influenced by politics and policies, creating an endogeneity, a circular argument between politics, economy, and technology, as investigated by </w:t>
      </w:r>
      <w:r w:rsidR="00A23A4F" w:rsidRPr="00A0610F">
        <w:rPr>
          <w:noProof/>
        </w:rPr>
        <w:t>Wildasin</w:t>
      </w:r>
      <w:r w:rsidR="00A23A4F" w:rsidRPr="00A0610F">
        <w:rPr>
          <w:i/>
          <w:noProof/>
        </w:rPr>
        <w:t xml:space="preserve"> et al.</w:t>
      </w:r>
      <w:r w:rsidR="00A23A4F" w:rsidRPr="00A0610F">
        <w:rPr>
          <w:noProof/>
        </w:rPr>
        <w:t xml:space="preserve"> (2000)</w:t>
      </w:r>
      <w:r w:rsidR="00A23A4F" w:rsidRPr="00A0610F">
        <w:t>. However, all three papers can</w:t>
      </w:r>
      <w:r w:rsidR="00761253" w:rsidRPr="00A0610F">
        <w:t xml:space="preserve"> invaluably</w:t>
      </w:r>
      <w:r w:rsidR="00A23A4F" w:rsidRPr="00A0610F">
        <w:t xml:space="preserve"> </w:t>
      </w:r>
      <w:r w:rsidR="000A685A" w:rsidRPr="00A0610F">
        <w:t>support researchers in their</w:t>
      </w:r>
      <w:r w:rsidR="00A23A4F" w:rsidRPr="00A0610F">
        <w:t xml:space="preserve"> </w:t>
      </w:r>
      <w:r w:rsidR="000A685A" w:rsidRPr="00A0610F">
        <w:t>comprehension of</w:t>
      </w:r>
      <w:r w:rsidR="00A23A4F" w:rsidRPr="00A0610F">
        <w:t xml:space="preserve"> which groups and to what extent they influence the policy-making process in contemporary democracies. </w:t>
      </w:r>
      <w:r w:rsidR="00B45194" w:rsidRPr="00A0610F">
        <w:t xml:space="preserve">Additionally, </w:t>
      </w:r>
      <w:proofErr w:type="spellStart"/>
      <w:r w:rsidR="00B45194" w:rsidRPr="00A0610F">
        <w:t>Baccini</w:t>
      </w:r>
      <w:proofErr w:type="spellEnd"/>
      <w:r w:rsidR="00B45194" w:rsidRPr="00A0610F">
        <w:rPr>
          <w:rStyle w:val="Emphasis"/>
          <w:color w:val="0E101A"/>
        </w:rPr>
        <w:t> et al.</w:t>
      </w:r>
      <w:r w:rsidR="00B45194" w:rsidRPr="00A0610F">
        <w:t xml:space="preserve"> (2017) aided us in unveiling and understanding the dangerous vicious cycle that the </w:t>
      </w:r>
      <w:r w:rsidR="00B45194" w:rsidRPr="00A0610F">
        <w:lastRenderedPageBreak/>
        <w:t>liberalisation</w:t>
      </w:r>
      <w:r w:rsidR="00F57352" w:rsidRPr="00A0610F">
        <w:t xml:space="preserve"> </w:t>
      </w:r>
      <w:r w:rsidR="00B45194" w:rsidRPr="00A0610F">
        <w:t>process generated, creating significant concerns for policymakers and scholars</w:t>
      </w:r>
      <w:r w:rsidR="00A23A4F" w:rsidRPr="00A0610F">
        <w:t>. Indeed, based on microeconomic analysis, only the most competitive firms</w:t>
      </w:r>
      <w:r w:rsidR="009E31AA" w:rsidRPr="00A0610F">
        <w:t xml:space="preserve"> </w:t>
      </w:r>
      <w:r w:rsidR="00A23A4F" w:rsidRPr="00A0610F">
        <w:t xml:space="preserve">gain from preferential liberalisation, thus increasing their political influence and lobbying capability, coercing further preferential liberalisation that additionally </w:t>
      </w:r>
      <w:r w:rsidR="009E31AA" w:rsidRPr="00A0610F">
        <w:t>broadens</w:t>
      </w:r>
      <w:r w:rsidR="00A23A4F" w:rsidRPr="00A0610F">
        <w:t xml:space="preserve"> the gap with smaller firms that are constrained “to either contract or exit the market – a process known as selection or churn” </w:t>
      </w:r>
      <w:r w:rsidR="00A23A4F" w:rsidRPr="00A0610F">
        <w:rPr>
          <w:noProof/>
        </w:rPr>
        <w:t>(Baccini</w:t>
      </w:r>
      <w:r w:rsidR="00A23A4F" w:rsidRPr="00A0610F">
        <w:rPr>
          <w:i/>
          <w:noProof/>
        </w:rPr>
        <w:t xml:space="preserve"> et al.</w:t>
      </w:r>
      <w:r w:rsidR="00A23A4F" w:rsidRPr="00A0610F">
        <w:rPr>
          <w:noProof/>
        </w:rPr>
        <w:t>, 2017, p. 379)</w:t>
      </w:r>
      <w:r w:rsidR="00A23A4F" w:rsidRPr="00A0610F">
        <w:t xml:space="preserve">. </w:t>
      </w:r>
    </w:p>
    <w:p w14:paraId="1D0260E5" w14:textId="00E0A2C0" w:rsidR="00A23A4F" w:rsidRPr="00A0610F" w:rsidRDefault="00A23A4F" w:rsidP="00A23A4F">
      <w:r w:rsidRPr="00A0610F">
        <w:t xml:space="preserve">In conclusion, the research on trade policies and coalitions is vast. Recently, we are </w:t>
      </w:r>
      <w:r w:rsidR="00421871" w:rsidRPr="00A0610F">
        <w:t>witnessing</w:t>
      </w:r>
      <w:r w:rsidRPr="00A0610F">
        <w:t xml:space="preserve"> a new focus on the micro-level of this analysis, especially regarding multinational corporations (MNCs). However, this theorisation contrasts with all the previous findings since micro-level explanations argue about highly concentrated winners from trade while macro-theories assert about a diffuse number of winners (especially consumers for the general decrease in the price level). Differently, macro-level analyses interpreted trade as a means for political coalition formation but did not resolve two concerns. Firstly, the general public does not understand or personally experience trade </w:t>
      </w:r>
      <w:r w:rsidRPr="00A0610F">
        <w:rPr>
          <w:noProof/>
        </w:rPr>
        <w:t>(Kono, 2006)</w:t>
      </w:r>
      <w:r w:rsidRPr="00A0610F">
        <w:t xml:space="preserve">. Secondly, trade cannot explain every phenomenon when we ignore the political and electoral institutions, different types of markets (mainly because today there is an oligopoly of the largest MNCs), international factor mobility, and the “irrationality” of human and social behaviour expressed as the cultural and religious beliefs or historical reminiscences </w:t>
      </w:r>
      <w:r w:rsidRPr="00A0610F">
        <w:rPr>
          <w:noProof/>
        </w:rPr>
        <w:t>(Naoi and Kume, 2011; Head and Spencer, 2017; Gigerenzer, 2018)</w:t>
      </w:r>
      <w:r w:rsidRPr="00A0610F">
        <w:t xml:space="preserve">. Despite the differences, all the three analysed papers attempted to explain how trade influences political mobilisation and grouping formation, why countries differ in their political attitudes, and how these changes affect our societies and economies.   </w:t>
      </w:r>
    </w:p>
    <w:p w14:paraId="22478F7A" w14:textId="315FCE10" w:rsidR="00A23A4F" w:rsidRPr="00A0610F" w:rsidRDefault="00A23A4F" w:rsidP="00BF6E2F">
      <w:pPr>
        <w:pStyle w:val="Heading1"/>
        <w:pageBreakBefore/>
      </w:pPr>
      <w:r w:rsidRPr="00A0610F">
        <w:lastRenderedPageBreak/>
        <w:t>References:</w:t>
      </w:r>
      <w:r w:rsidR="00FC4D74" w:rsidRPr="00A0610F">
        <w:t xml:space="preserve"> </w:t>
      </w:r>
    </w:p>
    <w:p w14:paraId="2E58105E" w14:textId="77777777" w:rsidR="00A23A4F" w:rsidRPr="00A0610F" w:rsidRDefault="00A23A4F" w:rsidP="006909E5">
      <w:pPr>
        <w:pStyle w:val="EndNoteBibliography"/>
        <w:numPr>
          <w:ilvl w:val="0"/>
          <w:numId w:val="2"/>
        </w:numPr>
        <w:ind w:left="284"/>
        <w:rPr>
          <w:lang w:val="en-GB"/>
        </w:rPr>
      </w:pPr>
      <w:r w:rsidRPr="00A0610F">
        <w:rPr>
          <w:lang w:val="en-GB"/>
        </w:rPr>
        <w:t xml:space="preserve">Ahlquist, J. S., Clayton, A. B. and Levi, M. (2014) 'Provoking Preferences: Unionization, Trade Policy, and the ILWU Puzzle', </w:t>
      </w:r>
      <w:r w:rsidRPr="00A0610F">
        <w:rPr>
          <w:i/>
          <w:lang w:val="en-GB"/>
        </w:rPr>
        <w:t>International Organization,</w:t>
      </w:r>
      <w:r w:rsidRPr="00A0610F">
        <w:rPr>
          <w:lang w:val="en-GB"/>
        </w:rPr>
        <w:t xml:space="preserve"> 68(1), pp. 33-75.</w:t>
      </w:r>
    </w:p>
    <w:p w14:paraId="03789FD9" w14:textId="77777777" w:rsidR="00A23A4F" w:rsidRPr="00A0610F" w:rsidRDefault="00A23A4F" w:rsidP="006909E5">
      <w:pPr>
        <w:pStyle w:val="EndNoteBibliography"/>
        <w:numPr>
          <w:ilvl w:val="0"/>
          <w:numId w:val="2"/>
        </w:numPr>
        <w:ind w:left="284"/>
        <w:rPr>
          <w:lang w:val="en-GB"/>
        </w:rPr>
      </w:pPr>
      <w:r w:rsidRPr="00A0610F">
        <w:rPr>
          <w:lang w:val="en-GB"/>
        </w:rPr>
        <w:t xml:space="preserve">Alessandria, G., Choi, H. and Ruhl, K. J. (2021) 'Trade adjustment dynamics and the welfare gains from trade', </w:t>
      </w:r>
      <w:r w:rsidRPr="00A0610F">
        <w:rPr>
          <w:i/>
          <w:lang w:val="en-GB"/>
        </w:rPr>
        <w:t>Journal of International Economics,</w:t>
      </w:r>
      <w:r w:rsidRPr="00A0610F">
        <w:rPr>
          <w:lang w:val="en-GB"/>
        </w:rPr>
        <w:t xml:space="preserve"> 131, pp. 103458.</w:t>
      </w:r>
    </w:p>
    <w:p w14:paraId="4598F610" w14:textId="77777777" w:rsidR="00A23A4F" w:rsidRPr="00A0610F" w:rsidRDefault="00A23A4F" w:rsidP="006909E5">
      <w:pPr>
        <w:pStyle w:val="EndNoteBibliography"/>
        <w:numPr>
          <w:ilvl w:val="0"/>
          <w:numId w:val="2"/>
        </w:numPr>
        <w:ind w:left="284"/>
        <w:rPr>
          <w:lang w:val="en-GB"/>
        </w:rPr>
      </w:pPr>
      <w:r w:rsidRPr="00A0610F">
        <w:rPr>
          <w:lang w:val="en-GB"/>
        </w:rPr>
        <w:t xml:space="preserve">Baccini, L., Pinto, P. M. and Weymouth, S. (2017) 'The Distributional Consequences of Preferential Trade Liberalization: Firm-Level Evidence', </w:t>
      </w:r>
      <w:r w:rsidRPr="00A0610F">
        <w:rPr>
          <w:i/>
          <w:lang w:val="en-GB"/>
        </w:rPr>
        <w:t>International Organization,</w:t>
      </w:r>
      <w:r w:rsidRPr="00A0610F">
        <w:rPr>
          <w:lang w:val="en-GB"/>
        </w:rPr>
        <w:t xml:space="preserve"> 71(2), pp. 373-395.</w:t>
      </w:r>
    </w:p>
    <w:p w14:paraId="1824A06D" w14:textId="66DB9DD5" w:rsidR="00A23A4F" w:rsidRPr="00A0610F" w:rsidRDefault="00A23A4F" w:rsidP="006909E5">
      <w:pPr>
        <w:pStyle w:val="EndNoteBibliography"/>
        <w:numPr>
          <w:ilvl w:val="0"/>
          <w:numId w:val="2"/>
        </w:numPr>
        <w:ind w:left="284"/>
        <w:rPr>
          <w:lang w:val="en-GB"/>
        </w:rPr>
      </w:pPr>
      <w:r w:rsidRPr="00A0610F">
        <w:rPr>
          <w:lang w:val="en-GB"/>
        </w:rPr>
        <w:t xml:space="preserve">Bearce, D. H. (2021) 'Foreign Economic Policy', in Pevehouse, J.C.W. &amp; Seabrooke, L. (eds.) </w:t>
      </w:r>
      <w:r w:rsidRPr="00A0610F">
        <w:rPr>
          <w:i/>
          <w:lang w:val="en-GB"/>
        </w:rPr>
        <w:t>The Oxford Handbook of International Political Economy</w:t>
      </w:r>
      <w:r w:rsidRPr="00A0610F">
        <w:rPr>
          <w:lang w:val="en-GB"/>
        </w:rPr>
        <w:t>. Oxford: Oxford University Press.</w:t>
      </w:r>
    </w:p>
    <w:p w14:paraId="14EDC922" w14:textId="2E1CF51C" w:rsidR="00F13A52" w:rsidRPr="00A0610F" w:rsidRDefault="007E3F8A" w:rsidP="009B447A">
      <w:pPr>
        <w:pStyle w:val="EndNoteBibliography"/>
        <w:numPr>
          <w:ilvl w:val="0"/>
          <w:numId w:val="2"/>
        </w:numPr>
        <w:ind w:left="284"/>
        <w:rPr>
          <w:lang w:val="en-GB"/>
        </w:rPr>
      </w:pPr>
      <w:r w:rsidRPr="00A0610F">
        <w:rPr>
          <w:lang w:val="en-GB"/>
        </w:rPr>
        <w:t xml:space="preserve">Berry, H. (2010) 'Why Do Firms Divest?', </w:t>
      </w:r>
      <w:r w:rsidRPr="00A0610F">
        <w:rPr>
          <w:i/>
          <w:iCs/>
          <w:lang w:val="en-GB"/>
        </w:rPr>
        <w:t>Organization Science</w:t>
      </w:r>
      <w:r w:rsidRPr="00A0610F">
        <w:rPr>
          <w:lang w:val="en-GB"/>
        </w:rPr>
        <w:t xml:space="preserve">, </w:t>
      </w:r>
      <w:r w:rsidR="00F01E69" w:rsidRPr="00A0610F">
        <w:rPr>
          <w:lang w:val="en-GB"/>
        </w:rPr>
        <w:t>21(2), pp. 380-396.</w:t>
      </w:r>
    </w:p>
    <w:p w14:paraId="366CD786" w14:textId="065BBC19" w:rsidR="00FC4D74" w:rsidRPr="00A0610F" w:rsidRDefault="00FC4D74" w:rsidP="006909E5">
      <w:pPr>
        <w:pStyle w:val="ListParagraph"/>
        <w:numPr>
          <w:ilvl w:val="0"/>
          <w:numId w:val="2"/>
        </w:numPr>
        <w:spacing w:line="240" w:lineRule="auto"/>
        <w:ind w:left="284"/>
        <w:rPr>
          <w:rFonts w:cs="Times New Roman"/>
          <w:noProof/>
        </w:rPr>
      </w:pPr>
      <w:r w:rsidRPr="00A0610F">
        <w:rPr>
          <w:rFonts w:cs="Times New Roman"/>
          <w:noProof/>
        </w:rPr>
        <w:t xml:space="preserve">Collier, D., Mahoney, J. and Seawright, J. (2004) 'Claiming Too Much: Warnings about Selection Bias', in Brady, H.E. &amp; Collier, D. (eds.) </w:t>
      </w:r>
      <w:r w:rsidRPr="00A0610F">
        <w:rPr>
          <w:rFonts w:cs="Times New Roman"/>
          <w:i/>
          <w:iCs/>
          <w:noProof/>
        </w:rPr>
        <w:t>Rethinking Social Inquiry: Diverse Tools, Shared Standards</w:t>
      </w:r>
      <w:r w:rsidRPr="00A0610F">
        <w:rPr>
          <w:rFonts w:cs="Times New Roman"/>
          <w:noProof/>
        </w:rPr>
        <w:t>. Lanham: Rowman &amp; Littlefiled, pp. 85-102.</w:t>
      </w:r>
    </w:p>
    <w:p w14:paraId="73780572" w14:textId="40E027E4" w:rsidR="0069671A" w:rsidRPr="00A0610F" w:rsidRDefault="0069671A" w:rsidP="006909E5">
      <w:pPr>
        <w:pStyle w:val="ListParagraph"/>
        <w:numPr>
          <w:ilvl w:val="0"/>
          <w:numId w:val="2"/>
        </w:numPr>
        <w:spacing w:line="240" w:lineRule="auto"/>
        <w:ind w:left="284"/>
        <w:rPr>
          <w:rFonts w:cs="Times New Roman"/>
          <w:noProof/>
        </w:rPr>
      </w:pPr>
      <w:r w:rsidRPr="00A0610F">
        <w:rPr>
          <w:rFonts w:cs="Times New Roman"/>
          <w:noProof/>
        </w:rPr>
        <w:t xml:space="preserve">Eckstein, H. (2009) 'Case study and theory in political science', in Gomm, R., Hammersley, M. &amp; Foster, P. (eds.) </w:t>
      </w:r>
      <w:r w:rsidRPr="00A0610F">
        <w:rPr>
          <w:rFonts w:cs="Times New Roman"/>
          <w:i/>
          <w:iCs/>
          <w:noProof/>
        </w:rPr>
        <w:t>Case Study M</w:t>
      </w:r>
      <w:r w:rsidR="00BC5792" w:rsidRPr="00A0610F">
        <w:rPr>
          <w:rFonts w:cs="Times New Roman"/>
          <w:i/>
          <w:iCs/>
          <w:noProof/>
        </w:rPr>
        <w:t>e</w:t>
      </w:r>
      <w:r w:rsidRPr="00A0610F">
        <w:rPr>
          <w:rFonts w:cs="Times New Roman"/>
          <w:i/>
          <w:iCs/>
          <w:noProof/>
        </w:rPr>
        <w:t>thod</w:t>
      </w:r>
      <w:r w:rsidRPr="00A0610F">
        <w:rPr>
          <w:rFonts w:cs="Times New Roman"/>
          <w:noProof/>
        </w:rPr>
        <w:t>. London: SAGE Publications Ltd, pp. 118-164.</w:t>
      </w:r>
    </w:p>
    <w:p w14:paraId="502B3C8E" w14:textId="77777777" w:rsidR="00A23A4F" w:rsidRPr="00A0610F" w:rsidRDefault="00A23A4F" w:rsidP="006909E5">
      <w:pPr>
        <w:pStyle w:val="EndNoteBibliography"/>
        <w:numPr>
          <w:ilvl w:val="0"/>
          <w:numId w:val="2"/>
        </w:numPr>
        <w:ind w:left="284"/>
        <w:rPr>
          <w:lang w:val="en-GB"/>
        </w:rPr>
      </w:pPr>
      <w:r w:rsidRPr="00A0610F">
        <w:rPr>
          <w:lang w:val="en-GB"/>
        </w:rPr>
        <w:t xml:space="preserve">Gigerenzer, G. (2018) 'The Bias Bias in Behavioral Economics', </w:t>
      </w:r>
      <w:r w:rsidRPr="00A0610F">
        <w:rPr>
          <w:i/>
          <w:lang w:val="en-GB"/>
        </w:rPr>
        <w:t>Review of Behavioral Economics,</w:t>
      </w:r>
      <w:r w:rsidRPr="00A0610F">
        <w:rPr>
          <w:lang w:val="en-GB"/>
        </w:rPr>
        <w:t xml:space="preserve"> 5(3-4), pp. 303-336.</w:t>
      </w:r>
    </w:p>
    <w:p w14:paraId="09CAF6EA" w14:textId="43806F13" w:rsidR="0022474C" w:rsidRPr="00A0610F" w:rsidRDefault="00A23A4F" w:rsidP="006909E5">
      <w:pPr>
        <w:pStyle w:val="EndNoteBibliography"/>
        <w:numPr>
          <w:ilvl w:val="0"/>
          <w:numId w:val="2"/>
        </w:numPr>
        <w:ind w:left="284"/>
        <w:rPr>
          <w:lang w:val="en-GB"/>
        </w:rPr>
      </w:pPr>
      <w:r w:rsidRPr="00A0610F">
        <w:rPr>
          <w:lang w:val="en-GB"/>
        </w:rPr>
        <w:t xml:space="preserve">Gourevitch, P. A. (1986) </w:t>
      </w:r>
      <w:r w:rsidRPr="00A0610F">
        <w:rPr>
          <w:i/>
          <w:iCs/>
          <w:lang w:val="en-GB"/>
        </w:rPr>
        <w:t>Politics in hard times : comparative responses to international economic crises</w:t>
      </w:r>
      <w:r w:rsidR="00D220FC" w:rsidRPr="00A0610F">
        <w:rPr>
          <w:lang w:val="en-GB"/>
        </w:rPr>
        <w:t>.</w:t>
      </w:r>
      <w:r w:rsidRPr="00A0610F">
        <w:rPr>
          <w:lang w:val="en-GB"/>
        </w:rPr>
        <w:t xml:space="preserve"> Ithaca: Cornell University Press.</w:t>
      </w:r>
    </w:p>
    <w:p w14:paraId="58538162" w14:textId="460AB250" w:rsidR="009B447A" w:rsidRPr="00A0610F" w:rsidRDefault="009B447A" w:rsidP="006909E5">
      <w:pPr>
        <w:pStyle w:val="EndNoteBibliography"/>
        <w:numPr>
          <w:ilvl w:val="0"/>
          <w:numId w:val="2"/>
        </w:numPr>
        <w:ind w:left="284"/>
        <w:rPr>
          <w:lang w:val="en-GB"/>
        </w:rPr>
      </w:pPr>
      <w:r w:rsidRPr="00A0610F">
        <w:rPr>
          <w:lang w:val="en-GB"/>
        </w:rPr>
        <w:t xml:space="preserve">Hashimzade, N., Myles, G. and Black, J. (2017) </w:t>
      </w:r>
      <w:r w:rsidR="00750026" w:rsidRPr="00A0610F">
        <w:rPr>
          <w:lang w:val="en-GB"/>
        </w:rPr>
        <w:t>'</w:t>
      </w:r>
      <w:r w:rsidR="00553877" w:rsidRPr="00A0610F">
        <w:rPr>
          <w:lang w:val="en-GB"/>
        </w:rPr>
        <w:t>Factor Endownment</w:t>
      </w:r>
      <w:r w:rsidR="00750026" w:rsidRPr="00A0610F">
        <w:rPr>
          <w:lang w:val="en-GB"/>
        </w:rPr>
        <w:t>'</w:t>
      </w:r>
      <w:r w:rsidR="00553877" w:rsidRPr="00A0610F">
        <w:rPr>
          <w:lang w:val="en-GB"/>
        </w:rPr>
        <w:t xml:space="preserve">, </w:t>
      </w:r>
      <w:r w:rsidR="00553877" w:rsidRPr="00A0610F">
        <w:rPr>
          <w:i/>
          <w:iCs/>
          <w:lang w:val="en-GB"/>
        </w:rPr>
        <w:t>Oxford Dictionary of Economics</w:t>
      </w:r>
      <w:r w:rsidR="00553877" w:rsidRPr="00A0610F">
        <w:rPr>
          <w:lang w:val="en-GB"/>
        </w:rPr>
        <w:t>, 4</w:t>
      </w:r>
      <w:r w:rsidR="00553877" w:rsidRPr="00A0610F">
        <w:rPr>
          <w:vertAlign w:val="superscript"/>
          <w:lang w:val="en-GB"/>
        </w:rPr>
        <w:t>th</w:t>
      </w:r>
      <w:r w:rsidR="00553877" w:rsidRPr="00A0610F">
        <w:rPr>
          <w:lang w:val="en-GB"/>
        </w:rPr>
        <w:t xml:space="preserve"> Edn., </w:t>
      </w:r>
      <w:r w:rsidR="00B031A7" w:rsidRPr="00A0610F">
        <w:rPr>
          <w:lang w:val="en-GB"/>
        </w:rPr>
        <w:t>Oxford: Oxford University Press</w:t>
      </w:r>
    </w:p>
    <w:p w14:paraId="28BB5F5E" w14:textId="77777777" w:rsidR="00A23A4F" w:rsidRPr="00A0610F" w:rsidRDefault="00A23A4F" w:rsidP="006909E5">
      <w:pPr>
        <w:pStyle w:val="EndNoteBibliography"/>
        <w:numPr>
          <w:ilvl w:val="0"/>
          <w:numId w:val="2"/>
        </w:numPr>
        <w:ind w:left="284"/>
        <w:rPr>
          <w:lang w:val="en-GB"/>
        </w:rPr>
      </w:pPr>
      <w:r w:rsidRPr="00A0610F">
        <w:rPr>
          <w:lang w:val="en-GB"/>
        </w:rPr>
        <w:t xml:space="preserve">Head, K. and Spencer, B. J. (2017) 'Oligopoly in international trade: Rise, fall and resurgence', </w:t>
      </w:r>
      <w:r w:rsidRPr="00A0610F">
        <w:rPr>
          <w:i/>
          <w:lang w:val="en-GB"/>
        </w:rPr>
        <w:t>The Canadian Journal of Economics / Revue canadienne d'Economique,</w:t>
      </w:r>
      <w:r w:rsidRPr="00A0610F">
        <w:rPr>
          <w:lang w:val="en-GB"/>
        </w:rPr>
        <w:t xml:space="preserve"> 50(5), pp. 1414-1444.</w:t>
      </w:r>
    </w:p>
    <w:p w14:paraId="374655B1" w14:textId="77777777" w:rsidR="00A23A4F" w:rsidRPr="00A0610F" w:rsidRDefault="00A23A4F" w:rsidP="006909E5">
      <w:pPr>
        <w:pStyle w:val="EndNoteBibliography"/>
        <w:numPr>
          <w:ilvl w:val="0"/>
          <w:numId w:val="2"/>
        </w:numPr>
        <w:ind w:left="284"/>
        <w:rPr>
          <w:lang w:val="en-GB"/>
        </w:rPr>
      </w:pPr>
      <w:r w:rsidRPr="00A0610F">
        <w:rPr>
          <w:lang w:val="en-GB"/>
        </w:rPr>
        <w:t xml:space="preserve">Hiscox, M. J. (2001) 'Class Versus Industry Cleavages: Inter-Industry Factor Mobility and the Politics of Trade', </w:t>
      </w:r>
      <w:r w:rsidRPr="00A0610F">
        <w:rPr>
          <w:i/>
          <w:lang w:val="en-GB"/>
        </w:rPr>
        <w:t>International Organization,</w:t>
      </w:r>
      <w:r w:rsidRPr="00A0610F">
        <w:rPr>
          <w:lang w:val="en-GB"/>
        </w:rPr>
        <w:t xml:space="preserve"> 55(1), pp. 1-46.</w:t>
      </w:r>
    </w:p>
    <w:p w14:paraId="20523827" w14:textId="0AB79D9D" w:rsidR="00A23A4F" w:rsidRPr="00A0610F" w:rsidRDefault="00A23A4F" w:rsidP="006909E5">
      <w:pPr>
        <w:pStyle w:val="EndNoteBibliography"/>
        <w:numPr>
          <w:ilvl w:val="0"/>
          <w:numId w:val="2"/>
        </w:numPr>
        <w:ind w:left="284"/>
        <w:rPr>
          <w:lang w:val="en-GB"/>
        </w:rPr>
      </w:pPr>
      <w:r w:rsidRPr="00A0610F">
        <w:rPr>
          <w:lang w:val="en-GB"/>
        </w:rPr>
        <w:t xml:space="preserve">Hollyer, J. R. and Rosendorff, B. P. (2012) 'Leadership Survival, Regime Type, Policy Uncertainty and PTA Accession', </w:t>
      </w:r>
      <w:r w:rsidRPr="00A0610F">
        <w:rPr>
          <w:i/>
          <w:lang w:val="en-GB"/>
        </w:rPr>
        <w:t>International Studies Quarterly,</w:t>
      </w:r>
      <w:r w:rsidRPr="00A0610F">
        <w:rPr>
          <w:lang w:val="en-GB"/>
        </w:rPr>
        <w:t xml:space="preserve"> 56(4), pp. 748-764.</w:t>
      </w:r>
    </w:p>
    <w:p w14:paraId="412650A0" w14:textId="54756BD4" w:rsidR="0022474C" w:rsidRPr="00A0610F" w:rsidRDefault="0022474C" w:rsidP="006909E5">
      <w:pPr>
        <w:pStyle w:val="EndNoteBibliography"/>
        <w:numPr>
          <w:ilvl w:val="0"/>
          <w:numId w:val="2"/>
        </w:numPr>
        <w:ind w:left="284"/>
        <w:rPr>
          <w:lang w:val="en-GB"/>
        </w:rPr>
      </w:pPr>
      <w:r w:rsidRPr="00A0610F">
        <w:rPr>
          <w:lang w:val="en-GB"/>
        </w:rPr>
        <w:t>Hwang, W. and Lee, H. (2014) '</w:t>
      </w:r>
      <w:r w:rsidR="00FF62A1" w:rsidRPr="00A0610F">
        <w:rPr>
          <w:lang w:val="en-GB"/>
        </w:rPr>
        <w:t>Globalization, Factor Mobility, Partisanship, and Compensation Policies</w:t>
      </w:r>
      <w:r w:rsidRPr="00A0610F">
        <w:rPr>
          <w:lang w:val="en-GB"/>
        </w:rPr>
        <w:t>'</w:t>
      </w:r>
      <w:r w:rsidR="00FF62A1" w:rsidRPr="00A0610F">
        <w:rPr>
          <w:lang w:val="en-GB"/>
        </w:rPr>
        <w:t xml:space="preserve">, </w:t>
      </w:r>
      <w:r w:rsidR="00FF62A1" w:rsidRPr="00A0610F">
        <w:rPr>
          <w:i/>
          <w:iCs/>
          <w:lang w:val="en-GB"/>
        </w:rPr>
        <w:t>International Studies Quarterly</w:t>
      </w:r>
      <w:r w:rsidR="00FF62A1" w:rsidRPr="00A0610F">
        <w:rPr>
          <w:lang w:val="en-GB"/>
        </w:rPr>
        <w:t xml:space="preserve">, 58(1), pp. 92-105. </w:t>
      </w:r>
    </w:p>
    <w:p w14:paraId="59BBF007" w14:textId="375D06E5" w:rsidR="00C619C4" w:rsidRPr="00A0610F" w:rsidRDefault="00C619C4" w:rsidP="006909E5">
      <w:pPr>
        <w:pStyle w:val="EndNoteBibliography"/>
        <w:numPr>
          <w:ilvl w:val="0"/>
          <w:numId w:val="2"/>
        </w:numPr>
        <w:ind w:left="284"/>
        <w:rPr>
          <w:lang w:val="en-GB"/>
        </w:rPr>
      </w:pPr>
      <w:r w:rsidRPr="00A0610F">
        <w:rPr>
          <w:lang w:val="en-GB"/>
        </w:rPr>
        <w:t>Khan, S. (1970)</w:t>
      </w:r>
      <w:r w:rsidR="00945D40" w:rsidRPr="00A0610F">
        <w:rPr>
          <w:lang w:val="en-GB"/>
        </w:rPr>
        <w:t xml:space="preserve"> 'A Review of Heckscher-Ohlin and Stolper-Samuelson Theorems of International Trade', </w:t>
      </w:r>
      <w:r w:rsidR="00945D40" w:rsidRPr="00A0610F">
        <w:rPr>
          <w:i/>
          <w:lang w:val="en-GB"/>
        </w:rPr>
        <w:t>The Punjab University Economist,</w:t>
      </w:r>
      <w:r w:rsidR="00945D40" w:rsidRPr="00A0610F">
        <w:rPr>
          <w:lang w:val="en-GB"/>
        </w:rPr>
        <w:t xml:space="preserve"> 8(1), pp. 59-73.</w:t>
      </w:r>
    </w:p>
    <w:p w14:paraId="0D40E346" w14:textId="77777777" w:rsidR="00A23A4F" w:rsidRPr="00A0610F" w:rsidRDefault="00A23A4F" w:rsidP="006909E5">
      <w:pPr>
        <w:pStyle w:val="EndNoteBibliography"/>
        <w:numPr>
          <w:ilvl w:val="0"/>
          <w:numId w:val="2"/>
        </w:numPr>
        <w:ind w:left="284"/>
        <w:rPr>
          <w:lang w:val="en-GB"/>
        </w:rPr>
      </w:pPr>
      <w:r w:rsidRPr="00A0610F">
        <w:rPr>
          <w:lang w:val="en-GB"/>
        </w:rPr>
        <w:t xml:space="preserve">Kono, D. Y. (2006) 'Optimal Obfuscation: Democracy and Trade Policy Transparency', </w:t>
      </w:r>
      <w:r w:rsidRPr="00A0610F">
        <w:rPr>
          <w:i/>
          <w:lang w:val="en-GB"/>
        </w:rPr>
        <w:t>The American Political Science Review,</w:t>
      </w:r>
      <w:r w:rsidRPr="00A0610F">
        <w:rPr>
          <w:lang w:val="en-GB"/>
        </w:rPr>
        <w:t xml:space="preserve"> 100(3), pp. 369-384.</w:t>
      </w:r>
    </w:p>
    <w:p w14:paraId="0D5BA343" w14:textId="5559EE95" w:rsidR="00A23A4F" w:rsidRPr="00A0610F" w:rsidRDefault="00A23A4F" w:rsidP="006909E5">
      <w:pPr>
        <w:pStyle w:val="EndNoteBibliography"/>
        <w:numPr>
          <w:ilvl w:val="0"/>
          <w:numId w:val="2"/>
        </w:numPr>
        <w:ind w:left="284"/>
        <w:rPr>
          <w:lang w:val="en-GB"/>
        </w:rPr>
      </w:pPr>
      <w:r w:rsidRPr="00A0610F">
        <w:rPr>
          <w:lang w:val="en-GB"/>
        </w:rPr>
        <w:t>Lake, D. A. (2009) 'Open economy politics: A critical review'</w:t>
      </w:r>
      <w:r w:rsidR="00584944" w:rsidRPr="00A0610F">
        <w:rPr>
          <w:lang w:val="en-GB"/>
        </w:rPr>
        <w:t xml:space="preserve">, </w:t>
      </w:r>
      <w:r w:rsidR="00584944" w:rsidRPr="00A0610F">
        <w:rPr>
          <w:i/>
          <w:iCs/>
          <w:lang w:val="en-GB"/>
        </w:rPr>
        <w:t>The Review of International Organizations</w:t>
      </w:r>
      <w:r w:rsidR="006D2644" w:rsidRPr="00A0610F">
        <w:rPr>
          <w:lang w:val="en-GB"/>
        </w:rPr>
        <w:t>, 4(3), pp. 219-244</w:t>
      </w:r>
      <w:r w:rsidRPr="00A0610F">
        <w:rPr>
          <w:lang w:val="en-GB"/>
        </w:rPr>
        <w:t>.</w:t>
      </w:r>
    </w:p>
    <w:p w14:paraId="20E89D86" w14:textId="47D05F91" w:rsidR="008F73DC" w:rsidRPr="00A0610F" w:rsidRDefault="008F73DC" w:rsidP="006909E5">
      <w:pPr>
        <w:pStyle w:val="ListParagraph"/>
        <w:numPr>
          <w:ilvl w:val="0"/>
          <w:numId w:val="2"/>
        </w:numPr>
        <w:spacing w:line="240" w:lineRule="auto"/>
        <w:ind w:left="284"/>
        <w:rPr>
          <w:rFonts w:cs="Times New Roman"/>
          <w:noProof/>
        </w:rPr>
      </w:pPr>
      <w:r w:rsidRPr="00A0610F">
        <w:rPr>
          <w:rFonts w:cs="Times New Roman"/>
          <w:noProof/>
        </w:rPr>
        <w:lastRenderedPageBreak/>
        <w:t xml:space="preserve">Lijphart, A. (1975) 'The Comparable-Cases Strategy in Comparative Research', </w:t>
      </w:r>
      <w:r w:rsidRPr="00A0610F">
        <w:rPr>
          <w:rFonts w:cs="Times New Roman"/>
          <w:i/>
          <w:iCs/>
          <w:noProof/>
        </w:rPr>
        <w:t>Comparative Political Studies</w:t>
      </w:r>
      <w:r w:rsidRPr="00A0610F">
        <w:rPr>
          <w:rFonts w:cs="Times New Roman"/>
          <w:noProof/>
        </w:rPr>
        <w:t>, 8(2), pp. 158-177.</w:t>
      </w:r>
    </w:p>
    <w:p w14:paraId="0F9308F9" w14:textId="77777777" w:rsidR="00A23A4F" w:rsidRPr="00A0610F" w:rsidRDefault="00A23A4F" w:rsidP="006909E5">
      <w:pPr>
        <w:pStyle w:val="EndNoteBibliography"/>
        <w:numPr>
          <w:ilvl w:val="0"/>
          <w:numId w:val="2"/>
        </w:numPr>
        <w:ind w:left="284"/>
        <w:rPr>
          <w:lang w:val="en-GB"/>
        </w:rPr>
      </w:pPr>
      <w:r w:rsidRPr="00A0610F">
        <w:rPr>
          <w:lang w:val="en-GB"/>
        </w:rPr>
        <w:t xml:space="preserve">Mearsheimer, J. J. and Walt, S. M. (2013) 'Leaving theory behind: Why simplistic hypothesis testing is bad for International Relations', </w:t>
      </w:r>
      <w:r w:rsidRPr="00A0610F">
        <w:rPr>
          <w:i/>
          <w:lang w:val="en-GB"/>
        </w:rPr>
        <w:t>European Journal of International Relations,</w:t>
      </w:r>
      <w:r w:rsidRPr="00A0610F">
        <w:rPr>
          <w:lang w:val="en-GB"/>
        </w:rPr>
        <w:t xml:space="preserve"> 19(3), pp. 427-457.</w:t>
      </w:r>
    </w:p>
    <w:p w14:paraId="16CC04D0" w14:textId="77777777" w:rsidR="00A23A4F" w:rsidRPr="00A0610F" w:rsidRDefault="00A23A4F" w:rsidP="006909E5">
      <w:pPr>
        <w:pStyle w:val="EndNoteBibliography"/>
        <w:numPr>
          <w:ilvl w:val="0"/>
          <w:numId w:val="2"/>
        </w:numPr>
        <w:ind w:left="284"/>
        <w:rPr>
          <w:lang w:val="en-GB"/>
        </w:rPr>
      </w:pPr>
      <w:r w:rsidRPr="00A0610F">
        <w:rPr>
          <w:lang w:val="en-GB"/>
        </w:rPr>
        <w:t xml:space="preserve">Naoi, M. and Kume, I. (2011) 'Explaining Mass Support for Agricultural Protectionism: Evidence from a Survey Experiment During the Global Recession', </w:t>
      </w:r>
      <w:r w:rsidRPr="00A0610F">
        <w:rPr>
          <w:i/>
          <w:lang w:val="en-GB"/>
        </w:rPr>
        <w:t>International Organization,</w:t>
      </w:r>
      <w:r w:rsidRPr="00A0610F">
        <w:rPr>
          <w:lang w:val="en-GB"/>
        </w:rPr>
        <w:t xml:space="preserve"> 65(4), pp. 771-795.</w:t>
      </w:r>
    </w:p>
    <w:p w14:paraId="2BE15690" w14:textId="77777777" w:rsidR="00A23A4F" w:rsidRPr="00A0610F" w:rsidRDefault="00A23A4F" w:rsidP="006909E5">
      <w:pPr>
        <w:pStyle w:val="EndNoteBibliography"/>
        <w:numPr>
          <w:ilvl w:val="0"/>
          <w:numId w:val="2"/>
        </w:numPr>
        <w:ind w:left="284"/>
        <w:rPr>
          <w:lang w:val="en-GB"/>
        </w:rPr>
      </w:pPr>
      <w:r w:rsidRPr="00A0610F">
        <w:rPr>
          <w:lang w:val="en-GB"/>
        </w:rPr>
        <w:t xml:space="preserve">Nielson, D. L. (2003) 'Supplying Trade Reform: Political Institutions and Liberalization in Middle-Income Presidential Democracies', </w:t>
      </w:r>
      <w:r w:rsidRPr="00A0610F">
        <w:rPr>
          <w:i/>
          <w:lang w:val="en-GB"/>
        </w:rPr>
        <w:t>American Journal of Political Science,</w:t>
      </w:r>
      <w:r w:rsidRPr="00A0610F">
        <w:rPr>
          <w:lang w:val="en-GB"/>
        </w:rPr>
        <w:t xml:space="preserve"> 47(3), pp. 470-491.</w:t>
      </w:r>
    </w:p>
    <w:p w14:paraId="7EC29239" w14:textId="77777777" w:rsidR="00A23A4F" w:rsidRPr="00A0610F" w:rsidRDefault="00A23A4F" w:rsidP="006909E5">
      <w:pPr>
        <w:pStyle w:val="EndNoteBibliography"/>
        <w:numPr>
          <w:ilvl w:val="0"/>
          <w:numId w:val="2"/>
        </w:numPr>
        <w:ind w:left="284"/>
        <w:rPr>
          <w:lang w:val="en-GB"/>
        </w:rPr>
      </w:pPr>
      <w:r w:rsidRPr="00A0610F">
        <w:rPr>
          <w:lang w:val="en-GB"/>
        </w:rPr>
        <w:t xml:space="preserve">Rickard, S. J. (2021) 'Open Economy Politics Revisited', in Pevehouse, J.C.W. &amp; Seabrooke, L. (eds.) </w:t>
      </w:r>
      <w:r w:rsidRPr="00A0610F">
        <w:rPr>
          <w:i/>
          <w:lang w:val="en-GB"/>
        </w:rPr>
        <w:t>The Oxford Handbook of International Political Economy</w:t>
      </w:r>
      <w:r w:rsidRPr="00A0610F">
        <w:rPr>
          <w:lang w:val="en-GB"/>
        </w:rPr>
        <w:t>. Oxford: Oxford University Press.</w:t>
      </w:r>
    </w:p>
    <w:p w14:paraId="09709297" w14:textId="77777777" w:rsidR="00A23A4F" w:rsidRPr="00A0610F" w:rsidRDefault="00A23A4F" w:rsidP="006909E5">
      <w:pPr>
        <w:pStyle w:val="EndNoteBibliography"/>
        <w:numPr>
          <w:ilvl w:val="0"/>
          <w:numId w:val="2"/>
        </w:numPr>
        <w:ind w:left="284"/>
        <w:rPr>
          <w:lang w:val="en-GB"/>
        </w:rPr>
      </w:pPr>
      <w:r w:rsidRPr="00A0610F">
        <w:rPr>
          <w:lang w:val="en-GB"/>
        </w:rPr>
        <w:t xml:space="preserve">Rogowski, R. (1987) 'Political Cleavages and Changing Exposure to Trade', </w:t>
      </w:r>
      <w:r w:rsidRPr="00A0610F">
        <w:rPr>
          <w:i/>
          <w:lang w:val="en-GB"/>
        </w:rPr>
        <w:t>The American Political Science Review,</w:t>
      </w:r>
      <w:r w:rsidRPr="00A0610F">
        <w:rPr>
          <w:lang w:val="en-GB"/>
        </w:rPr>
        <w:t xml:space="preserve"> 81(4), pp. 1121-1137.</w:t>
      </w:r>
    </w:p>
    <w:p w14:paraId="3EB46453" w14:textId="54393FF1" w:rsidR="00A23A4F" w:rsidRPr="00A0610F" w:rsidRDefault="00A23A4F" w:rsidP="006909E5">
      <w:pPr>
        <w:pStyle w:val="EndNoteBibliography"/>
        <w:numPr>
          <w:ilvl w:val="0"/>
          <w:numId w:val="2"/>
        </w:numPr>
        <w:ind w:left="284"/>
        <w:rPr>
          <w:lang w:val="en-GB"/>
        </w:rPr>
      </w:pPr>
      <w:r w:rsidRPr="00A0610F">
        <w:rPr>
          <w:lang w:val="en-GB"/>
        </w:rPr>
        <w:t xml:space="preserve">Rogowski, R. (1989) </w:t>
      </w:r>
      <w:r w:rsidRPr="00A0610F">
        <w:rPr>
          <w:i/>
          <w:iCs/>
          <w:lang w:val="en-GB"/>
        </w:rPr>
        <w:t>Commerce and coalitions : how trade affects domestic political alignments</w:t>
      </w:r>
      <w:r w:rsidRPr="00A0610F">
        <w:rPr>
          <w:lang w:val="en-GB"/>
        </w:rPr>
        <w:t>. Princeton: Princeton University Press.</w:t>
      </w:r>
    </w:p>
    <w:p w14:paraId="3356DE10" w14:textId="31CEC327" w:rsidR="00E923C2" w:rsidRPr="00A0610F" w:rsidRDefault="00E923C2" w:rsidP="006909E5">
      <w:pPr>
        <w:pStyle w:val="EndNoteBibliography"/>
        <w:numPr>
          <w:ilvl w:val="0"/>
          <w:numId w:val="2"/>
        </w:numPr>
        <w:ind w:left="284"/>
        <w:rPr>
          <w:lang w:val="en-GB"/>
        </w:rPr>
      </w:pPr>
      <w:r w:rsidRPr="00A0610F">
        <w:rPr>
          <w:lang w:val="en-GB"/>
        </w:rPr>
        <w:t>Samuelson</w:t>
      </w:r>
      <w:r w:rsidR="0074261B" w:rsidRPr="00A0610F">
        <w:rPr>
          <w:lang w:val="en-GB"/>
        </w:rPr>
        <w:t xml:space="preserve">, P. (1971) 'Ohlin Was Right', </w:t>
      </w:r>
      <w:r w:rsidR="007B297B" w:rsidRPr="00A0610F">
        <w:rPr>
          <w:i/>
          <w:lang w:val="en-GB"/>
        </w:rPr>
        <w:t>Swedish Journal of Economics</w:t>
      </w:r>
      <w:r w:rsidR="0074261B" w:rsidRPr="00A0610F">
        <w:rPr>
          <w:i/>
          <w:lang w:val="en-GB"/>
        </w:rPr>
        <w:t>,</w:t>
      </w:r>
      <w:r w:rsidR="0074261B" w:rsidRPr="00A0610F">
        <w:rPr>
          <w:lang w:val="en-GB"/>
        </w:rPr>
        <w:t xml:space="preserve"> </w:t>
      </w:r>
      <w:r w:rsidR="007B297B" w:rsidRPr="00A0610F">
        <w:rPr>
          <w:lang w:val="en-GB"/>
        </w:rPr>
        <w:t>73</w:t>
      </w:r>
      <w:r w:rsidR="0074261B" w:rsidRPr="00A0610F">
        <w:rPr>
          <w:lang w:val="en-GB"/>
        </w:rPr>
        <w:t>(</w:t>
      </w:r>
      <w:r w:rsidR="007B297B" w:rsidRPr="00A0610F">
        <w:rPr>
          <w:lang w:val="en-GB"/>
        </w:rPr>
        <w:t>4</w:t>
      </w:r>
      <w:r w:rsidR="0074261B" w:rsidRPr="00A0610F">
        <w:rPr>
          <w:lang w:val="en-GB"/>
        </w:rPr>
        <w:t xml:space="preserve">), pp. </w:t>
      </w:r>
      <w:r w:rsidR="007B297B" w:rsidRPr="00A0610F">
        <w:rPr>
          <w:lang w:val="en-GB"/>
        </w:rPr>
        <w:t>356-384</w:t>
      </w:r>
      <w:r w:rsidR="0074261B" w:rsidRPr="00A0610F">
        <w:rPr>
          <w:lang w:val="en-GB"/>
        </w:rPr>
        <w:t>.</w:t>
      </w:r>
    </w:p>
    <w:p w14:paraId="6421864F" w14:textId="125571FB" w:rsidR="004856EA" w:rsidRPr="00A0610F" w:rsidRDefault="004856EA" w:rsidP="006909E5">
      <w:pPr>
        <w:pStyle w:val="EndNoteBibliography"/>
        <w:numPr>
          <w:ilvl w:val="0"/>
          <w:numId w:val="2"/>
        </w:numPr>
        <w:ind w:left="284"/>
        <w:rPr>
          <w:lang w:val="en-GB"/>
        </w:rPr>
      </w:pPr>
      <w:r w:rsidRPr="00A0610F">
        <w:rPr>
          <w:lang w:val="en-GB"/>
        </w:rPr>
        <w:t>Sc</w:t>
      </w:r>
      <w:r w:rsidR="00F13081" w:rsidRPr="00A0610F">
        <w:rPr>
          <w:lang w:val="en-GB"/>
        </w:rPr>
        <w:t xml:space="preserve">hmitz, A. and Helmberger, P. (1970), 'Factor Mobility and International Trade: The Case of Complementarity', </w:t>
      </w:r>
      <w:r w:rsidR="00F13081" w:rsidRPr="00A0610F">
        <w:rPr>
          <w:i/>
          <w:iCs/>
          <w:lang w:val="en-GB"/>
        </w:rPr>
        <w:t>The American Economic Review</w:t>
      </w:r>
      <w:r w:rsidR="00F13081" w:rsidRPr="00A0610F">
        <w:rPr>
          <w:lang w:val="en-GB"/>
        </w:rPr>
        <w:t xml:space="preserve">, </w:t>
      </w:r>
      <w:r w:rsidR="00F04F2C" w:rsidRPr="00A0610F">
        <w:rPr>
          <w:lang w:val="en-GB"/>
        </w:rPr>
        <w:t>60(4), pp. 761-767.</w:t>
      </w:r>
    </w:p>
    <w:p w14:paraId="2979AA35" w14:textId="77777777" w:rsidR="00A23A4F" w:rsidRPr="00A0610F" w:rsidRDefault="00A23A4F" w:rsidP="006909E5">
      <w:pPr>
        <w:pStyle w:val="EndNoteBibliography"/>
        <w:numPr>
          <w:ilvl w:val="0"/>
          <w:numId w:val="2"/>
        </w:numPr>
        <w:ind w:left="284"/>
        <w:rPr>
          <w:lang w:val="en-GB"/>
        </w:rPr>
      </w:pPr>
      <w:r w:rsidRPr="00A0610F">
        <w:rPr>
          <w:lang w:val="en-GB"/>
        </w:rPr>
        <w:t xml:space="preserve">Stolper, W. F. and Samuelson, P. A. (1941) 'Protection and Real Wages', </w:t>
      </w:r>
      <w:r w:rsidRPr="00A0610F">
        <w:rPr>
          <w:i/>
          <w:lang w:val="en-GB"/>
        </w:rPr>
        <w:t>The Review of Economic Studies,</w:t>
      </w:r>
      <w:r w:rsidRPr="00A0610F">
        <w:rPr>
          <w:lang w:val="en-GB"/>
        </w:rPr>
        <w:t xml:space="preserve"> 9(1), pp. 58-73.</w:t>
      </w:r>
    </w:p>
    <w:p w14:paraId="3B8375DE" w14:textId="0323D5CE" w:rsidR="00A23A4F" w:rsidRPr="00A0610F" w:rsidRDefault="00A23A4F" w:rsidP="006909E5">
      <w:pPr>
        <w:pStyle w:val="EndNoteBibliography"/>
        <w:numPr>
          <w:ilvl w:val="0"/>
          <w:numId w:val="2"/>
        </w:numPr>
        <w:ind w:left="283" w:hanging="357"/>
        <w:rPr>
          <w:lang w:val="en-GB"/>
        </w:rPr>
      </w:pPr>
      <w:r w:rsidRPr="00A0610F">
        <w:rPr>
          <w:lang w:val="en-GB"/>
        </w:rPr>
        <w:t xml:space="preserve">Strange, S. (1970) 'International Economics and International Relations: A Case of Mutual Neglect', </w:t>
      </w:r>
      <w:r w:rsidRPr="00A0610F">
        <w:rPr>
          <w:i/>
          <w:lang w:val="en-GB"/>
        </w:rPr>
        <w:t>International Affairs,</w:t>
      </w:r>
      <w:r w:rsidRPr="00A0610F">
        <w:rPr>
          <w:lang w:val="en-GB"/>
        </w:rPr>
        <w:t xml:space="preserve"> 46(2), pp. 304-315.</w:t>
      </w:r>
    </w:p>
    <w:p w14:paraId="3F7F3535" w14:textId="3369EEE2" w:rsidR="00E42A12" w:rsidRDefault="00A23A4F" w:rsidP="00E42A12">
      <w:pPr>
        <w:pStyle w:val="EndNoteBibliography"/>
        <w:numPr>
          <w:ilvl w:val="0"/>
          <w:numId w:val="2"/>
        </w:numPr>
        <w:ind w:left="284"/>
        <w:rPr>
          <w:lang w:val="en-GB"/>
        </w:rPr>
      </w:pPr>
      <w:r w:rsidRPr="00A0610F">
        <w:rPr>
          <w:lang w:val="en-GB"/>
        </w:rPr>
        <w:t xml:space="preserve">Wildasin, D. E., Markusen, J. R. and Winters, L. A. (2000) 'Factor Mobility and Fiscal Policy in the EU: Policy Issues and Analytical Approaches', </w:t>
      </w:r>
      <w:r w:rsidRPr="00A0610F">
        <w:rPr>
          <w:i/>
          <w:lang w:val="en-GB"/>
        </w:rPr>
        <w:t>Economic Policy,</w:t>
      </w:r>
      <w:r w:rsidRPr="00A0610F">
        <w:rPr>
          <w:lang w:val="en-GB"/>
        </w:rPr>
        <w:t xml:space="preserve"> 15(31), pp. 339-378.</w:t>
      </w:r>
    </w:p>
    <w:p w14:paraId="45DBC65E" w14:textId="1B55D956" w:rsidR="00E42A12" w:rsidRDefault="00E42A12" w:rsidP="00E42A12">
      <w:pPr>
        <w:pStyle w:val="EndNoteBibliography"/>
        <w:ind w:left="-76" w:firstLine="0"/>
        <w:rPr>
          <w:lang w:val="en-GB"/>
        </w:rPr>
      </w:pPr>
    </w:p>
    <w:p w14:paraId="17578A27" w14:textId="6A942E42" w:rsidR="00E42A12" w:rsidRDefault="00E42A12" w:rsidP="00E42A12">
      <w:pPr>
        <w:pStyle w:val="NormalWeb"/>
      </w:pPr>
      <w:r>
        <w:rPr>
          <w:rFonts w:ascii="Sylfaen" w:hAnsi="Sylfaen"/>
          <w:sz w:val="22"/>
          <w:szCs w:val="22"/>
          <w:shd w:val="clear" w:color="auto" w:fill="FFFFFF"/>
        </w:rPr>
        <w:t>©</w:t>
      </w:r>
      <w:proofErr w:type="spellStart"/>
      <w:r>
        <w:rPr>
          <w:rFonts w:ascii="Sylfaen" w:hAnsi="Sylfaen"/>
          <w:sz w:val="22"/>
          <w:szCs w:val="22"/>
          <w:shd w:val="clear" w:color="auto" w:fill="FFFFFF"/>
        </w:rPr>
        <w:t>Pierluigi</w:t>
      </w:r>
      <w:proofErr w:type="spellEnd"/>
      <w:r>
        <w:rPr>
          <w:rFonts w:ascii="Sylfaen" w:hAnsi="Sylfaen"/>
          <w:sz w:val="22"/>
          <w:szCs w:val="22"/>
          <w:shd w:val="clear" w:color="auto" w:fill="FFFFFF"/>
        </w:rPr>
        <w:t xml:space="preserve"> De Rogatis</w:t>
      </w:r>
      <w:r>
        <w:rPr>
          <w:rFonts w:ascii="Sylfaen" w:hAnsi="Sylfaen"/>
          <w:sz w:val="22"/>
          <w:szCs w:val="22"/>
          <w:shd w:val="clear" w:color="auto" w:fill="FFFFFF"/>
        </w:rPr>
        <w:t xml:space="preserve">. This article is licensed under a Creative Commons Attribution 4.0 International Licence (CC BY). </w:t>
      </w:r>
    </w:p>
    <w:p w14:paraId="477F7097" w14:textId="77777777" w:rsidR="00E42A12" w:rsidRPr="00E42A12" w:rsidRDefault="00E42A12" w:rsidP="00E42A12">
      <w:pPr>
        <w:pStyle w:val="EndNoteBibliography"/>
        <w:ind w:left="-76" w:firstLine="0"/>
        <w:rPr>
          <w:lang w:val="en-GB"/>
        </w:rPr>
      </w:pPr>
    </w:p>
    <w:sectPr w:rsidR="00E42A12" w:rsidRPr="00E42A12" w:rsidSect="00BE6334">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4B82B" w14:textId="77777777" w:rsidR="002A4924" w:rsidRDefault="002A4924" w:rsidP="00A23A4F">
      <w:r>
        <w:separator/>
      </w:r>
    </w:p>
  </w:endnote>
  <w:endnote w:type="continuationSeparator" w:id="0">
    <w:p w14:paraId="2DD87064" w14:textId="77777777" w:rsidR="002A4924" w:rsidRDefault="002A4924" w:rsidP="00A2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EndPr>
      <w:rPr>
        <w:noProof/>
      </w:rPr>
    </w:sdtEndPr>
    <w:sdtContent>
      <w:p w14:paraId="3B8F3F63" w14:textId="77777777" w:rsidR="00057F3F" w:rsidRDefault="00057F3F" w:rsidP="00A23A4F">
        <w:pPr>
          <w:pStyle w:val="Footer"/>
        </w:pPr>
      </w:p>
      <w:p w14:paraId="3655714B" w14:textId="414009F4" w:rsidR="00BE6334" w:rsidRPr="00990D5E" w:rsidRDefault="00BE6334" w:rsidP="00A23A4F">
        <w:pPr>
          <w:pStyle w:val="Foo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53572EBB" w:rsidR="00BE6334" w:rsidRPr="00990D5E" w:rsidRDefault="00BE6334" w:rsidP="00A23A4F">
        <w:pPr>
          <w:pStyle w:val="Footer"/>
        </w:pPr>
        <w:r w:rsidRPr="00990D5E">
          <w:rPr>
            <w:noProof/>
          </w:rPr>
          <w:t xml:space="preserve">This article is CC BY </w:t>
        </w:r>
        <w:r w:rsidR="00CE0F71">
          <w:rPr>
            <w:noProof/>
          </w:rPr>
          <w:t>Pierluigi De Rogatis</w:t>
        </w:r>
        <w:r w:rsidRPr="00990D5E">
          <w:rPr>
            <w:noProof/>
          </w:rPr>
          <w:tab/>
        </w:r>
        <w:r w:rsidRPr="00990D5E">
          <w:rPr>
            <w:noProof/>
          </w:rPr>
          <w:tab/>
          <w:t xml:space="preserve">Essex Student Journal, </w:t>
        </w:r>
        <w:r w:rsidR="00CE0F71">
          <w:rPr>
            <w:noProof/>
          </w:rPr>
          <w:t>2022</w:t>
        </w:r>
        <w:r w:rsidR="00990D5E">
          <w:rPr>
            <w:noProof/>
          </w:rPr>
          <w:t>, Vol</w:t>
        </w:r>
        <w:r w:rsidRPr="00990D5E">
          <w:rPr>
            <w:noProof/>
          </w:rPr>
          <w:t>.</w:t>
        </w:r>
        <w:r w:rsidR="00CE0F71">
          <w:rPr>
            <w:noProof/>
          </w:rPr>
          <w:t>13</w:t>
        </w:r>
      </w:p>
    </w:sdtContent>
  </w:sdt>
  <w:p w14:paraId="793C577F" w14:textId="7A4BCCF9" w:rsidR="00BE6334" w:rsidRPr="00990D5E" w:rsidRDefault="00BE6334" w:rsidP="00A23A4F">
    <w:pPr>
      <w:pStyle w:val="Footer"/>
    </w:pPr>
    <w:r w:rsidRPr="00990D5E">
      <w:t xml:space="preserve">DOI: </w:t>
    </w:r>
    <w:r w:rsidR="00F54E7D">
      <w:rPr>
        <w:sz w:val="20"/>
        <w:szCs w:val="20"/>
      </w:rPr>
      <w:t>https://doi.org/10.5526/esj104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6270"/>
      <w:docPartObj>
        <w:docPartGallery w:val="Page Numbers (Bottom of Page)"/>
        <w:docPartUnique/>
      </w:docPartObj>
    </w:sdtPr>
    <w:sdtEndPr>
      <w:rPr>
        <w:noProof/>
      </w:rPr>
    </w:sdtEndPr>
    <w:sdtContent>
      <w:p w14:paraId="502A6426" w14:textId="77777777" w:rsidR="00057F3F" w:rsidRDefault="00057F3F" w:rsidP="00A23A4F">
        <w:pPr>
          <w:pStyle w:val="Footer"/>
        </w:pPr>
      </w:p>
      <w:p w14:paraId="17E0F48F" w14:textId="12DA4930" w:rsidR="00BE6334" w:rsidRPr="00990D5E" w:rsidRDefault="00BE6334" w:rsidP="00A23A4F">
        <w:pPr>
          <w:pStyle w:val="Foo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23A4F">
        <w:pPr>
          <w:pStyle w:val="Footer"/>
        </w:pPr>
        <w:r>
          <w:rPr>
            <w:noProof/>
          </w:rPr>
          <w:tab/>
        </w:r>
        <w:r>
          <w:rPr>
            <w:noProof/>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CE75D" w14:textId="77777777" w:rsidR="002A4924" w:rsidRDefault="002A4924" w:rsidP="00A23A4F">
      <w:r>
        <w:separator/>
      </w:r>
    </w:p>
  </w:footnote>
  <w:footnote w:type="continuationSeparator" w:id="0">
    <w:p w14:paraId="3029A0BD" w14:textId="77777777" w:rsidR="002A4924" w:rsidRDefault="002A4924" w:rsidP="00A23A4F">
      <w:r>
        <w:continuationSeparator/>
      </w:r>
    </w:p>
  </w:footnote>
  <w:footnote w:id="1">
    <w:p w14:paraId="721E2171" w14:textId="7623F6D1" w:rsidR="00E57C14" w:rsidRPr="00A0610F" w:rsidRDefault="00E57C14">
      <w:pPr>
        <w:pStyle w:val="FootnoteText"/>
        <w:rPr>
          <w:rFonts w:ascii="Sylfaen" w:hAnsi="Sylfaen"/>
          <w:sz w:val="20"/>
          <w:szCs w:val="20"/>
          <w:lang w:val="en-GB"/>
        </w:rPr>
      </w:pPr>
      <w:r w:rsidRPr="00A0610F">
        <w:rPr>
          <w:rStyle w:val="FootnoteReference"/>
          <w:rFonts w:ascii="Sylfaen" w:hAnsi="Sylfaen"/>
          <w:sz w:val="20"/>
          <w:szCs w:val="20"/>
          <w:lang w:val="en-GB"/>
        </w:rPr>
        <w:footnoteRef/>
      </w:r>
      <w:r w:rsidRPr="00A0610F">
        <w:rPr>
          <w:rFonts w:ascii="Sylfaen" w:hAnsi="Sylfaen"/>
          <w:sz w:val="20"/>
          <w:szCs w:val="20"/>
          <w:lang w:val="en-GB"/>
        </w:rPr>
        <w:t xml:space="preserve"> </w:t>
      </w:r>
      <w:r w:rsidR="00D66318" w:rsidRPr="00A0610F">
        <w:rPr>
          <w:rFonts w:ascii="Sylfaen" w:hAnsi="Sylfaen"/>
          <w:sz w:val="20"/>
          <w:szCs w:val="20"/>
          <w:lang w:val="en-GB"/>
        </w:rPr>
        <w:t xml:space="preserve">Therefore, international trade is a result of different production functions </w:t>
      </w:r>
      <w:r w:rsidR="000832B2" w:rsidRPr="00A0610F">
        <w:rPr>
          <w:rFonts w:ascii="Sylfaen" w:hAnsi="Sylfaen"/>
          <w:sz w:val="20"/>
          <w:szCs w:val="20"/>
          <w:lang w:val="en-GB"/>
        </w:rPr>
        <w:t xml:space="preserve">in the </w:t>
      </w:r>
      <w:r w:rsidR="00D66318" w:rsidRPr="00A0610F">
        <w:rPr>
          <w:rFonts w:ascii="Sylfaen" w:hAnsi="Sylfaen"/>
          <w:sz w:val="20"/>
          <w:szCs w:val="20"/>
          <w:lang w:val="en-GB"/>
        </w:rPr>
        <w:t xml:space="preserve">R-V model, </w:t>
      </w:r>
      <w:r w:rsidR="00D4708C" w:rsidRPr="00A0610F">
        <w:rPr>
          <w:rFonts w:ascii="Sylfaen" w:hAnsi="Sylfaen"/>
          <w:sz w:val="20"/>
          <w:szCs w:val="20"/>
          <w:lang w:val="en-GB"/>
        </w:rPr>
        <w:t>various relative</w:t>
      </w:r>
      <w:r w:rsidR="001D2348">
        <w:rPr>
          <w:rFonts w:ascii="Sylfaen" w:hAnsi="Sylfaen"/>
          <w:sz w:val="20"/>
          <w:szCs w:val="20"/>
          <w:lang w:val="en-GB"/>
        </w:rPr>
        <w:t xml:space="preserve"> </w:t>
      </w:r>
      <w:r w:rsidR="00D4708C" w:rsidRPr="00A0610F">
        <w:rPr>
          <w:rFonts w:ascii="Sylfaen" w:hAnsi="Sylfaen"/>
          <w:sz w:val="20"/>
          <w:szCs w:val="20"/>
          <w:lang w:val="en-GB"/>
        </w:rPr>
        <w:t xml:space="preserve">factor endowments </w:t>
      </w:r>
      <w:r w:rsidR="000832B2" w:rsidRPr="00A0610F">
        <w:rPr>
          <w:rFonts w:ascii="Sylfaen" w:hAnsi="Sylfaen"/>
          <w:sz w:val="20"/>
          <w:szCs w:val="20"/>
          <w:lang w:val="en-GB"/>
        </w:rPr>
        <w:t xml:space="preserve">in the </w:t>
      </w:r>
      <w:r w:rsidR="00D4708C" w:rsidRPr="00A0610F">
        <w:rPr>
          <w:rFonts w:ascii="Sylfaen" w:hAnsi="Sylfaen"/>
          <w:sz w:val="20"/>
          <w:szCs w:val="20"/>
          <w:lang w:val="en-GB"/>
        </w:rPr>
        <w:t>H-O model</w:t>
      </w:r>
      <w:r w:rsidR="000832B2" w:rsidRPr="00A0610F">
        <w:rPr>
          <w:rFonts w:ascii="Sylfaen" w:hAnsi="Sylfaen"/>
          <w:sz w:val="20"/>
          <w:szCs w:val="20"/>
          <w:lang w:val="en-GB"/>
        </w:rPr>
        <w:t xml:space="preserve"> (Schmitz and Helmberger, 1970), or </w:t>
      </w:r>
      <w:r w:rsidR="002F1932" w:rsidRPr="00A0610F">
        <w:rPr>
          <w:rFonts w:ascii="Sylfaen" w:hAnsi="Sylfaen"/>
          <w:sz w:val="20"/>
          <w:szCs w:val="20"/>
          <w:lang w:val="en-GB"/>
        </w:rPr>
        <w:t>profi</w:t>
      </w:r>
      <w:r w:rsidR="007E3F8A" w:rsidRPr="00A0610F">
        <w:rPr>
          <w:rFonts w:ascii="Sylfaen" w:hAnsi="Sylfaen"/>
          <w:sz w:val="20"/>
          <w:szCs w:val="20"/>
          <w:lang w:val="en-GB"/>
        </w:rPr>
        <w:t>t from lower production costs and new market opportunities</w:t>
      </w:r>
      <w:r w:rsidR="00DA6627" w:rsidRPr="00A0610F">
        <w:rPr>
          <w:rFonts w:ascii="Sylfaen" w:hAnsi="Sylfaen"/>
          <w:sz w:val="20"/>
          <w:szCs w:val="20"/>
          <w:lang w:val="en-GB"/>
        </w:rPr>
        <w:t xml:space="preserve"> in the firm-level model</w:t>
      </w:r>
      <w:r w:rsidR="007E3F8A" w:rsidRPr="00A0610F">
        <w:rPr>
          <w:rFonts w:ascii="Sylfaen" w:hAnsi="Sylfaen"/>
          <w:sz w:val="20"/>
          <w:szCs w:val="20"/>
          <w:lang w:val="en-GB"/>
        </w:rPr>
        <w:t xml:space="preserve"> (Berry, 2010)</w:t>
      </w:r>
      <w:r w:rsidR="004856EA" w:rsidRPr="00A0610F">
        <w:rPr>
          <w:rFonts w:ascii="Sylfaen" w:hAnsi="Sylfaen"/>
          <w:sz w:val="20"/>
          <w:szCs w:val="20"/>
          <w:lang w:val="en-GB"/>
        </w:rPr>
        <w:t>.</w:t>
      </w:r>
      <w:r w:rsidR="000832B2" w:rsidRPr="00A0610F">
        <w:rPr>
          <w:rFonts w:ascii="Sylfaen" w:hAnsi="Sylfaen"/>
          <w:sz w:val="20"/>
          <w:szCs w:val="20"/>
          <w:lang w:val="en-GB"/>
        </w:rPr>
        <w:t xml:space="preserve"> </w:t>
      </w:r>
    </w:p>
  </w:footnote>
  <w:footnote w:id="2">
    <w:p w14:paraId="710E4C4E" w14:textId="325A0B70" w:rsidR="00267FC4" w:rsidRPr="00A0610F" w:rsidRDefault="00267FC4" w:rsidP="00662E3D">
      <w:pPr>
        <w:pStyle w:val="FootnoteText"/>
        <w:rPr>
          <w:rFonts w:ascii="Sylfaen" w:hAnsi="Sylfaen"/>
          <w:lang w:val="en-GB"/>
        </w:rPr>
      </w:pPr>
      <w:r w:rsidRPr="00A0610F">
        <w:rPr>
          <w:rStyle w:val="FootnoteReference"/>
          <w:rFonts w:ascii="Sylfaen" w:hAnsi="Sylfaen"/>
          <w:sz w:val="20"/>
          <w:szCs w:val="20"/>
          <w:lang w:val="en-GB"/>
        </w:rPr>
        <w:footnoteRef/>
      </w:r>
      <w:r w:rsidRPr="00A0610F">
        <w:rPr>
          <w:rFonts w:ascii="Sylfaen" w:hAnsi="Sylfaen"/>
          <w:sz w:val="20"/>
          <w:szCs w:val="20"/>
          <w:lang w:val="en-GB"/>
        </w:rPr>
        <w:t xml:space="preserve"> </w:t>
      </w:r>
      <w:r w:rsidR="00F85287" w:rsidRPr="00A0610F">
        <w:rPr>
          <w:rFonts w:ascii="Sylfaen" w:hAnsi="Sylfaen"/>
          <w:sz w:val="20"/>
          <w:szCs w:val="20"/>
          <w:lang w:val="en-GB"/>
        </w:rPr>
        <w:t>Factors are the inputs necessary for the production system, usually identified by labour, capital, and sometimes land. Therefore, factor endowment is the stock of factors of production possessed by different individuals or countries (Hashimzade</w:t>
      </w:r>
      <w:r w:rsidR="00F85287" w:rsidRPr="00A0610F">
        <w:rPr>
          <w:rFonts w:ascii="Sylfaen" w:hAnsi="Sylfaen"/>
          <w:i/>
          <w:iCs/>
          <w:sz w:val="20"/>
          <w:szCs w:val="20"/>
          <w:lang w:val="en-GB"/>
        </w:rPr>
        <w:t> et al.</w:t>
      </w:r>
      <w:r w:rsidR="00F85287" w:rsidRPr="00A0610F">
        <w:rPr>
          <w:rFonts w:ascii="Sylfaen" w:hAnsi="Sylfaen"/>
          <w:sz w:val="20"/>
          <w:szCs w:val="20"/>
          <w:lang w:val="en-GB"/>
        </w:rPr>
        <w:t>, 2017)</w:t>
      </w:r>
      <w:r w:rsidR="00B62545" w:rsidRPr="00A0610F">
        <w:rPr>
          <w:rFonts w:ascii="Sylfaen" w:hAnsi="Sylfaen"/>
          <w:sz w:val="20"/>
          <w:szCs w:val="20"/>
          <w:lang w:val="en-GB"/>
        </w:rPr>
        <w:t>.</w:t>
      </w:r>
    </w:p>
  </w:footnote>
  <w:footnote w:id="3">
    <w:p w14:paraId="160BA092" w14:textId="733EE9AE" w:rsidR="00A31099" w:rsidRPr="00A0610F" w:rsidRDefault="00A31099" w:rsidP="00662E3D">
      <w:pPr>
        <w:pStyle w:val="FootnoteText"/>
        <w:rPr>
          <w:rFonts w:ascii="Sylfaen" w:hAnsi="Sylfaen"/>
          <w:sz w:val="20"/>
          <w:szCs w:val="20"/>
          <w:lang w:val="en-GB"/>
        </w:rPr>
      </w:pPr>
      <w:r w:rsidRPr="00A0610F">
        <w:rPr>
          <w:rStyle w:val="FootnoteReference"/>
          <w:rFonts w:ascii="Sylfaen" w:hAnsi="Sylfaen"/>
          <w:sz w:val="20"/>
          <w:szCs w:val="20"/>
          <w:lang w:val="en-GB"/>
        </w:rPr>
        <w:footnoteRef/>
      </w:r>
      <w:r w:rsidRPr="00A0610F">
        <w:rPr>
          <w:rFonts w:ascii="Sylfaen" w:hAnsi="Sylfaen"/>
          <w:sz w:val="20"/>
          <w:szCs w:val="20"/>
          <w:lang w:val="en-GB"/>
        </w:rPr>
        <w:t xml:space="preserve"> </w:t>
      </w:r>
      <w:r w:rsidR="00903D3F" w:rsidRPr="00A0610F">
        <w:rPr>
          <w:rFonts w:ascii="Sylfaen" w:hAnsi="Sylfaen"/>
          <w:sz w:val="20"/>
          <w:szCs w:val="20"/>
          <w:lang w:val="en-GB"/>
        </w:rPr>
        <w:t>Indeed, social classes are merely defined and include individuals that share common, well-supplied ownership of one factor relative to the others</w:t>
      </w:r>
      <w:r w:rsidR="009C3BE1" w:rsidRPr="00A0610F">
        <w:rPr>
          <w:rFonts w:ascii="Sylfaen" w:hAnsi="Sylfaen"/>
          <w:sz w:val="20"/>
          <w:szCs w:val="20"/>
          <w:lang w:val="en-GB"/>
        </w:rPr>
        <w:t>.</w:t>
      </w:r>
    </w:p>
  </w:footnote>
  <w:footnote w:id="4">
    <w:p w14:paraId="53C5F9B6" w14:textId="146BFC74" w:rsidR="00976B1E" w:rsidRPr="00A0610F" w:rsidRDefault="00976B1E" w:rsidP="00662E3D">
      <w:pPr>
        <w:pStyle w:val="FootnoteText"/>
        <w:rPr>
          <w:rFonts w:ascii="Sylfaen" w:hAnsi="Sylfaen"/>
          <w:lang w:val="en-GB"/>
        </w:rPr>
      </w:pPr>
      <w:r w:rsidRPr="00A0610F">
        <w:rPr>
          <w:rStyle w:val="FootnoteReference"/>
          <w:rFonts w:ascii="Sylfaen" w:hAnsi="Sylfaen"/>
          <w:sz w:val="20"/>
          <w:szCs w:val="20"/>
          <w:lang w:val="en-GB"/>
        </w:rPr>
        <w:footnoteRef/>
      </w:r>
      <w:r w:rsidRPr="00A0610F">
        <w:rPr>
          <w:rFonts w:ascii="Sylfaen" w:hAnsi="Sylfaen"/>
          <w:sz w:val="20"/>
          <w:szCs w:val="20"/>
          <w:lang w:val="en-GB"/>
        </w:rPr>
        <w:t xml:space="preserve"> </w:t>
      </w:r>
      <w:r w:rsidR="00F85E6B" w:rsidRPr="00A0610F">
        <w:rPr>
          <w:rFonts w:ascii="Sylfaen" w:hAnsi="Sylfaen"/>
          <w:sz w:val="20"/>
          <w:szCs w:val="20"/>
          <w:lang w:val="en-GB"/>
        </w:rPr>
        <w:t xml:space="preserve">The combination of the Heckscher-Ohlin model, </w:t>
      </w:r>
      <w:r w:rsidR="0076672F" w:rsidRPr="00A0610F">
        <w:rPr>
          <w:rFonts w:ascii="Sylfaen" w:hAnsi="Sylfaen"/>
          <w:sz w:val="20"/>
          <w:szCs w:val="20"/>
          <w:lang w:val="en-GB"/>
        </w:rPr>
        <w:t>which examines</w:t>
      </w:r>
      <w:r w:rsidR="00B750D9" w:rsidRPr="00A0610F">
        <w:rPr>
          <w:rFonts w:ascii="Sylfaen" w:hAnsi="Sylfaen"/>
          <w:sz w:val="20"/>
          <w:szCs w:val="20"/>
          <w:lang w:val="en-GB"/>
        </w:rPr>
        <w:t xml:space="preserve"> the patterns of trade and its optimi</w:t>
      </w:r>
      <w:r w:rsidR="00E11122" w:rsidRPr="00A0610F">
        <w:rPr>
          <w:rFonts w:ascii="Sylfaen" w:hAnsi="Sylfaen"/>
          <w:sz w:val="20"/>
          <w:szCs w:val="20"/>
          <w:lang w:val="en-GB"/>
        </w:rPr>
        <w:t>s</w:t>
      </w:r>
      <w:r w:rsidR="00B750D9" w:rsidRPr="00A0610F">
        <w:rPr>
          <w:rFonts w:ascii="Sylfaen" w:hAnsi="Sylfaen"/>
          <w:sz w:val="20"/>
          <w:szCs w:val="20"/>
          <w:lang w:val="en-GB"/>
        </w:rPr>
        <w:t xml:space="preserve">ation, and the </w:t>
      </w:r>
      <w:r w:rsidR="00F85E6B" w:rsidRPr="00A0610F">
        <w:rPr>
          <w:rFonts w:ascii="Sylfaen" w:hAnsi="Sylfaen"/>
          <w:sz w:val="20"/>
          <w:szCs w:val="20"/>
          <w:lang w:val="en-GB"/>
        </w:rPr>
        <w:t xml:space="preserve">Stolper-Samuelson model, </w:t>
      </w:r>
      <w:r w:rsidR="0076672F" w:rsidRPr="00A0610F">
        <w:rPr>
          <w:rFonts w:ascii="Sylfaen" w:hAnsi="Sylfaen"/>
          <w:sz w:val="20"/>
          <w:szCs w:val="20"/>
          <w:lang w:val="en-GB"/>
        </w:rPr>
        <w:t>which analyses</w:t>
      </w:r>
      <w:r w:rsidR="00F85E6B" w:rsidRPr="00A0610F">
        <w:rPr>
          <w:rFonts w:ascii="Sylfaen" w:hAnsi="Sylfaen"/>
          <w:sz w:val="20"/>
          <w:szCs w:val="20"/>
          <w:lang w:val="en-GB"/>
        </w:rPr>
        <w:t xml:space="preserve"> </w:t>
      </w:r>
      <w:r w:rsidR="00B750D9" w:rsidRPr="00A0610F">
        <w:rPr>
          <w:rFonts w:ascii="Sylfaen" w:hAnsi="Sylfaen"/>
          <w:sz w:val="20"/>
          <w:szCs w:val="20"/>
          <w:lang w:val="en-GB"/>
        </w:rPr>
        <w:t>the effect</w:t>
      </w:r>
      <w:r w:rsidR="000F7BCC" w:rsidRPr="00A0610F">
        <w:rPr>
          <w:rFonts w:ascii="Sylfaen" w:hAnsi="Sylfaen"/>
          <w:sz w:val="20"/>
          <w:szCs w:val="20"/>
          <w:lang w:val="en-GB"/>
        </w:rPr>
        <w:t xml:space="preserve"> of those patterns on price levels and income distribution</w:t>
      </w:r>
      <w:r w:rsidR="00A80806" w:rsidRPr="00A0610F">
        <w:rPr>
          <w:rFonts w:ascii="Sylfaen" w:hAnsi="Sylfaen"/>
          <w:sz w:val="20"/>
          <w:szCs w:val="20"/>
          <w:lang w:val="en-GB"/>
        </w:rPr>
        <w:t xml:space="preserve"> </w:t>
      </w:r>
      <w:r w:rsidR="00360BC7" w:rsidRPr="00A0610F">
        <w:rPr>
          <w:rFonts w:ascii="Sylfaen" w:hAnsi="Sylfaen"/>
          <w:sz w:val="20"/>
          <w:szCs w:val="20"/>
          <w:lang w:val="en-GB"/>
        </w:rPr>
        <w:t>(Khan, 1970)</w:t>
      </w:r>
      <w:r w:rsidR="000F7BCC" w:rsidRPr="00A0610F">
        <w:rPr>
          <w:rFonts w:ascii="Sylfaen" w:hAnsi="Sylfaen"/>
          <w:sz w:val="20"/>
          <w:szCs w:val="20"/>
          <w:lang w:val="en-GB"/>
        </w:rPr>
        <w:t xml:space="preserve">, </w:t>
      </w:r>
      <w:r w:rsidR="00A80806" w:rsidRPr="00A0610F">
        <w:rPr>
          <w:rFonts w:ascii="Sylfaen" w:hAnsi="Sylfaen"/>
          <w:sz w:val="20"/>
          <w:szCs w:val="20"/>
          <w:lang w:val="en-GB"/>
        </w:rPr>
        <w:t>rel</w:t>
      </w:r>
      <w:r w:rsidR="0076672F" w:rsidRPr="00A0610F">
        <w:rPr>
          <w:rFonts w:ascii="Sylfaen" w:hAnsi="Sylfaen"/>
          <w:sz w:val="20"/>
          <w:szCs w:val="20"/>
          <w:lang w:val="en-GB"/>
        </w:rPr>
        <w:t>ies</w:t>
      </w:r>
      <w:r w:rsidR="00A80806" w:rsidRPr="00A0610F">
        <w:rPr>
          <w:rFonts w:ascii="Sylfaen" w:hAnsi="Sylfaen"/>
          <w:sz w:val="20"/>
          <w:szCs w:val="20"/>
          <w:lang w:val="en-GB"/>
        </w:rPr>
        <w:t xml:space="preserve"> on the assumption that </w:t>
      </w:r>
      <w:r w:rsidR="00360BC7" w:rsidRPr="00A0610F">
        <w:rPr>
          <w:rFonts w:ascii="Sylfaen" w:hAnsi="Sylfaen"/>
          <w:sz w:val="20"/>
          <w:szCs w:val="20"/>
          <w:lang w:val="en-GB"/>
        </w:rPr>
        <w:t>factors are perfectly transferable inside the domestic economy, while immobile in the international system</w:t>
      </w:r>
      <w:r w:rsidR="001F113A" w:rsidRPr="00A0610F">
        <w:rPr>
          <w:rFonts w:ascii="Sylfaen" w:hAnsi="Sylfaen"/>
          <w:sz w:val="20"/>
          <w:szCs w:val="20"/>
          <w:lang w:val="en-GB"/>
        </w:rPr>
        <w:t xml:space="preserve">. Indeed, </w:t>
      </w:r>
      <w:r w:rsidR="00F8275F" w:rsidRPr="00A0610F">
        <w:rPr>
          <w:rFonts w:ascii="Sylfaen" w:hAnsi="Sylfaen"/>
          <w:sz w:val="20"/>
          <w:szCs w:val="20"/>
          <w:lang w:val="en-GB"/>
        </w:rPr>
        <w:t>factor mobility is “</w:t>
      </w:r>
      <w:r w:rsidR="00D05EDC" w:rsidRPr="00A0610F">
        <w:rPr>
          <w:rFonts w:ascii="Sylfaen" w:hAnsi="Sylfaen"/>
          <w:sz w:val="20"/>
          <w:szCs w:val="20"/>
          <w:lang w:val="en-GB"/>
        </w:rPr>
        <w:t>the ease with which owners of factors of production, particularly labor and capital, can move between industries” (Hwang and Lee, 2014</w:t>
      </w:r>
      <w:r w:rsidR="00BF4A6C" w:rsidRPr="00A0610F">
        <w:rPr>
          <w:rFonts w:ascii="Sylfaen" w:hAnsi="Sylfaen"/>
          <w:sz w:val="20"/>
          <w:szCs w:val="20"/>
          <w:lang w:val="en-GB"/>
        </w:rPr>
        <w:t>, p. 92</w:t>
      </w:r>
      <w:r w:rsidR="00D05EDC" w:rsidRPr="00A0610F">
        <w:rPr>
          <w:rFonts w:ascii="Sylfaen" w:hAnsi="Sylfaen"/>
          <w:sz w:val="20"/>
          <w:szCs w:val="20"/>
          <w:lang w:val="en-GB"/>
        </w:rPr>
        <w:t>)</w:t>
      </w:r>
      <w:r w:rsidR="00C619C4" w:rsidRPr="00A0610F">
        <w:rPr>
          <w:rFonts w:ascii="Sylfaen" w:hAnsi="Sylfaen"/>
          <w:sz w:val="20"/>
          <w:szCs w:val="20"/>
          <w:lang w:val="en-GB"/>
        </w:rPr>
        <w:t xml:space="preserve">. </w:t>
      </w:r>
    </w:p>
  </w:footnote>
  <w:footnote w:id="5">
    <w:p w14:paraId="40BA3DCD" w14:textId="73CC1EAA" w:rsidR="00235002" w:rsidRPr="00A0610F" w:rsidRDefault="00235002" w:rsidP="00662E3D">
      <w:pPr>
        <w:pStyle w:val="FootnoteText"/>
        <w:rPr>
          <w:rFonts w:ascii="Sylfaen" w:hAnsi="Sylfaen"/>
          <w:sz w:val="20"/>
          <w:szCs w:val="20"/>
          <w:lang w:val="en-GB"/>
        </w:rPr>
      </w:pPr>
      <w:r w:rsidRPr="00A0610F">
        <w:rPr>
          <w:rStyle w:val="FootnoteReference"/>
          <w:rFonts w:ascii="Sylfaen" w:hAnsi="Sylfaen"/>
          <w:sz w:val="20"/>
          <w:szCs w:val="20"/>
          <w:lang w:val="en-GB"/>
        </w:rPr>
        <w:footnoteRef/>
      </w:r>
      <w:r w:rsidRPr="00A0610F">
        <w:rPr>
          <w:rFonts w:ascii="Sylfaen" w:hAnsi="Sylfaen"/>
          <w:sz w:val="20"/>
          <w:szCs w:val="20"/>
          <w:lang w:val="en-GB"/>
        </w:rPr>
        <w:t xml:space="preserve"> According to the R-V trade model, </w:t>
      </w:r>
      <w:r w:rsidR="000C4850" w:rsidRPr="00A0610F">
        <w:rPr>
          <w:rFonts w:ascii="Sylfaen" w:hAnsi="Sylfaen"/>
          <w:sz w:val="20"/>
          <w:szCs w:val="20"/>
          <w:lang w:val="en-GB"/>
        </w:rPr>
        <w:t xml:space="preserve">industries cannot alter </w:t>
      </w:r>
      <w:r w:rsidR="009D66EE" w:rsidRPr="00A0610F">
        <w:rPr>
          <w:rFonts w:ascii="Sylfaen" w:hAnsi="Sylfaen"/>
          <w:sz w:val="20"/>
          <w:szCs w:val="20"/>
          <w:lang w:val="en-GB"/>
        </w:rPr>
        <w:t xml:space="preserve">or exchange </w:t>
      </w:r>
      <w:r w:rsidR="000C4850" w:rsidRPr="00A0610F">
        <w:rPr>
          <w:rFonts w:ascii="Sylfaen" w:hAnsi="Sylfaen"/>
          <w:sz w:val="20"/>
          <w:szCs w:val="20"/>
          <w:lang w:val="en-GB"/>
        </w:rPr>
        <w:t>their factors of production</w:t>
      </w:r>
      <w:r w:rsidR="009D66EE" w:rsidRPr="00A0610F">
        <w:rPr>
          <w:rFonts w:ascii="Sylfaen" w:hAnsi="Sylfaen"/>
          <w:sz w:val="20"/>
          <w:szCs w:val="20"/>
          <w:lang w:val="en-GB"/>
        </w:rPr>
        <w:t>. Therefore,</w:t>
      </w:r>
      <w:r w:rsidR="000C4850" w:rsidRPr="00A0610F">
        <w:rPr>
          <w:rFonts w:ascii="Sylfaen" w:hAnsi="Sylfaen"/>
          <w:sz w:val="20"/>
          <w:szCs w:val="20"/>
          <w:lang w:val="en-GB"/>
        </w:rPr>
        <w:t xml:space="preserve"> </w:t>
      </w:r>
      <w:r w:rsidR="00E923C2" w:rsidRPr="00A0610F">
        <w:rPr>
          <w:rFonts w:ascii="Sylfaen" w:hAnsi="Sylfaen"/>
          <w:sz w:val="20"/>
          <w:szCs w:val="20"/>
          <w:lang w:val="en-GB"/>
        </w:rPr>
        <w:t>productive inputs are immobile inside the domestic economy (Samuelson, 1971)</w:t>
      </w:r>
      <w:r w:rsidR="00F11D56" w:rsidRPr="00A0610F">
        <w:rPr>
          <w:rFonts w:ascii="Sylfaen" w:hAnsi="Sylfaen"/>
          <w:sz w:val="20"/>
          <w:szCs w:val="20"/>
          <w:lang w:val="en-GB"/>
        </w:rPr>
        <w:t>.</w:t>
      </w:r>
    </w:p>
  </w:footnote>
  <w:footnote w:id="6">
    <w:p w14:paraId="6D911A9D" w14:textId="4CC57FE2" w:rsidR="00A61660" w:rsidRPr="00A0610F" w:rsidRDefault="00A61660" w:rsidP="00A61660">
      <w:pPr>
        <w:pStyle w:val="FootnoteText"/>
        <w:rPr>
          <w:rFonts w:ascii="Sylfaen" w:hAnsi="Sylfaen"/>
          <w:lang w:val="en-GB"/>
        </w:rPr>
      </w:pPr>
      <w:r w:rsidRPr="00A0610F">
        <w:rPr>
          <w:rStyle w:val="FootnoteReference"/>
          <w:rFonts w:ascii="Sylfaen" w:hAnsi="Sylfaen"/>
          <w:sz w:val="20"/>
          <w:szCs w:val="20"/>
          <w:lang w:val="en-GB"/>
        </w:rPr>
        <w:footnoteRef/>
      </w:r>
      <w:r w:rsidRPr="00A0610F">
        <w:rPr>
          <w:rFonts w:ascii="Sylfaen" w:hAnsi="Sylfaen"/>
          <w:sz w:val="20"/>
          <w:szCs w:val="20"/>
          <w:lang w:val="en-GB"/>
        </w:rPr>
        <w:t xml:space="preserve"> </w:t>
      </w:r>
      <w:r w:rsidR="00F54FEC" w:rsidRPr="00A0610F">
        <w:rPr>
          <w:rFonts w:ascii="Sylfaen" w:hAnsi="Sylfaen"/>
          <w:sz w:val="20"/>
          <w:szCs w:val="20"/>
          <w:lang w:val="en-GB"/>
        </w:rPr>
        <w:t xml:space="preserve">In reality, the authors described three evaluation methodologies, but </w:t>
      </w:r>
      <w:r w:rsidR="00B075C4">
        <w:rPr>
          <w:rFonts w:ascii="Sylfaen" w:hAnsi="Sylfaen"/>
          <w:sz w:val="20"/>
          <w:szCs w:val="20"/>
          <w:lang w:val="en-GB"/>
        </w:rPr>
        <w:t xml:space="preserve">this </w:t>
      </w:r>
      <w:r w:rsidR="00751174">
        <w:rPr>
          <w:rFonts w:ascii="Sylfaen" w:hAnsi="Sylfaen"/>
          <w:sz w:val="20"/>
          <w:szCs w:val="20"/>
          <w:lang w:val="en-GB"/>
        </w:rPr>
        <w:t>essay</w:t>
      </w:r>
      <w:r w:rsidR="00F54FEC" w:rsidRPr="00A0610F">
        <w:rPr>
          <w:rFonts w:ascii="Sylfaen" w:hAnsi="Sylfaen"/>
          <w:sz w:val="20"/>
          <w:szCs w:val="20"/>
          <w:lang w:val="en-GB"/>
        </w:rPr>
        <w:t xml:space="preserve"> summarised them in two. Indeed, they argued for the necessity of logical consistency</w:t>
      </w:r>
      <w:r w:rsidR="00A6340C" w:rsidRPr="00A0610F">
        <w:rPr>
          <w:rFonts w:ascii="Sylfaen" w:hAnsi="Sylfaen"/>
          <w:sz w:val="20"/>
          <w:szCs w:val="20"/>
          <w:lang w:val="en-GB"/>
        </w:rPr>
        <w:t xml:space="preserve">, covariation of the variables surveyed, and </w:t>
      </w:r>
      <w:r w:rsidR="00631382" w:rsidRPr="00A0610F">
        <w:rPr>
          <w:rFonts w:ascii="Sylfaen" w:hAnsi="Sylfaen"/>
          <w:sz w:val="20"/>
          <w:szCs w:val="20"/>
          <w:lang w:val="en-GB"/>
        </w:rPr>
        <w:t>tracking of the causal mechanism involved (Mearsheimer and Walt, 2013). However, this article</w:t>
      </w:r>
      <w:r w:rsidR="002E62BC" w:rsidRPr="00A0610F">
        <w:rPr>
          <w:rFonts w:ascii="Sylfaen" w:hAnsi="Sylfaen"/>
          <w:sz w:val="20"/>
          <w:szCs w:val="20"/>
          <w:lang w:val="en-GB"/>
        </w:rPr>
        <w:t xml:space="preserve"> encapsulated the last two</w:t>
      </w:r>
      <w:r w:rsidR="00BC259A" w:rsidRPr="00A0610F">
        <w:rPr>
          <w:rFonts w:ascii="Sylfaen" w:hAnsi="Sylfaen"/>
          <w:sz w:val="20"/>
          <w:szCs w:val="20"/>
          <w:lang w:val="en-GB"/>
        </w:rPr>
        <w:t xml:space="preserve"> strategies into their common denominator: empirical consistency, i.e., </w:t>
      </w:r>
      <w:r w:rsidR="00F936DC" w:rsidRPr="00A0610F">
        <w:rPr>
          <w:rFonts w:ascii="Sylfaen" w:hAnsi="Sylfaen"/>
          <w:sz w:val="20"/>
          <w:szCs w:val="20"/>
          <w:lang w:val="en-GB"/>
        </w:rPr>
        <w:t xml:space="preserve">the ability to correctly conceptualise, operationalise, and derive conclusions </w:t>
      </w:r>
      <w:r w:rsidR="008C76D0" w:rsidRPr="00A0610F">
        <w:rPr>
          <w:rFonts w:ascii="Sylfaen" w:hAnsi="Sylfaen"/>
          <w:sz w:val="20"/>
          <w:szCs w:val="20"/>
          <w:lang w:val="en-GB"/>
        </w:rPr>
        <w:t xml:space="preserve">from the observed phenomena. </w:t>
      </w:r>
    </w:p>
  </w:footnote>
  <w:footnote w:id="7">
    <w:p w14:paraId="62ECD29C" w14:textId="25C73C15" w:rsidR="00A23A4F" w:rsidRPr="00A0610F" w:rsidRDefault="00A23A4F" w:rsidP="00BB4925">
      <w:pPr>
        <w:spacing w:after="0" w:line="240" w:lineRule="auto"/>
        <w:rPr>
          <w:sz w:val="20"/>
          <w:szCs w:val="20"/>
        </w:rPr>
      </w:pPr>
      <w:r w:rsidRPr="00A0610F">
        <w:rPr>
          <w:rStyle w:val="FootnoteReference"/>
          <w:sz w:val="20"/>
          <w:szCs w:val="20"/>
        </w:rPr>
        <w:footnoteRef/>
      </w:r>
      <w:r w:rsidRPr="00A0610F">
        <w:rPr>
          <w:sz w:val="20"/>
          <w:szCs w:val="20"/>
        </w:rPr>
        <w:t xml:space="preserve"> Indeed, the theoretical background of Rogowski</w:t>
      </w:r>
      <w:r w:rsidR="00C57DB4" w:rsidRPr="00A0610F">
        <w:rPr>
          <w:sz w:val="20"/>
          <w:szCs w:val="20"/>
        </w:rPr>
        <w:t>’s</w:t>
      </w:r>
      <w:r w:rsidRPr="00A0610F">
        <w:rPr>
          <w:sz w:val="20"/>
          <w:szCs w:val="20"/>
        </w:rPr>
        <w:t xml:space="preserve"> (1987, pp. 1132-33) analysis is the Stolper-Samuelson theorem that “obtains [results] at any margin” and “is generally, almost universally, embraced” indifferently of the country size</w:t>
      </w:r>
      <w:r w:rsidR="005624EB" w:rsidRPr="00A0610F">
        <w:rPr>
          <w:sz w:val="20"/>
          <w:szCs w:val="20"/>
        </w:rPr>
        <w:t xml:space="preserve">. </w:t>
      </w:r>
      <w:r w:rsidR="00FD4FD6" w:rsidRPr="00A0610F">
        <w:rPr>
          <w:sz w:val="20"/>
          <w:szCs w:val="20"/>
        </w:rPr>
        <w:t>However, this article should emphasise that</w:t>
      </w:r>
      <w:r w:rsidR="005624EB" w:rsidRPr="00A0610F">
        <w:rPr>
          <w:sz w:val="20"/>
          <w:szCs w:val="20"/>
        </w:rPr>
        <w:t xml:space="preserve">, as noted by the same author, the </w:t>
      </w:r>
      <w:r w:rsidR="00057C0D" w:rsidRPr="00A0610F">
        <w:rPr>
          <w:sz w:val="20"/>
          <w:szCs w:val="20"/>
        </w:rPr>
        <w:t xml:space="preserve">survey is “still </w:t>
      </w:r>
      <w:r w:rsidR="00332405" w:rsidRPr="00A0610F">
        <w:rPr>
          <w:sz w:val="20"/>
          <w:szCs w:val="20"/>
        </w:rPr>
        <w:t>sketchy, […] serv[ing] principally to suggest directions for further research</w:t>
      </w:r>
      <w:r w:rsidR="00E0737C" w:rsidRPr="00A0610F">
        <w:rPr>
          <w:sz w:val="20"/>
          <w:szCs w:val="20"/>
        </w:rPr>
        <w:t>; it can in no way be described as conclusive” (Rogowski 1987, pp. 1127). For more conclusive findings, see: Rogowski (1989)</w:t>
      </w:r>
      <w:r w:rsidRPr="00A0610F">
        <w:rPr>
          <w:sz w:val="20"/>
          <w:szCs w:val="20"/>
        </w:rPr>
        <w:t>.</w:t>
      </w:r>
    </w:p>
  </w:footnote>
  <w:footnote w:id="8">
    <w:p w14:paraId="05F7AE7E" w14:textId="3E80B7D4" w:rsidR="00BB4925" w:rsidRPr="00BB4925" w:rsidRDefault="00BB4925" w:rsidP="00BB4925">
      <w:pPr>
        <w:pStyle w:val="FootnoteText"/>
        <w:rPr>
          <w:rFonts w:ascii="Sylfaen" w:hAnsi="Sylfaen"/>
          <w:sz w:val="20"/>
          <w:szCs w:val="20"/>
          <w:lang w:val="en-GB"/>
        </w:rPr>
      </w:pPr>
      <w:r w:rsidRPr="00A0610F">
        <w:rPr>
          <w:rStyle w:val="FootnoteReference"/>
          <w:rFonts w:ascii="Sylfaen" w:hAnsi="Sylfaen"/>
          <w:sz w:val="20"/>
          <w:szCs w:val="20"/>
          <w:lang w:val="en-GB"/>
        </w:rPr>
        <w:footnoteRef/>
      </w:r>
      <w:r w:rsidRPr="00A0610F">
        <w:rPr>
          <w:rFonts w:ascii="Sylfaen" w:hAnsi="Sylfaen"/>
          <w:sz w:val="20"/>
          <w:szCs w:val="20"/>
          <w:lang w:val="en-GB"/>
        </w:rPr>
        <w:t xml:space="preserve"> The researcher selected those countries </w:t>
      </w:r>
      <w:r w:rsidR="006F3201" w:rsidRPr="00A0610F">
        <w:rPr>
          <w:rFonts w:ascii="Sylfaen" w:hAnsi="Sylfaen"/>
          <w:sz w:val="20"/>
          <w:szCs w:val="20"/>
          <w:lang w:val="en-GB"/>
        </w:rPr>
        <w:t>because they demonstrated a substantial variation in their factor mobility during the surveyed period</w:t>
      </w:r>
      <w:r w:rsidR="001C6FE6" w:rsidRPr="00A0610F">
        <w:rPr>
          <w:rFonts w:ascii="Sylfaen" w:hAnsi="Sylfaen"/>
          <w:sz w:val="20"/>
          <w:szCs w:val="20"/>
          <w:lang w:val="en-GB"/>
        </w:rPr>
        <w:t xml:space="preserve"> and </w:t>
      </w:r>
      <w:r w:rsidR="00C57DB4" w:rsidRPr="00A0610F">
        <w:rPr>
          <w:rFonts w:ascii="Sylfaen" w:hAnsi="Sylfaen"/>
          <w:sz w:val="20"/>
          <w:szCs w:val="20"/>
          <w:lang w:val="en-GB"/>
        </w:rPr>
        <w:t xml:space="preserve">the </w:t>
      </w:r>
      <w:r w:rsidR="001C6FE6" w:rsidRPr="00A0610F">
        <w:rPr>
          <w:rFonts w:ascii="Sylfaen" w:hAnsi="Sylfaen"/>
          <w:sz w:val="20"/>
          <w:szCs w:val="20"/>
          <w:lang w:val="en-GB"/>
        </w:rPr>
        <w:t xml:space="preserve">presence of democratic institutions that allowed </w:t>
      </w:r>
      <w:r w:rsidR="00A8259E" w:rsidRPr="00A0610F">
        <w:rPr>
          <w:rFonts w:ascii="Sylfaen" w:hAnsi="Sylfaen"/>
          <w:sz w:val="20"/>
          <w:szCs w:val="20"/>
          <w:lang w:val="en-GB"/>
        </w:rPr>
        <w:t>the formation of free trade and protectionist political cleavages and coalitions (Hiscox</w:t>
      </w:r>
      <w:r w:rsidR="00731841" w:rsidRPr="00A0610F">
        <w:rPr>
          <w:rFonts w:ascii="Sylfaen" w:hAnsi="Sylfaen"/>
          <w:sz w:val="20"/>
          <w:szCs w:val="20"/>
          <w:lang w:val="en-GB"/>
        </w:rPr>
        <w:t>, 2001).</w:t>
      </w:r>
      <w:r w:rsidR="00731841">
        <w:rPr>
          <w:rFonts w:ascii="Sylfaen" w:hAnsi="Sylfaen"/>
          <w:sz w:val="20"/>
          <w:szCs w:val="20"/>
        </w:rPr>
        <w:t xml:space="preserve"> </w:t>
      </w:r>
    </w:p>
  </w:footnote>
  <w:footnote w:id="9">
    <w:p w14:paraId="579F7602" w14:textId="1C81F11B" w:rsidR="00CC6602" w:rsidRPr="00CC6602" w:rsidRDefault="00CC6602">
      <w:pPr>
        <w:pStyle w:val="FootnoteText"/>
        <w:rPr>
          <w:rFonts w:ascii="Sylfaen" w:hAnsi="Sylfaen"/>
          <w:sz w:val="20"/>
          <w:szCs w:val="20"/>
          <w:lang w:val="en-GB"/>
        </w:rPr>
      </w:pPr>
      <w:r w:rsidRPr="00CC6602">
        <w:rPr>
          <w:rStyle w:val="FootnoteReference"/>
          <w:rFonts w:ascii="Sylfaen" w:hAnsi="Sylfaen"/>
          <w:sz w:val="20"/>
          <w:szCs w:val="20"/>
        </w:rPr>
        <w:footnoteRef/>
      </w:r>
      <w:r w:rsidRPr="00CC6602">
        <w:rPr>
          <w:rFonts w:ascii="Sylfaen" w:hAnsi="Sylfaen"/>
          <w:sz w:val="20"/>
          <w:szCs w:val="20"/>
        </w:rPr>
        <w:t xml:space="preserve"> </w:t>
      </w:r>
      <w:r>
        <w:rPr>
          <w:rFonts w:ascii="Sylfaen" w:hAnsi="Sylfaen"/>
          <w:sz w:val="20"/>
          <w:szCs w:val="20"/>
        </w:rPr>
        <w:t xml:space="preserve">Indeed, the author demonstrated that </w:t>
      </w:r>
      <w:r w:rsidR="00521F45">
        <w:rPr>
          <w:rFonts w:ascii="Sylfaen" w:hAnsi="Sylfaen"/>
          <w:sz w:val="20"/>
          <w:szCs w:val="20"/>
        </w:rPr>
        <w:t xml:space="preserve">technological innovation altered </w:t>
      </w:r>
      <w:r w:rsidR="00331887">
        <w:rPr>
          <w:rFonts w:ascii="Sylfaen" w:hAnsi="Sylfaen"/>
          <w:sz w:val="20"/>
          <w:szCs w:val="20"/>
        </w:rPr>
        <w:t>factor mobility</w:t>
      </w:r>
      <w:r w:rsidR="00290EE7">
        <w:rPr>
          <w:rFonts w:ascii="Sylfaen" w:hAnsi="Sylfaen"/>
          <w:sz w:val="20"/>
          <w:szCs w:val="20"/>
        </w:rPr>
        <w:t xml:space="preserve"> levels</w:t>
      </w:r>
      <w:r w:rsidR="00331887">
        <w:rPr>
          <w:rFonts w:ascii="Sylfaen" w:hAnsi="Sylfaen"/>
          <w:sz w:val="20"/>
          <w:szCs w:val="20"/>
        </w:rPr>
        <w:t xml:space="preserve"> in the domestic economy</w:t>
      </w:r>
      <w:r w:rsidR="008F5015">
        <w:rPr>
          <w:rFonts w:ascii="Sylfaen" w:hAnsi="Sylfaen"/>
          <w:sz w:val="20"/>
          <w:szCs w:val="20"/>
        </w:rPr>
        <w:t xml:space="preserve"> and, consequently, the winners and losers of exogenous </w:t>
      </w:r>
      <w:r w:rsidR="00E254B9">
        <w:rPr>
          <w:rFonts w:ascii="Sylfaen" w:hAnsi="Sylfaen"/>
          <w:sz w:val="20"/>
          <w:szCs w:val="20"/>
        </w:rPr>
        <w:t>transformations</w:t>
      </w:r>
      <w:r w:rsidR="008F5015">
        <w:rPr>
          <w:rFonts w:ascii="Sylfaen" w:hAnsi="Sylfaen"/>
          <w:sz w:val="20"/>
          <w:szCs w:val="20"/>
        </w:rPr>
        <w:t xml:space="preserve"> </w:t>
      </w:r>
      <w:r w:rsidR="006C5A1B">
        <w:rPr>
          <w:rFonts w:ascii="Sylfaen" w:hAnsi="Sylfaen"/>
          <w:sz w:val="20"/>
          <w:szCs w:val="20"/>
        </w:rPr>
        <w:t>at</w:t>
      </w:r>
      <w:r w:rsidR="00F95C0C">
        <w:rPr>
          <w:rFonts w:ascii="Sylfaen" w:hAnsi="Sylfaen"/>
          <w:sz w:val="20"/>
          <w:szCs w:val="20"/>
        </w:rPr>
        <w:t xml:space="preserve"> the</w:t>
      </w:r>
      <w:r w:rsidR="008F5015">
        <w:rPr>
          <w:rFonts w:ascii="Sylfaen" w:hAnsi="Sylfaen"/>
          <w:sz w:val="20"/>
          <w:szCs w:val="20"/>
        </w:rPr>
        <w:t xml:space="preserve"> trade level</w:t>
      </w:r>
      <w:r w:rsidR="00E254B9">
        <w:rPr>
          <w:rFonts w:ascii="Sylfaen" w:hAnsi="Sylfaen"/>
          <w:sz w:val="20"/>
          <w:szCs w:val="20"/>
        </w:rPr>
        <w:t xml:space="preserve"> (Hiscox, 2001)</w:t>
      </w:r>
      <w:r w:rsidR="008F5015">
        <w:rPr>
          <w:rFonts w:ascii="Sylfaen" w:hAnsi="Sylfae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386686BC" w:rsidR="002B247D" w:rsidRPr="00A23A4F" w:rsidRDefault="00A23A4F" w:rsidP="00A23A4F">
    <w:pPr>
      <w:pStyle w:val="Header"/>
    </w:pPr>
    <w:r w:rsidRPr="00A23A4F">
      <w:t>International Trade Theory: A Comparison Between Three Schools of Thought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D502A"/>
    <w:multiLevelType w:val="hybridMultilevel"/>
    <w:tmpl w:val="53ECF8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6C0102"/>
    <w:multiLevelType w:val="hybridMultilevel"/>
    <w:tmpl w:val="8E1E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4588913">
    <w:abstractNumId w:val="0"/>
  </w:num>
  <w:num w:numId="2" w16cid:durableId="925043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202"/>
    <w:rsid w:val="000109AA"/>
    <w:rsid w:val="0005613D"/>
    <w:rsid w:val="00057C0D"/>
    <w:rsid w:val="00057F3F"/>
    <w:rsid w:val="0007319B"/>
    <w:rsid w:val="0007406B"/>
    <w:rsid w:val="000772DF"/>
    <w:rsid w:val="00082008"/>
    <w:rsid w:val="000832B2"/>
    <w:rsid w:val="00083F9F"/>
    <w:rsid w:val="0008400A"/>
    <w:rsid w:val="000A685A"/>
    <w:rsid w:val="000B02EA"/>
    <w:rsid w:val="000B66F1"/>
    <w:rsid w:val="000C4850"/>
    <w:rsid w:val="000C55E0"/>
    <w:rsid w:val="000D115B"/>
    <w:rsid w:val="000D1B17"/>
    <w:rsid w:val="000D72F5"/>
    <w:rsid w:val="000E1FE5"/>
    <w:rsid w:val="000F185C"/>
    <w:rsid w:val="000F3317"/>
    <w:rsid w:val="000F6144"/>
    <w:rsid w:val="000F7BCC"/>
    <w:rsid w:val="001041D2"/>
    <w:rsid w:val="0011417E"/>
    <w:rsid w:val="001176F0"/>
    <w:rsid w:val="001328A1"/>
    <w:rsid w:val="00135425"/>
    <w:rsid w:val="001522CE"/>
    <w:rsid w:val="0017088E"/>
    <w:rsid w:val="00192964"/>
    <w:rsid w:val="00195767"/>
    <w:rsid w:val="00197C35"/>
    <w:rsid w:val="001B5D56"/>
    <w:rsid w:val="001C6FE6"/>
    <w:rsid w:val="001D2348"/>
    <w:rsid w:val="001D66B7"/>
    <w:rsid w:val="001E1CB6"/>
    <w:rsid w:val="001E3FD8"/>
    <w:rsid w:val="001E7D46"/>
    <w:rsid w:val="001F0ABE"/>
    <w:rsid w:val="001F113A"/>
    <w:rsid w:val="001F4D19"/>
    <w:rsid w:val="001F4D6B"/>
    <w:rsid w:val="00206E7A"/>
    <w:rsid w:val="00207EF2"/>
    <w:rsid w:val="00221F4A"/>
    <w:rsid w:val="0022474C"/>
    <w:rsid w:val="00224C97"/>
    <w:rsid w:val="002324F1"/>
    <w:rsid w:val="00235002"/>
    <w:rsid w:val="00240FC1"/>
    <w:rsid w:val="00241B79"/>
    <w:rsid w:val="00247F76"/>
    <w:rsid w:val="0025510E"/>
    <w:rsid w:val="00260DDB"/>
    <w:rsid w:val="00267FC4"/>
    <w:rsid w:val="002812E4"/>
    <w:rsid w:val="00284158"/>
    <w:rsid w:val="00290EE7"/>
    <w:rsid w:val="0029592F"/>
    <w:rsid w:val="002A4924"/>
    <w:rsid w:val="002B247D"/>
    <w:rsid w:val="002B2A61"/>
    <w:rsid w:val="002B350B"/>
    <w:rsid w:val="002C2942"/>
    <w:rsid w:val="002C3425"/>
    <w:rsid w:val="002C4464"/>
    <w:rsid w:val="002E3823"/>
    <w:rsid w:val="002E62BC"/>
    <w:rsid w:val="002F1932"/>
    <w:rsid w:val="002F46C0"/>
    <w:rsid w:val="002F764A"/>
    <w:rsid w:val="00302A9E"/>
    <w:rsid w:val="00303598"/>
    <w:rsid w:val="00313E93"/>
    <w:rsid w:val="003167F9"/>
    <w:rsid w:val="003277E1"/>
    <w:rsid w:val="00331418"/>
    <w:rsid w:val="00331887"/>
    <w:rsid w:val="00332405"/>
    <w:rsid w:val="0035045E"/>
    <w:rsid w:val="00351295"/>
    <w:rsid w:val="00351C40"/>
    <w:rsid w:val="00360BC7"/>
    <w:rsid w:val="0036668F"/>
    <w:rsid w:val="00374289"/>
    <w:rsid w:val="003804B1"/>
    <w:rsid w:val="00384ABC"/>
    <w:rsid w:val="00392F53"/>
    <w:rsid w:val="003A5CA2"/>
    <w:rsid w:val="003D3633"/>
    <w:rsid w:val="003D58E4"/>
    <w:rsid w:val="003E5BC6"/>
    <w:rsid w:val="003F3860"/>
    <w:rsid w:val="003F4FA5"/>
    <w:rsid w:val="0040630F"/>
    <w:rsid w:val="00421871"/>
    <w:rsid w:val="0042210D"/>
    <w:rsid w:val="00426F1D"/>
    <w:rsid w:val="00433FBD"/>
    <w:rsid w:val="004410DA"/>
    <w:rsid w:val="00453E75"/>
    <w:rsid w:val="00453EBB"/>
    <w:rsid w:val="00475234"/>
    <w:rsid w:val="004856EA"/>
    <w:rsid w:val="00487B01"/>
    <w:rsid w:val="0049071C"/>
    <w:rsid w:val="00495042"/>
    <w:rsid w:val="004D281B"/>
    <w:rsid w:val="004F1A30"/>
    <w:rsid w:val="004F1C2D"/>
    <w:rsid w:val="004F2233"/>
    <w:rsid w:val="00507A46"/>
    <w:rsid w:val="005132B3"/>
    <w:rsid w:val="00521F45"/>
    <w:rsid w:val="005364B0"/>
    <w:rsid w:val="00543CBB"/>
    <w:rsid w:val="00552D5D"/>
    <w:rsid w:val="00553877"/>
    <w:rsid w:val="005624EB"/>
    <w:rsid w:val="00564B67"/>
    <w:rsid w:val="005652B7"/>
    <w:rsid w:val="0057286C"/>
    <w:rsid w:val="00580533"/>
    <w:rsid w:val="00582112"/>
    <w:rsid w:val="0058219C"/>
    <w:rsid w:val="00584944"/>
    <w:rsid w:val="00591847"/>
    <w:rsid w:val="005C24E2"/>
    <w:rsid w:val="005D1694"/>
    <w:rsid w:val="005F2376"/>
    <w:rsid w:val="005F2AD0"/>
    <w:rsid w:val="005F307D"/>
    <w:rsid w:val="00604CD9"/>
    <w:rsid w:val="00605B7E"/>
    <w:rsid w:val="00620C53"/>
    <w:rsid w:val="00623A53"/>
    <w:rsid w:val="00631382"/>
    <w:rsid w:val="00637440"/>
    <w:rsid w:val="00642356"/>
    <w:rsid w:val="00652A61"/>
    <w:rsid w:val="00662E3D"/>
    <w:rsid w:val="00681333"/>
    <w:rsid w:val="00685886"/>
    <w:rsid w:val="006878C4"/>
    <w:rsid w:val="006909E5"/>
    <w:rsid w:val="0069671A"/>
    <w:rsid w:val="006A25BD"/>
    <w:rsid w:val="006C0733"/>
    <w:rsid w:val="006C1B79"/>
    <w:rsid w:val="006C5A1B"/>
    <w:rsid w:val="006C742C"/>
    <w:rsid w:val="006D0B83"/>
    <w:rsid w:val="006D2644"/>
    <w:rsid w:val="006F168E"/>
    <w:rsid w:val="006F3201"/>
    <w:rsid w:val="006F35F7"/>
    <w:rsid w:val="0070558F"/>
    <w:rsid w:val="00706EF0"/>
    <w:rsid w:val="007071F6"/>
    <w:rsid w:val="00710A31"/>
    <w:rsid w:val="00716CF3"/>
    <w:rsid w:val="00731841"/>
    <w:rsid w:val="0074261B"/>
    <w:rsid w:val="00750026"/>
    <w:rsid w:val="00751174"/>
    <w:rsid w:val="00756254"/>
    <w:rsid w:val="00760BF9"/>
    <w:rsid w:val="00761253"/>
    <w:rsid w:val="0076334B"/>
    <w:rsid w:val="0076672F"/>
    <w:rsid w:val="007668A3"/>
    <w:rsid w:val="00783066"/>
    <w:rsid w:val="007A0969"/>
    <w:rsid w:val="007A2758"/>
    <w:rsid w:val="007A2B89"/>
    <w:rsid w:val="007B297B"/>
    <w:rsid w:val="007D44D1"/>
    <w:rsid w:val="007D6ADD"/>
    <w:rsid w:val="007E3F8A"/>
    <w:rsid w:val="007F1D36"/>
    <w:rsid w:val="007F7BCA"/>
    <w:rsid w:val="0080571F"/>
    <w:rsid w:val="00811427"/>
    <w:rsid w:val="00811DD2"/>
    <w:rsid w:val="00812684"/>
    <w:rsid w:val="008220DD"/>
    <w:rsid w:val="00824D47"/>
    <w:rsid w:val="00826E04"/>
    <w:rsid w:val="00832C49"/>
    <w:rsid w:val="0084412A"/>
    <w:rsid w:val="00844298"/>
    <w:rsid w:val="008442D1"/>
    <w:rsid w:val="00861C17"/>
    <w:rsid w:val="008661D7"/>
    <w:rsid w:val="0086737B"/>
    <w:rsid w:val="00891A89"/>
    <w:rsid w:val="008A304E"/>
    <w:rsid w:val="008C5CDC"/>
    <w:rsid w:val="008C76D0"/>
    <w:rsid w:val="008C7F72"/>
    <w:rsid w:val="008D75B8"/>
    <w:rsid w:val="008E0684"/>
    <w:rsid w:val="008E67BB"/>
    <w:rsid w:val="008F5015"/>
    <w:rsid w:val="008F73DC"/>
    <w:rsid w:val="0090266B"/>
    <w:rsid w:val="00903D3F"/>
    <w:rsid w:val="00911121"/>
    <w:rsid w:val="00925AF7"/>
    <w:rsid w:val="00931488"/>
    <w:rsid w:val="00934C72"/>
    <w:rsid w:val="00945D40"/>
    <w:rsid w:val="00954304"/>
    <w:rsid w:val="009627C5"/>
    <w:rsid w:val="00964209"/>
    <w:rsid w:val="009747C6"/>
    <w:rsid w:val="00976B1E"/>
    <w:rsid w:val="009774ED"/>
    <w:rsid w:val="00990D5E"/>
    <w:rsid w:val="009930FA"/>
    <w:rsid w:val="00996E0E"/>
    <w:rsid w:val="009A0883"/>
    <w:rsid w:val="009B447A"/>
    <w:rsid w:val="009B597C"/>
    <w:rsid w:val="009C10A8"/>
    <w:rsid w:val="009C3BE1"/>
    <w:rsid w:val="009D66EE"/>
    <w:rsid w:val="009E26F7"/>
    <w:rsid w:val="009E31AA"/>
    <w:rsid w:val="009E4C40"/>
    <w:rsid w:val="009E5518"/>
    <w:rsid w:val="009F1F17"/>
    <w:rsid w:val="009F66E3"/>
    <w:rsid w:val="00A0610F"/>
    <w:rsid w:val="00A10993"/>
    <w:rsid w:val="00A10E73"/>
    <w:rsid w:val="00A23A4F"/>
    <w:rsid w:val="00A31099"/>
    <w:rsid w:val="00A538B5"/>
    <w:rsid w:val="00A54862"/>
    <w:rsid w:val="00A55EA2"/>
    <w:rsid w:val="00A61660"/>
    <w:rsid w:val="00A62CEA"/>
    <w:rsid w:val="00A6340C"/>
    <w:rsid w:val="00A80806"/>
    <w:rsid w:val="00A8259E"/>
    <w:rsid w:val="00AB26D6"/>
    <w:rsid w:val="00AE1732"/>
    <w:rsid w:val="00AE25CA"/>
    <w:rsid w:val="00B01345"/>
    <w:rsid w:val="00B031A7"/>
    <w:rsid w:val="00B07071"/>
    <w:rsid w:val="00B075C4"/>
    <w:rsid w:val="00B1149C"/>
    <w:rsid w:val="00B11BE7"/>
    <w:rsid w:val="00B12FB4"/>
    <w:rsid w:val="00B31449"/>
    <w:rsid w:val="00B322FB"/>
    <w:rsid w:val="00B331F9"/>
    <w:rsid w:val="00B41191"/>
    <w:rsid w:val="00B45194"/>
    <w:rsid w:val="00B53FC8"/>
    <w:rsid w:val="00B54F47"/>
    <w:rsid w:val="00B62545"/>
    <w:rsid w:val="00B71DC0"/>
    <w:rsid w:val="00B750D9"/>
    <w:rsid w:val="00B77266"/>
    <w:rsid w:val="00B85F7C"/>
    <w:rsid w:val="00B86B7D"/>
    <w:rsid w:val="00B92FA0"/>
    <w:rsid w:val="00BB2A62"/>
    <w:rsid w:val="00BB4439"/>
    <w:rsid w:val="00BB4925"/>
    <w:rsid w:val="00BB59A8"/>
    <w:rsid w:val="00BB6236"/>
    <w:rsid w:val="00BC0C64"/>
    <w:rsid w:val="00BC1FAE"/>
    <w:rsid w:val="00BC259A"/>
    <w:rsid w:val="00BC5792"/>
    <w:rsid w:val="00BD2079"/>
    <w:rsid w:val="00BD2EB5"/>
    <w:rsid w:val="00BE3D69"/>
    <w:rsid w:val="00BE6334"/>
    <w:rsid w:val="00BF4A6C"/>
    <w:rsid w:val="00BF6E2F"/>
    <w:rsid w:val="00C06BA1"/>
    <w:rsid w:val="00C078AA"/>
    <w:rsid w:val="00C347F7"/>
    <w:rsid w:val="00C4128C"/>
    <w:rsid w:val="00C57DB4"/>
    <w:rsid w:val="00C600BB"/>
    <w:rsid w:val="00C619C4"/>
    <w:rsid w:val="00C65810"/>
    <w:rsid w:val="00C67CB5"/>
    <w:rsid w:val="00C7707A"/>
    <w:rsid w:val="00C80043"/>
    <w:rsid w:val="00C81F3D"/>
    <w:rsid w:val="00C87540"/>
    <w:rsid w:val="00C9451E"/>
    <w:rsid w:val="00CB3566"/>
    <w:rsid w:val="00CB7296"/>
    <w:rsid w:val="00CC3F4D"/>
    <w:rsid w:val="00CC6602"/>
    <w:rsid w:val="00CD78C9"/>
    <w:rsid w:val="00CE0F71"/>
    <w:rsid w:val="00D01FF8"/>
    <w:rsid w:val="00D05EDC"/>
    <w:rsid w:val="00D106A0"/>
    <w:rsid w:val="00D11183"/>
    <w:rsid w:val="00D220FC"/>
    <w:rsid w:val="00D24FEE"/>
    <w:rsid w:val="00D35A7A"/>
    <w:rsid w:val="00D4708C"/>
    <w:rsid w:val="00D53714"/>
    <w:rsid w:val="00D65486"/>
    <w:rsid w:val="00D66318"/>
    <w:rsid w:val="00D71BFA"/>
    <w:rsid w:val="00D95658"/>
    <w:rsid w:val="00D96A38"/>
    <w:rsid w:val="00D97A28"/>
    <w:rsid w:val="00D97D2C"/>
    <w:rsid w:val="00DA6627"/>
    <w:rsid w:val="00DD1181"/>
    <w:rsid w:val="00DD67D8"/>
    <w:rsid w:val="00E066E0"/>
    <w:rsid w:val="00E0737C"/>
    <w:rsid w:val="00E11122"/>
    <w:rsid w:val="00E16A2E"/>
    <w:rsid w:val="00E22FD3"/>
    <w:rsid w:val="00E254B9"/>
    <w:rsid w:val="00E355F6"/>
    <w:rsid w:val="00E42A12"/>
    <w:rsid w:val="00E55D2D"/>
    <w:rsid w:val="00E57C14"/>
    <w:rsid w:val="00E738EC"/>
    <w:rsid w:val="00E8137A"/>
    <w:rsid w:val="00E923C2"/>
    <w:rsid w:val="00EB3F5A"/>
    <w:rsid w:val="00ED039A"/>
    <w:rsid w:val="00F01E69"/>
    <w:rsid w:val="00F04012"/>
    <w:rsid w:val="00F04F2C"/>
    <w:rsid w:val="00F06655"/>
    <w:rsid w:val="00F11D56"/>
    <w:rsid w:val="00F13081"/>
    <w:rsid w:val="00F13A52"/>
    <w:rsid w:val="00F25575"/>
    <w:rsid w:val="00F27629"/>
    <w:rsid w:val="00F340E3"/>
    <w:rsid w:val="00F43DA4"/>
    <w:rsid w:val="00F45A97"/>
    <w:rsid w:val="00F479D1"/>
    <w:rsid w:val="00F5168B"/>
    <w:rsid w:val="00F51EFD"/>
    <w:rsid w:val="00F535F2"/>
    <w:rsid w:val="00F54E7D"/>
    <w:rsid w:val="00F54FEC"/>
    <w:rsid w:val="00F57352"/>
    <w:rsid w:val="00F57A07"/>
    <w:rsid w:val="00F65EF8"/>
    <w:rsid w:val="00F66EDB"/>
    <w:rsid w:val="00F818F4"/>
    <w:rsid w:val="00F8275F"/>
    <w:rsid w:val="00F84283"/>
    <w:rsid w:val="00F85287"/>
    <w:rsid w:val="00F85E6B"/>
    <w:rsid w:val="00F936DC"/>
    <w:rsid w:val="00F95C0C"/>
    <w:rsid w:val="00FA3C66"/>
    <w:rsid w:val="00FA4CB8"/>
    <w:rsid w:val="00FC2623"/>
    <w:rsid w:val="00FC3F21"/>
    <w:rsid w:val="00FC447D"/>
    <w:rsid w:val="00FC4D74"/>
    <w:rsid w:val="00FC52A8"/>
    <w:rsid w:val="00FC77AB"/>
    <w:rsid w:val="00FC7A32"/>
    <w:rsid w:val="00FC7A8A"/>
    <w:rsid w:val="00FD0202"/>
    <w:rsid w:val="00FD02D8"/>
    <w:rsid w:val="00FD4FD6"/>
    <w:rsid w:val="00FD721C"/>
    <w:rsid w:val="00FE5BA0"/>
    <w:rsid w:val="00FE653F"/>
    <w:rsid w:val="00FF3200"/>
    <w:rsid w:val="00FF49AE"/>
    <w:rsid w:val="00FF6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A4F"/>
    <w:pPr>
      <w:spacing w:after="160" w:line="360" w:lineRule="auto"/>
      <w:jc w:val="both"/>
    </w:pPr>
    <w:rPr>
      <w:rFonts w:ascii="Sylfaen" w:hAnsi="Sylfaen"/>
    </w:rPr>
  </w:style>
  <w:style w:type="paragraph" w:styleId="Heading1">
    <w:name w:val="heading 1"/>
    <w:basedOn w:val="Normal"/>
    <w:next w:val="Normal"/>
    <w:link w:val="Heading1Char"/>
    <w:uiPriority w:val="9"/>
    <w:qFormat/>
    <w:rsid w:val="00A23A4F"/>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20"/>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A23A4F"/>
    <w:rPr>
      <w:rFonts w:ascii="Sylfaen" w:eastAsiaTheme="majorEastAsia" w:hAnsi="Sylfaen" w:cstheme="majorBidi"/>
      <w:b/>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customStyle="1" w:styleId="EndNoteBibliography">
    <w:name w:val="EndNote Bibliography"/>
    <w:basedOn w:val="Normal"/>
    <w:link w:val="EndNoteBibliographyChar"/>
    <w:rsid w:val="00A23A4F"/>
    <w:pPr>
      <w:spacing w:line="240" w:lineRule="auto"/>
      <w:ind w:firstLine="426"/>
    </w:pPr>
    <w:rPr>
      <w:rFonts w:cs="Times New Roman"/>
      <w:noProof/>
      <w:lang w:val="en-US"/>
    </w:rPr>
  </w:style>
  <w:style w:type="character" w:customStyle="1" w:styleId="EndNoteBibliographyChar">
    <w:name w:val="EndNote Bibliography Char"/>
    <w:basedOn w:val="DefaultParagraphFont"/>
    <w:link w:val="EndNoteBibliography"/>
    <w:rsid w:val="00A23A4F"/>
    <w:rPr>
      <w:rFonts w:ascii="Sylfaen" w:hAnsi="Sylfaen" w:cs="Times New Roman"/>
      <w:noProof/>
      <w:lang w:val="en-US"/>
    </w:rPr>
  </w:style>
  <w:style w:type="paragraph" w:styleId="ListParagraph">
    <w:name w:val="List Paragraph"/>
    <w:basedOn w:val="Normal"/>
    <w:uiPriority w:val="34"/>
    <w:qFormat/>
    <w:rsid w:val="008F73DC"/>
    <w:pPr>
      <w:ind w:left="720"/>
      <w:contextualSpacing/>
    </w:pPr>
  </w:style>
  <w:style w:type="paragraph" w:styleId="NormalWeb">
    <w:name w:val="Normal (Web)"/>
    <w:basedOn w:val="Normal"/>
    <w:uiPriority w:val="99"/>
    <w:semiHidden/>
    <w:unhideWhenUsed/>
    <w:rsid w:val="00E42A1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0819642">
      <w:bodyDiv w:val="1"/>
      <w:marLeft w:val="0"/>
      <w:marRight w:val="0"/>
      <w:marTop w:val="0"/>
      <w:marBottom w:val="0"/>
      <w:divBdr>
        <w:top w:val="none" w:sz="0" w:space="0" w:color="auto"/>
        <w:left w:val="none" w:sz="0" w:space="0" w:color="auto"/>
        <w:bottom w:val="none" w:sz="0" w:space="0" w:color="auto"/>
        <w:right w:val="none" w:sz="0" w:space="0" w:color="auto"/>
      </w:divBdr>
      <w:divsChild>
        <w:div w:id="420879789">
          <w:marLeft w:val="0"/>
          <w:marRight w:val="0"/>
          <w:marTop w:val="0"/>
          <w:marBottom w:val="0"/>
          <w:divBdr>
            <w:top w:val="none" w:sz="0" w:space="0" w:color="auto"/>
            <w:left w:val="none" w:sz="0" w:space="0" w:color="auto"/>
            <w:bottom w:val="none" w:sz="0" w:space="0" w:color="auto"/>
            <w:right w:val="none" w:sz="0" w:space="0" w:color="auto"/>
          </w:divBdr>
          <w:divsChild>
            <w:div w:id="1325469177">
              <w:marLeft w:val="0"/>
              <w:marRight w:val="0"/>
              <w:marTop w:val="0"/>
              <w:marBottom w:val="0"/>
              <w:divBdr>
                <w:top w:val="none" w:sz="0" w:space="0" w:color="auto"/>
                <w:left w:val="none" w:sz="0" w:space="0" w:color="auto"/>
                <w:bottom w:val="none" w:sz="0" w:space="0" w:color="auto"/>
                <w:right w:val="none" w:sz="0" w:space="0" w:color="auto"/>
              </w:divBdr>
              <w:divsChild>
                <w:div w:id="11495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2921</Words>
  <Characters>16651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2022-05-05T13:40:00Z</dcterms:created>
  <dcterms:modified xsi:type="dcterms:W3CDTF">2022-05-05T13:40:00Z</dcterms:modified>
</cp:coreProperties>
</file>