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4153A6C7" w:rsidR="00A538B5" w:rsidRPr="00A538B5" w:rsidRDefault="000E4770" w:rsidP="002B1735">
      <w:pPr>
        <w:pBdr>
          <w:bottom w:val="single" w:sz="4" w:space="1" w:color="auto"/>
        </w:pBdr>
        <w:tabs>
          <w:tab w:val="right" w:pos="9026"/>
        </w:tabs>
        <w:spacing w:before="120" w:after="120" w:line="360" w:lineRule="auto"/>
        <w:jc w:val="both"/>
        <w:rPr>
          <w:rFonts w:ascii="Sylfaen" w:hAnsi="Sylfaen"/>
          <w:i/>
        </w:rPr>
      </w:pPr>
      <w:r>
        <w:rPr>
          <w:rFonts w:ascii="Sylfaen" w:hAnsi="Sylfaen"/>
          <w:i/>
        </w:rPr>
        <w:t>Essay</w:t>
      </w:r>
      <w:r w:rsidR="00990D5E">
        <w:rPr>
          <w:rFonts w:ascii="Sylfaen" w:hAnsi="Sylfaen"/>
          <w:i/>
        </w:rPr>
        <w:t xml:space="preserve"> </w:t>
      </w:r>
      <w:r w:rsidR="00A538B5">
        <w:rPr>
          <w:rFonts w:ascii="Sylfaen" w:hAnsi="Sylfaen"/>
          <w:i/>
        </w:rPr>
        <w:tab/>
      </w:r>
    </w:p>
    <w:p w14:paraId="0170096E" w14:textId="7A60C8FE" w:rsidR="000E4770" w:rsidRPr="000E4770" w:rsidRDefault="000E4770" w:rsidP="002B1735">
      <w:pPr>
        <w:spacing w:before="120" w:after="120" w:line="360" w:lineRule="auto"/>
        <w:jc w:val="both"/>
        <w:rPr>
          <w:rFonts w:ascii="Sylfaen" w:hAnsi="Sylfaen"/>
          <w:sz w:val="48"/>
          <w:szCs w:val="48"/>
        </w:rPr>
      </w:pPr>
      <w:r w:rsidRPr="000E4770">
        <w:rPr>
          <w:rFonts w:ascii="Sylfaen" w:hAnsi="Sylfaen"/>
          <w:sz w:val="48"/>
          <w:szCs w:val="48"/>
        </w:rPr>
        <w:t>The Interconnection between Ethnicity, Ideology, and Genocide and their Reflection on the Armenian Genocide</w:t>
      </w:r>
    </w:p>
    <w:p w14:paraId="0736152B" w14:textId="7D4404BA" w:rsidR="00240FC1" w:rsidRPr="00331418" w:rsidRDefault="000E4770" w:rsidP="002B1735">
      <w:pPr>
        <w:spacing w:before="120" w:after="120" w:line="360" w:lineRule="auto"/>
        <w:jc w:val="both"/>
        <w:rPr>
          <w:rFonts w:ascii="Sylfaen" w:hAnsi="Sylfaen"/>
        </w:rPr>
      </w:pPr>
      <w:r>
        <w:rPr>
          <w:rFonts w:ascii="Sylfaen" w:hAnsi="Sylfaen"/>
        </w:rPr>
        <w:t>So</w:t>
      </w:r>
      <w:r w:rsidR="005B0ECE">
        <w:rPr>
          <w:rFonts w:ascii="Sylfaen" w:hAnsi="Sylfaen"/>
        </w:rPr>
        <w:t>f</w:t>
      </w:r>
      <w:r>
        <w:rPr>
          <w:rFonts w:ascii="Sylfaen" w:hAnsi="Sylfaen"/>
        </w:rPr>
        <w:t>ya Manukyan</w:t>
      </w:r>
    </w:p>
    <w:p w14:paraId="2A35EB5D" w14:textId="3B1B0097" w:rsidR="002B247D" w:rsidRPr="00331418" w:rsidRDefault="002B247D" w:rsidP="002B1735">
      <w:pPr>
        <w:spacing w:before="120" w:after="120" w:line="360" w:lineRule="auto"/>
        <w:jc w:val="both"/>
        <w:rPr>
          <w:rFonts w:ascii="Sylfaen" w:hAnsi="Sylfaen"/>
        </w:rPr>
      </w:pPr>
      <w:r w:rsidRPr="00331418">
        <w:rPr>
          <w:rFonts w:ascii="Sylfaen" w:hAnsi="Sylfaen"/>
        </w:rPr>
        <w:t>University of Essex</w:t>
      </w:r>
      <w:r w:rsidR="004B5597">
        <w:rPr>
          <w:rFonts w:ascii="Sylfaen" w:hAnsi="Sylfaen"/>
          <w:noProof/>
        </w:rPr>
        <w:pict w14:anchorId="03B1286F">
          <v:rect id="_x0000_i1025" alt="" style="width:451.3pt;height:.05pt;mso-width-percent:0;mso-height-percent:0;mso-width-percent:0;mso-height-percent:0" o:hralign="center" o:hrstd="t" o:hr="t" fillcolor="#a0a0a0" stroked="f"/>
        </w:pict>
      </w:r>
    </w:p>
    <w:p w14:paraId="42AE1F70" w14:textId="44BF30BC" w:rsidR="00240FC1" w:rsidRPr="00ED039A" w:rsidRDefault="00331418" w:rsidP="002B1735">
      <w:pPr>
        <w:pStyle w:val="Heading1"/>
        <w:spacing w:before="120" w:after="120" w:line="360" w:lineRule="auto"/>
        <w:jc w:val="both"/>
        <w:rPr>
          <w:rFonts w:ascii="Sylfaen" w:hAnsi="Sylfaen"/>
          <w:b/>
        </w:rPr>
      </w:pPr>
      <w:r w:rsidRPr="00ED039A">
        <w:rPr>
          <w:rFonts w:ascii="Sylfaen" w:hAnsi="Sylfaen"/>
          <w:b/>
          <w:color w:val="auto"/>
          <w:sz w:val="22"/>
        </w:rPr>
        <w:t>Abstract</w:t>
      </w:r>
    </w:p>
    <w:p w14:paraId="43278DA1" w14:textId="77777777" w:rsidR="000E4770" w:rsidRDefault="000E4770" w:rsidP="002B1735">
      <w:pPr>
        <w:pStyle w:val="NormalWeb"/>
        <w:spacing w:before="120" w:beforeAutospacing="0" w:after="120" w:afterAutospacing="0" w:line="360" w:lineRule="auto"/>
        <w:jc w:val="both"/>
      </w:pPr>
      <w:r>
        <w:rPr>
          <w:rFonts w:ascii="Sylfaen" w:hAnsi="Sylfaen"/>
        </w:rPr>
        <w:t xml:space="preserve">The aim of this essay is to discuss the correlation of notions such as ethnicity and ideology and the usage of these notions in instigating genocides. The theoretical part of this essay will be supported by the detailed study of the 1915 events, when the Ottoman Empire initiated the targeted mass-killings of its ethnic Armenian (as well as Greek and Assyrian) minorities by systematically exterminating them from their historic homeland of what today is known as the Republic of Turkey. These atrocities are recognized as genocide by 21 countries, but not yet by Turkey itself. However, in this essay we will not concentrate on the latter aspect of non-recognition of the Genocide and the political motives behind this, but we will rather discuss the ideologies, as well as the perception of ethnic unity as a core concept in instigating these atrocities. </w:t>
      </w:r>
    </w:p>
    <w:p w14:paraId="37B73D13" w14:textId="6C3D9037" w:rsidR="002B247D" w:rsidRDefault="00240FC1" w:rsidP="002B1735">
      <w:pPr>
        <w:spacing w:before="120" w:after="120" w:line="360" w:lineRule="auto"/>
        <w:jc w:val="both"/>
        <w:rPr>
          <w:rFonts w:ascii="Sylfaen" w:hAnsi="Sylfaen"/>
        </w:rPr>
      </w:pPr>
      <w:r w:rsidRPr="00ED039A">
        <w:rPr>
          <w:rStyle w:val="Heading1Char"/>
          <w:rFonts w:ascii="Sylfaen" w:hAnsi="Sylfaen"/>
          <w:b/>
          <w:color w:val="auto"/>
          <w:sz w:val="22"/>
        </w:rPr>
        <w:t>Keywords:</w:t>
      </w:r>
      <w:r w:rsidRPr="00331418">
        <w:rPr>
          <w:rFonts w:ascii="Sylfaen" w:hAnsi="Sylfaen"/>
        </w:rPr>
        <w:t xml:space="preserve">  </w:t>
      </w:r>
      <w:r w:rsidR="00187A68">
        <w:rPr>
          <w:rFonts w:ascii="Sylfaen" w:hAnsi="Sylfaen"/>
        </w:rPr>
        <w:t>Genocide, Armenians, Ottoman Empire, Ethnicity, Ideology</w:t>
      </w:r>
    </w:p>
    <w:p w14:paraId="5CEC8B74" w14:textId="77777777" w:rsidR="00313E93" w:rsidRPr="00523267" w:rsidRDefault="00313E93" w:rsidP="002B1735">
      <w:pPr>
        <w:spacing w:before="120" w:after="120" w:line="360" w:lineRule="auto"/>
        <w:jc w:val="both"/>
        <w:rPr>
          <w:rFonts w:ascii="Sylfaen" w:hAnsi="Sylfaen"/>
        </w:rPr>
      </w:pPr>
    </w:p>
    <w:p w14:paraId="32F9A88B" w14:textId="77777777" w:rsidR="0003609E" w:rsidRPr="00CE741C" w:rsidRDefault="000E4770" w:rsidP="00CE741C">
      <w:pPr>
        <w:pStyle w:val="Heading1"/>
        <w:rPr>
          <w:rFonts w:ascii="Sylfaen" w:eastAsia="Times New Roman" w:hAnsi="Sylfaen"/>
          <w:b/>
          <w:bCs/>
          <w:color w:val="000000" w:themeColor="text1"/>
          <w:sz w:val="22"/>
          <w:szCs w:val="22"/>
          <w:lang w:eastAsia="en-GB"/>
        </w:rPr>
      </w:pPr>
      <w:r w:rsidRPr="00CE741C">
        <w:rPr>
          <w:rFonts w:ascii="Sylfaen" w:eastAsia="Times New Roman" w:hAnsi="Sylfaen"/>
          <w:b/>
          <w:bCs/>
          <w:color w:val="000000" w:themeColor="text1"/>
          <w:sz w:val="22"/>
          <w:szCs w:val="22"/>
          <w:lang w:eastAsia="en-GB"/>
        </w:rPr>
        <w:t xml:space="preserve">The Correlation of Ethnicity and Ideology in Inciting Genocides </w:t>
      </w:r>
    </w:p>
    <w:p w14:paraId="22C0D2BF" w14:textId="75DCCEE2" w:rsidR="000E4770" w:rsidRPr="000E4770" w:rsidRDefault="000E4770" w:rsidP="002B1735">
      <w:pPr>
        <w:spacing w:before="120" w:after="120" w:line="360" w:lineRule="auto"/>
        <w:ind w:firstLine="720"/>
        <w:jc w:val="both"/>
        <w:rPr>
          <w:rFonts w:ascii="Times New Roman" w:eastAsia="Times New Roman" w:hAnsi="Times New Roman" w:cs="Times New Roman"/>
          <w:b/>
          <w:bCs/>
          <w:lang w:eastAsia="en-GB"/>
        </w:rPr>
      </w:pPr>
      <w:r w:rsidRPr="000E4770">
        <w:rPr>
          <w:rFonts w:ascii="Sylfaen" w:eastAsia="Times New Roman" w:hAnsi="Sylfaen" w:cs="Times New Roman"/>
          <w:lang w:eastAsia="en-GB"/>
        </w:rPr>
        <w:t xml:space="preserve">Anthropologists define several levels of ethnicity, the highest level of which is the ethnic community, where the self-defined human population shares a myth of common ancestry, historical memories and elements of culture and a measure of solidarity. These types of </w:t>
      </w:r>
      <w:r w:rsidRPr="000E4770">
        <w:rPr>
          <w:rFonts w:ascii="Sylfaen" w:eastAsia="Times New Roman" w:hAnsi="Sylfaen" w:cs="Times New Roman"/>
          <w:lang w:eastAsia="en-GB"/>
        </w:rPr>
        <w:lastRenderedPageBreak/>
        <w:t xml:space="preserve">communities have a clear conception of who they are and have a common ethno-history, often articulated in chronicles and epics (Smith, 2006, p. 172). This type of definition is also applied for diaspora ethnic communities such as the Armenians, Greeks, Jews, who retained a symbolic link with their ancestral homelands (Smith, 2006, p. 172). </w:t>
      </w:r>
    </w:p>
    <w:p w14:paraId="657446A8" w14:textId="65A9957A" w:rsidR="000E4770" w:rsidRPr="000E4770" w:rsidRDefault="000E4770" w:rsidP="002B1735">
      <w:pPr>
        <w:spacing w:before="120" w:after="120" w:line="360" w:lineRule="auto"/>
        <w:ind w:firstLine="720"/>
        <w:jc w:val="both"/>
        <w:rPr>
          <w:rFonts w:ascii="Times New Roman" w:eastAsia="Times New Roman" w:hAnsi="Times New Roman" w:cs="Times New Roman"/>
          <w:lang w:eastAsia="en-GB"/>
        </w:rPr>
      </w:pPr>
      <w:r w:rsidRPr="000E4770">
        <w:rPr>
          <w:rFonts w:ascii="Sylfaen" w:eastAsia="Times New Roman" w:hAnsi="Sylfaen" w:cs="Times New Roman"/>
          <w:lang w:eastAsia="en-GB"/>
        </w:rPr>
        <w:t>Different factors play a role in the formation of ethnic consciousness. These include the interplay of culture and politics, a sense of common ancestry, long warfare between states, religion, certain codes of communication among populations sharing common elements of culture, as well as collective beliefs and shared attachments to landscapes, all of which contribute in their turn to the creation and preservation of national identity (Smith, 2006, p. 172). These ethnic attachments and perceptions often influence political</w:t>
      </w:r>
      <w:r w:rsidR="00523267" w:rsidRPr="0003609E">
        <w:rPr>
          <w:rFonts w:ascii="Sylfaen" w:eastAsia="Times New Roman" w:hAnsi="Sylfaen" w:cs="Times New Roman"/>
          <w:lang w:eastAsia="en-GB"/>
        </w:rPr>
        <w:t xml:space="preserve"> </w:t>
      </w:r>
      <w:r w:rsidRPr="000E4770">
        <w:rPr>
          <w:rFonts w:ascii="Sylfaen" w:eastAsia="Times New Roman" w:hAnsi="Sylfaen" w:cs="Times New Roman"/>
          <w:lang w:eastAsia="en-GB"/>
        </w:rPr>
        <w:t xml:space="preserve">action, i.e. the political elites use the above-mentioned factors for reaffirmation of the territorial, cultural and other types of claims of the particular ethnic group or nation (Smith, 2006, p. 172). As Malesevic states, ethnicity and ‘nationess’ have much more to do with ideology than identity (2006, p. 157). Explaining the connection between ethnicity and ideology, he stresses that collective cultural difference is more than the synonym for ethnicity or ‘nationess’, since when formulating an identity, a choice of certain practices or artifacts is made from the nearly unlimited repertoire that cultures provide, which according to Malesevic, is politically motivated: in other words, ethnicity and ‘nationess’ are not merely culturally bound, but politically motivated forms of social action, which, in turn, shifts the perception of ethnicity and nationality based on identity into concepts substantiated by ideology (2006, p. 157). </w:t>
      </w:r>
    </w:p>
    <w:p w14:paraId="38C78641" w14:textId="3ECCE7F9" w:rsidR="000E4770" w:rsidRPr="000E4770" w:rsidRDefault="000E4770" w:rsidP="002B1735">
      <w:pPr>
        <w:spacing w:before="120" w:after="120" w:line="360" w:lineRule="auto"/>
        <w:ind w:firstLine="720"/>
        <w:jc w:val="both"/>
        <w:rPr>
          <w:rFonts w:ascii="Times New Roman" w:eastAsia="Times New Roman" w:hAnsi="Times New Roman" w:cs="Times New Roman"/>
          <w:lang w:eastAsia="en-GB"/>
        </w:rPr>
      </w:pPr>
      <w:r w:rsidRPr="000E4770">
        <w:rPr>
          <w:rFonts w:ascii="Sylfaen" w:eastAsia="Times New Roman" w:hAnsi="Sylfaen" w:cs="Times New Roman"/>
          <w:lang w:eastAsia="en-GB"/>
        </w:rPr>
        <w:t xml:space="preserve">Describing the power of ideology in mobilizing people, Malesevic quotes Cohen, who stated that ethnicity is essentially a political phenomenon and traditional customs are used only as mechanisms for political alignment (2006, p. 166). Malesevic goes on explaining that the use of cultural or religious symbols is aimed at mobilizing large sectors of the population on ethno-national basis, so that when confronted with other groups, they perceive them as culturally different and thus threatening. Elites manage to ideologically articulate cultural difference as a political difference, which in its turn gives political meaning and significance to culture by politicizing its content (2006, p. 166). </w:t>
      </w:r>
      <w:r w:rsidR="00877472" w:rsidRPr="00F251EA">
        <w:rPr>
          <w:rFonts w:ascii="Sylfaen" w:eastAsia="Times New Roman" w:hAnsi="Sylfaen" w:cs="Times New Roman"/>
          <w:lang w:eastAsia="en-GB"/>
        </w:rPr>
        <w:t>https://doi.org/10.5526/esj66</w:t>
      </w:r>
    </w:p>
    <w:p w14:paraId="597642AE" w14:textId="77777777" w:rsidR="000E4770" w:rsidRPr="000E4770" w:rsidRDefault="000E4770" w:rsidP="002B1735">
      <w:pPr>
        <w:spacing w:before="120" w:after="120" w:line="360" w:lineRule="auto"/>
        <w:ind w:firstLine="720"/>
        <w:jc w:val="both"/>
        <w:rPr>
          <w:rFonts w:ascii="Times New Roman" w:eastAsia="Times New Roman" w:hAnsi="Times New Roman" w:cs="Times New Roman"/>
          <w:lang w:eastAsia="en-GB"/>
        </w:rPr>
      </w:pPr>
      <w:r w:rsidRPr="000E4770">
        <w:rPr>
          <w:rFonts w:ascii="Sylfaen" w:eastAsia="Times New Roman" w:hAnsi="Sylfaen" w:cs="Times New Roman"/>
          <w:lang w:eastAsia="en-GB"/>
        </w:rPr>
        <w:lastRenderedPageBreak/>
        <w:t xml:space="preserve">As a result, nationalism is formed, which, as described by Gellner, creates the concept that the ruler should belong to the same ethnic group as the ruled (Conversi, 2006, p. 320). The opposite situation is thus a road leading to ethnic cleansing, forced assimilation, mass deportation and genocide, because claiming that the inhabitants of a specific constituency must have the same ethnic roots of its leaders is to give green light to mass expulsion and redrawing of boundaries to suit the group’s genealogy (Conversi, 2006, p. 321). Gellner also points at ethno-political purity as a factor of nationalism, which is the symbol of most nationalist attempts to erase ethnic distinctiveness by homogenizing entire populations (Conversi, 2006, p. 321). </w:t>
      </w:r>
    </w:p>
    <w:p w14:paraId="13158DC0" w14:textId="35D8573E" w:rsidR="000E4770" w:rsidRPr="000E4770" w:rsidRDefault="000E4770" w:rsidP="002B1735">
      <w:pPr>
        <w:spacing w:before="120" w:after="120" w:line="360" w:lineRule="auto"/>
        <w:ind w:firstLine="720"/>
        <w:jc w:val="both"/>
        <w:rPr>
          <w:rFonts w:ascii="Times New Roman" w:eastAsia="Times New Roman" w:hAnsi="Times New Roman" w:cs="Times New Roman"/>
          <w:lang w:eastAsia="en-GB"/>
        </w:rPr>
      </w:pPr>
      <w:r w:rsidRPr="000E4770">
        <w:rPr>
          <w:rFonts w:ascii="Sylfaen" w:eastAsia="Times New Roman" w:hAnsi="Sylfaen" w:cs="Times New Roman"/>
          <w:lang w:eastAsia="en-GB"/>
        </w:rPr>
        <w:t>History has shown that the process of assimilation is made easier particularly when nationalist mobilizations are accompanied by state militarism (Conversi, 2006, p. 321). As such, the earliest occurrence of this form of assimilation was the Armenian genocide at the beginning of the 20</w:t>
      </w:r>
      <w:r w:rsidRPr="000E4770">
        <w:rPr>
          <w:rFonts w:ascii="Sylfaen" w:eastAsia="Times New Roman" w:hAnsi="Sylfaen" w:cs="Times New Roman"/>
          <w:position w:val="6"/>
          <w:lang w:eastAsia="en-GB"/>
        </w:rPr>
        <w:t xml:space="preserve">th </w:t>
      </w:r>
      <w:r w:rsidRPr="000E4770">
        <w:rPr>
          <w:rFonts w:ascii="Sylfaen" w:eastAsia="Times New Roman" w:hAnsi="Sylfaen" w:cs="Times New Roman"/>
          <w:lang w:eastAsia="en-GB"/>
        </w:rPr>
        <w:t xml:space="preserve">century, when Westernizing nationalism emerged as an influential force among the Turkish elites (Conversi, 2006, p. 321). As Conversi states, “the 1914-16 mass extermination campaigns were unprecedented by any humanly acceptable and recognizable standard”, which occurred as a result of rapidly modernizing state structures, which in their turn, by imitating Western models, were trying to prevent the collapse of the empire (2006, p. 321). </w:t>
      </w:r>
    </w:p>
    <w:p w14:paraId="3C124ADC" w14:textId="7D54A343" w:rsidR="000E4770" w:rsidRPr="000E4770" w:rsidRDefault="000E4770" w:rsidP="002B1735">
      <w:pPr>
        <w:spacing w:before="120" w:after="120" w:line="360" w:lineRule="auto"/>
        <w:ind w:firstLine="720"/>
        <w:jc w:val="both"/>
        <w:rPr>
          <w:rFonts w:ascii="Times New Roman" w:eastAsia="Times New Roman" w:hAnsi="Times New Roman" w:cs="Times New Roman"/>
          <w:lang w:eastAsia="en-GB"/>
        </w:rPr>
      </w:pPr>
      <w:r w:rsidRPr="000E4770">
        <w:rPr>
          <w:rFonts w:ascii="Sylfaen" w:eastAsia="Times New Roman" w:hAnsi="Sylfaen" w:cs="Times New Roman"/>
          <w:lang w:eastAsia="en-GB"/>
        </w:rPr>
        <w:t xml:space="preserve">Malesevic points out as well that ethnic cleansings have been the result of not only the birth of modern nation-states, but also of the processes of democratization, liberalization and modernization; “it was the arrival of modernity – and its most enduring creation, the Enlightenment inspired nation-state – which generated an environment for the systematic mass extermination of human beings” (Malesevic, 2006, p. 204). In such circumstances, the prevailing assumption is that achieving a new properly functioning state is only possible through a single standardized cultural idiom. When this cultural homogeneity is achieved gradually and slowly, even if it involves systematic mass scale bloodshed (which in a course of time becomes a forgotten historical episode), we accept it as something normal and natural, while when this same principle is applied suddenly in front of our eyes, without any restraints, we are shocked and disgusted by its savagery (as was the case with the Rwandan Genocide) (Malesevic, 2006, pp. 205-6). Thus, Malesevic concludes that the reasons for ethnic cleansing and genocide are not so much in the </w:t>
      </w:r>
      <w:r w:rsidRPr="000E4770">
        <w:rPr>
          <w:rFonts w:ascii="Sylfaen" w:eastAsia="Times New Roman" w:hAnsi="Sylfaen" w:cs="Times New Roman"/>
          <w:lang w:eastAsia="en-GB"/>
        </w:rPr>
        <w:lastRenderedPageBreak/>
        <w:t xml:space="preserve">authoritarian tradition or politics, or in the economic or technological backwardness, but in the idea of creating a modern nation-state, which eventually lays the foundation for all genocides (2006, p. 206). </w:t>
      </w:r>
    </w:p>
    <w:p w14:paraId="24CEADC5" w14:textId="77777777" w:rsidR="000E4770" w:rsidRPr="000E4770" w:rsidRDefault="000E4770" w:rsidP="002B1735">
      <w:pPr>
        <w:spacing w:before="120" w:after="120" w:line="360" w:lineRule="auto"/>
        <w:ind w:firstLine="720"/>
        <w:jc w:val="both"/>
        <w:rPr>
          <w:rFonts w:ascii="Times New Roman" w:eastAsia="Times New Roman" w:hAnsi="Times New Roman" w:cs="Times New Roman"/>
          <w:lang w:eastAsia="en-GB"/>
        </w:rPr>
      </w:pPr>
      <w:r w:rsidRPr="000E4770">
        <w:rPr>
          <w:rFonts w:ascii="Sylfaen" w:eastAsia="Times New Roman" w:hAnsi="Sylfaen" w:cs="Times New Roman"/>
          <w:lang w:eastAsia="en-GB"/>
        </w:rPr>
        <w:t xml:space="preserve">In terms of analyzing the motives of systematic mass killing, Mann (2005) shows as well that the role of the state and the ‘process of democratization’ play a big role in justifying the crime by covering it with the pretence of modernity. He states that ethnic cleansing is most likely to happen where powerful representatives within two ethnic groups try to establish their rule over the same territory ‘in the name of the people’ (Mann, 2005, p. 33). However, the idea of modern and democratic rule in the people’s name has often been misused and too often demos has been read as ethnos, while the project of democratization has been treated as ethnic homogenization (Mann, 2005, p. 33). Thus, as Mann notices, mass scale ethnic cleansing has been viewed as the ‘dark side of democracy’, and in such circumstances, genocide has been taken as something more likely to happen under the conditions of imperfect democratization (2005, p. 33). </w:t>
      </w:r>
    </w:p>
    <w:p w14:paraId="4E50AC04" w14:textId="5D9C50B1" w:rsidR="000E4770" w:rsidRPr="000E4770" w:rsidRDefault="000E4770" w:rsidP="002B1735">
      <w:pPr>
        <w:spacing w:before="120" w:after="120" w:line="360" w:lineRule="auto"/>
        <w:ind w:firstLine="720"/>
        <w:jc w:val="both"/>
        <w:rPr>
          <w:rFonts w:ascii="Times New Roman" w:eastAsia="Times New Roman" w:hAnsi="Times New Roman" w:cs="Times New Roman"/>
          <w:lang w:eastAsia="en-GB"/>
        </w:rPr>
      </w:pPr>
      <w:r w:rsidRPr="000E4770">
        <w:rPr>
          <w:rFonts w:ascii="Sylfaen" w:eastAsia="Times New Roman" w:hAnsi="Sylfaen" w:cs="Times New Roman"/>
          <w:lang w:eastAsia="en-GB"/>
        </w:rPr>
        <w:t xml:space="preserve">As such, Malesevic concludes that the 1915 genocide of Armenians was not executed by an authoritarian Ottoman Empire, but by a multiethnic Empire, where the ideological incentive was created by secular and Western oriented Young Turks. Moreover, the actions were carried out neither in the name of Allah, nor for the sake of imperial Ottoman glory, but rather in the name of modernizing the ruling system and reviving the nation/state-building process (Malesevic, 2006, p. 208). Therefore, genocide can be related to factors such as interstate rivalry, government expansion, modernization or nation/state creation, while patriotism and nationalism are factors providing ideological and emotional grounds for carrying out the crime. </w:t>
      </w:r>
    </w:p>
    <w:p w14:paraId="6D459001" w14:textId="79B24A1A" w:rsidR="002B1735" w:rsidRDefault="000E4770" w:rsidP="002B1735">
      <w:pPr>
        <w:spacing w:before="120" w:after="120" w:line="360" w:lineRule="auto"/>
        <w:ind w:firstLine="720"/>
        <w:jc w:val="both"/>
        <w:rPr>
          <w:rFonts w:ascii="Sylfaen" w:eastAsia="Times New Roman" w:hAnsi="Sylfaen" w:cs="Times New Roman"/>
          <w:lang w:eastAsia="en-GB"/>
        </w:rPr>
      </w:pPr>
      <w:r w:rsidRPr="000E4770">
        <w:rPr>
          <w:rFonts w:ascii="Sylfaen" w:eastAsia="Times New Roman" w:hAnsi="Sylfaen" w:cs="Times New Roman"/>
          <w:lang w:eastAsia="en-GB"/>
        </w:rPr>
        <w:t xml:space="preserve">For understanding what ideological mechanisms were used in case of the Armenian Genocide and how they actually worked, we would need to have a more profound study in this area for better illustration of how the blend of such notions like ethnicity and ideology was applied in the case of the Armenian Genocide. </w:t>
      </w:r>
    </w:p>
    <w:p w14:paraId="47D1AE06" w14:textId="77777777" w:rsidR="00CE741C" w:rsidRDefault="00CE741C" w:rsidP="002B1735">
      <w:pPr>
        <w:spacing w:before="120" w:after="120" w:line="360" w:lineRule="auto"/>
        <w:ind w:firstLine="720"/>
        <w:jc w:val="both"/>
        <w:rPr>
          <w:rFonts w:ascii="Sylfaen" w:eastAsia="Times New Roman" w:hAnsi="Sylfaen" w:cs="Times New Roman"/>
          <w:lang w:eastAsia="en-GB"/>
        </w:rPr>
      </w:pPr>
    </w:p>
    <w:p w14:paraId="4FF80F8E" w14:textId="6961F01E" w:rsidR="000E4770" w:rsidRPr="00CE741C" w:rsidRDefault="000E4770" w:rsidP="00CE741C">
      <w:pPr>
        <w:pStyle w:val="Heading1"/>
        <w:rPr>
          <w:rFonts w:ascii="Sylfaen" w:eastAsia="Times New Roman" w:hAnsi="Sylfaen"/>
          <w:b/>
          <w:bCs/>
          <w:color w:val="000000" w:themeColor="text1"/>
          <w:sz w:val="22"/>
          <w:szCs w:val="22"/>
          <w:lang w:eastAsia="en-GB"/>
        </w:rPr>
      </w:pPr>
      <w:r w:rsidRPr="00CE741C">
        <w:rPr>
          <w:rFonts w:ascii="Sylfaen" w:eastAsia="Times New Roman" w:hAnsi="Sylfaen"/>
          <w:b/>
          <w:bCs/>
          <w:color w:val="000000" w:themeColor="text1"/>
          <w:sz w:val="22"/>
          <w:szCs w:val="22"/>
          <w:lang w:eastAsia="en-GB"/>
        </w:rPr>
        <w:lastRenderedPageBreak/>
        <w:t xml:space="preserve">Transition from the Ottoman Empire to the Republic of Turkey: the Nation Building Process and the Fate of Ethnic Armenians in 1920s </w:t>
      </w:r>
    </w:p>
    <w:p w14:paraId="7A798A3B" w14:textId="77777777" w:rsidR="000E4770" w:rsidRPr="000E4770" w:rsidRDefault="000E4770" w:rsidP="002B1735">
      <w:pPr>
        <w:spacing w:before="120" w:after="120" w:line="360" w:lineRule="auto"/>
        <w:ind w:firstLine="720"/>
        <w:jc w:val="both"/>
        <w:rPr>
          <w:rFonts w:ascii="Times New Roman" w:eastAsia="Times New Roman" w:hAnsi="Times New Roman" w:cs="Times New Roman"/>
          <w:lang w:eastAsia="en-GB"/>
        </w:rPr>
      </w:pPr>
      <w:r w:rsidRPr="000E4770">
        <w:rPr>
          <w:rFonts w:ascii="Sylfaen" w:eastAsia="Times New Roman" w:hAnsi="Sylfaen" w:cs="Times New Roman"/>
          <w:lang w:eastAsia="en-GB"/>
        </w:rPr>
        <w:t>During the nation-building process in the late 19</w:t>
      </w:r>
      <w:r w:rsidRPr="000E4770">
        <w:rPr>
          <w:rFonts w:ascii="Sylfaen" w:eastAsia="Times New Roman" w:hAnsi="Sylfaen" w:cs="Times New Roman"/>
          <w:position w:val="6"/>
          <w:lang w:eastAsia="en-GB"/>
        </w:rPr>
        <w:t xml:space="preserve">th </w:t>
      </w:r>
      <w:r w:rsidRPr="000E4770">
        <w:rPr>
          <w:rFonts w:ascii="Sylfaen" w:eastAsia="Times New Roman" w:hAnsi="Sylfaen" w:cs="Times New Roman"/>
          <w:lang w:eastAsia="en-GB"/>
        </w:rPr>
        <w:t>century, the urgency of forming collective identity appeared in Turkey in response to Western attempts to partition the Ottoman Empire, therefore the following question emerged - what collective character should unite the society for avoiding the collapse (Akcam, 2004, pp. 124-5)? As a response to this question, two main political movements emerged in the middle of the 19</w:t>
      </w:r>
      <w:r w:rsidRPr="000E4770">
        <w:rPr>
          <w:rFonts w:ascii="Sylfaen" w:eastAsia="Times New Roman" w:hAnsi="Sylfaen" w:cs="Times New Roman"/>
          <w:position w:val="6"/>
          <w:lang w:eastAsia="en-GB"/>
        </w:rPr>
        <w:t xml:space="preserve">th </w:t>
      </w:r>
      <w:r w:rsidRPr="000E4770">
        <w:rPr>
          <w:rFonts w:ascii="Sylfaen" w:eastAsia="Times New Roman" w:hAnsi="Sylfaen" w:cs="Times New Roman"/>
          <w:lang w:eastAsia="en-GB"/>
        </w:rPr>
        <w:t xml:space="preserve">century, one of which was ‘progressive/reformers’ and the other, ‘reactionary/traditionalists’. Despite the differences between these two movements, the sides were united on one point – the need for creating some shared, homogenous elements which separated the ‘us’ from the ‘them’ (Akcam, 2004, p. 125). </w:t>
      </w:r>
    </w:p>
    <w:p w14:paraId="23B8FCDC" w14:textId="77777777" w:rsidR="000E4770" w:rsidRPr="000E4770" w:rsidRDefault="000E4770" w:rsidP="002B1735">
      <w:pPr>
        <w:spacing w:before="120" w:after="120" w:line="360" w:lineRule="auto"/>
        <w:ind w:firstLine="720"/>
        <w:jc w:val="both"/>
        <w:rPr>
          <w:rFonts w:ascii="Times New Roman" w:eastAsia="Times New Roman" w:hAnsi="Times New Roman" w:cs="Times New Roman"/>
          <w:lang w:eastAsia="en-GB"/>
        </w:rPr>
      </w:pPr>
      <w:r w:rsidRPr="000E4770">
        <w:rPr>
          <w:rFonts w:ascii="Sylfaen" w:eastAsia="Times New Roman" w:hAnsi="Sylfaen" w:cs="Times New Roman"/>
          <w:lang w:eastAsia="en-GB"/>
        </w:rPr>
        <w:t xml:space="preserve">As a result, The Union and Progress movement (CUP), which became a driving force in the political power in the Ottoman Empire of 1908, emerged as a movement aimed at creating a centralized and modern state where the fundamental condition of strong state building was the shared identity based on universal equality (Akcam, 2004, p. 125). While it was obvious that there was need to gather different religious-national groups of the Empire under one roof for creating this ‘union of peoples’, it was unclear what the shared moral values and cultural identity between the Empire’s different communities should be, which would allow them to unite (Akcam, 2004, p. 126). </w:t>
      </w:r>
    </w:p>
    <w:p w14:paraId="28457F0C" w14:textId="4797AAE8" w:rsidR="000E4770" w:rsidRPr="000E4770" w:rsidRDefault="000E4770" w:rsidP="002B1735">
      <w:pPr>
        <w:spacing w:before="120" w:after="120" w:line="360" w:lineRule="auto"/>
        <w:ind w:firstLine="720"/>
        <w:jc w:val="both"/>
        <w:rPr>
          <w:rFonts w:ascii="Times New Roman" w:eastAsia="Times New Roman" w:hAnsi="Times New Roman" w:cs="Times New Roman"/>
          <w:lang w:eastAsia="en-GB"/>
        </w:rPr>
      </w:pPr>
      <w:r w:rsidRPr="000E4770">
        <w:rPr>
          <w:rFonts w:ascii="Sylfaen" w:eastAsia="Times New Roman" w:hAnsi="Sylfaen" w:cs="Times New Roman"/>
          <w:lang w:eastAsia="en-GB"/>
        </w:rPr>
        <w:t xml:space="preserve">Eventually, a very classical approach in solving the problem of creating a shared identity imposed upon the modern state was applied, i.e. the principle of universal citizenship, which considered everyone as equal, combined with a cultural identity that could be defined as Ottomanism and which would be formed around the values of the dominant Muslim Turkish society (Akcam, 2004, p. 128). </w:t>
      </w:r>
    </w:p>
    <w:p w14:paraId="0D27B0A0" w14:textId="77777777" w:rsidR="000E4770" w:rsidRPr="000E4770" w:rsidRDefault="000E4770" w:rsidP="002B1735">
      <w:pPr>
        <w:spacing w:before="120" w:after="120" w:line="360" w:lineRule="auto"/>
        <w:ind w:firstLine="720"/>
        <w:jc w:val="both"/>
        <w:rPr>
          <w:rFonts w:ascii="Times New Roman" w:eastAsia="Times New Roman" w:hAnsi="Times New Roman" w:cs="Times New Roman"/>
          <w:lang w:eastAsia="en-GB"/>
        </w:rPr>
      </w:pPr>
      <w:r w:rsidRPr="000E4770">
        <w:rPr>
          <w:rFonts w:ascii="Sylfaen" w:eastAsia="Times New Roman" w:hAnsi="Sylfaen" w:cs="Times New Roman"/>
          <w:lang w:eastAsia="en-GB"/>
        </w:rPr>
        <w:t xml:space="preserve">For this purpose, the unionists planned to implement the policy of assimilation or Turkification of the Ottoman Empire, which occurred in several ways. One such way was staying far from political and social pluralism as the CUP was convinced that only by transforming the country into an ethnically homogenous core state with an ethnically homogenous population was the only acceptable model for the Ottoman Empire (Ungor, 2011, p. 293). As a result, actions were </w:t>
      </w:r>
      <w:r w:rsidRPr="000E4770">
        <w:rPr>
          <w:rFonts w:ascii="Sylfaen" w:eastAsia="Times New Roman" w:hAnsi="Sylfaen" w:cs="Times New Roman"/>
          <w:lang w:eastAsia="en-GB"/>
        </w:rPr>
        <w:lastRenderedPageBreak/>
        <w:t xml:space="preserve">carried out such as undertaking detailed ethnographic research on almost all the non-Turkish Ottoman peoples in order to facilitate the plans of ethnic ‘restructuring’ (Ungor, 2011, p. 293). </w:t>
      </w:r>
    </w:p>
    <w:p w14:paraId="46AFA59E" w14:textId="77777777" w:rsidR="000E4770" w:rsidRPr="000E4770" w:rsidRDefault="000E4770" w:rsidP="002B1735">
      <w:pPr>
        <w:spacing w:before="120" w:after="120" w:line="360" w:lineRule="auto"/>
        <w:ind w:firstLine="720"/>
        <w:jc w:val="both"/>
        <w:rPr>
          <w:rFonts w:ascii="Times New Roman" w:eastAsia="Times New Roman" w:hAnsi="Times New Roman" w:cs="Times New Roman"/>
          <w:lang w:eastAsia="en-GB"/>
        </w:rPr>
      </w:pPr>
      <w:r w:rsidRPr="000E4770">
        <w:rPr>
          <w:rFonts w:ascii="Sylfaen" w:eastAsia="Times New Roman" w:hAnsi="Sylfaen" w:cs="Times New Roman"/>
          <w:lang w:eastAsia="en-GB"/>
        </w:rPr>
        <w:t xml:space="preserve">An extensive campaign of Turkification was launched in the summer of 1913, when the place names were changed in many parts of the country and all traces of non-Turkish cultures were wiped out; the process went as far as the 1960s and ended up in the alteration of tens of thousands of topographic names (Ungor, 2011, p. 296). </w:t>
      </w:r>
    </w:p>
    <w:p w14:paraId="5B7180C7" w14:textId="77777777" w:rsidR="000E4770" w:rsidRPr="000E4770" w:rsidRDefault="000E4770" w:rsidP="002B1735">
      <w:pPr>
        <w:spacing w:before="120" w:after="120" w:line="360" w:lineRule="auto"/>
        <w:ind w:firstLine="720"/>
        <w:jc w:val="both"/>
        <w:rPr>
          <w:rFonts w:ascii="Times New Roman" w:eastAsia="Times New Roman" w:hAnsi="Times New Roman" w:cs="Times New Roman"/>
          <w:lang w:eastAsia="en-GB"/>
        </w:rPr>
      </w:pPr>
      <w:r w:rsidRPr="000E4770">
        <w:rPr>
          <w:rFonts w:ascii="Sylfaen" w:eastAsia="Times New Roman" w:hAnsi="Sylfaen" w:cs="Times New Roman"/>
          <w:lang w:eastAsia="en-GB"/>
        </w:rPr>
        <w:t xml:space="preserve">Another way was the deportation of the entire Armenian population from Anatolia, which occurred based on the order of compulsory deportation of all Armenians to Der Zor (desert in Syria). Any Muslim protecting an Armenian was to be hanged in front of his house, his house was to be burnt down and if such a Muslim held an office, he should have been removed from it and brought in front of the martial court (Ungor, 2011, p. 297). By the autumn of 1915, the Ottoman bureaucracy had depopulated most of the Armenian settlements, isolated or eliminated the Armenian community leaders, and was managing the expropriation and allocation of the remaining Armenian property to Muslims (Ungor, 2011, p. 298). </w:t>
      </w:r>
    </w:p>
    <w:p w14:paraId="2C663F17" w14:textId="77777777" w:rsidR="000E4770" w:rsidRPr="000E4770" w:rsidRDefault="000E4770" w:rsidP="002B1735">
      <w:pPr>
        <w:spacing w:before="120" w:after="120" w:line="360" w:lineRule="auto"/>
        <w:ind w:firstLine="720"/>
        <w:jc w:val="both"/>
        <w:rPr>
          <w:rFonts w:ascii="Times New Roman" w:eastAsia="Times New Roman" w:hAnsi="Times New Roman" w:cs="Times New Roman"/>
          <w:lang w:eastAsia="en-GB"/>
        </w:rPr>
      </w:pPr>
      <w:r w:rsidRPr="000E4770">
        <w:rPr>
          <w:rFonts w:ascii="Sylfaen" w:eastAsia="Times New Roman" w:hAnsi="Sylfaen" w:cs="Times New Roman"/>
          <w:lang w:eastAsia="en-GB"/>
        </w:rPr>
        <w:t xml:space="preserve">Aside from deportation, massacres were also taking place. One such massacre that took place in 1915 in Diyarbakir and was carried out by the governor of the town Resid Bey who, according to his own words, ‘removed’ 120,000 Armenians from his province, the majority of whom were massacred or died from exhaustion (Ungor, 2011, p. 137). The governor, taking the Social Darwinist idea of the need to kill collectively in order to survive collectively, justified the murders as follows: </w:t>
      </w:r>
    </w:p>
    <w:p w14:paraId="4DB4DCD0" w14:textId="208467C4" w:rsidR="000E4770" w:rsidRPr="000E4770" w:rsidRDefault="000E4770" w:rsidP="002B1735">
      <w:pPr>
        <w:spacing w:before="120" w:after="120" w:line="360" w:lineRule="auto"/>
        <w:ind w:firstLine="720"/>
        <w:jc w:val="both"/>
        <w:rPr>
          <w:rFonts w:ascii="Times New Roman" w:eastAsia="Times New Roman" w:hAnsi="Times New Roman" w:cs="Times New Roman"/>
          <w:lang w:eastAsia="en-GB"/>
        </w:rPr>
      </w:pPr>
      <w:r w:rsidRPr="000E4770">
        <w:rPr>
          <w:rFonts w:ascii="Sylfaen" w:eastAsia="Times New Roman" w:hAnsi="Sylfaen" w:cs="Times New Roman"/>
          <w:lang w:eastAsia="en-GB"/>
        </w:rPr>
        <w:t xml:space="preserve">Either they us, or we them. In this situation, I thought to myself: (...) either Armenians will liquidate the Turks, or the Turks will liquidate them! ... Faced with the necessity of having to choose I did not hesitate for long. (...) But I did not accomplish this deed either to satisfy my personal pride or to enrich myself. I had seen that the fatherland was about to be lost, therefore, I proceeded eyes closed and without consideration, convinced that I was acting for the welfare of the nation (Ungor, 2011, p. 137). </w:t>
      </w:r>
    </w:p>
    <w:p w14:paraId="2E87E7D0" w14:textId="77777777" w:rsidR="000E4770" w:rsidRPr="000E4770" w:rsidRDefault="000E4770" w:rsidP="002B1735">
      <w:pPr>
        <w:spacing w:before="120" w:after="120" w:line="360" w:lineRule="auto"/>
        <w:ind w:firstLine="720"/>
        <w:jc w:val="both"/>
        <w:rPr>
          <w:rFonts w:ascii="Times New Roman" w:eastAsia="Times New Roman" w:hAnsi="Times New Roman" w:cs="Times New Roman"/>
          <w:lang w:eastAsia="en-GB"/>
        </w:rPr>
      </w:pPr>
      <w:r w:rsidRPr="000E4770">
        <w:rPr>
          <w:rFonts w:ascii="Sylfaen" w:eastAsia="Times New Roman" w:hAnsi="Sylfaen" w:cs="Times New Roman"/>
          <w:lang w:eastAsia="en-GB"/>
        </w:rPr>
        <w:t xml:space="preserve">Such actions, made by this and other governors, supported the realization of the plan of centralization, full sovereignty and Turkification of Anatolia at the expense of the region’s religious </w:t>
      </w:r>
      <w:r w:rsidRPr="000E4770">
        <w:rPr>
          <w:rFonts w:ascii="Sylfaen" w:eastAsia="Times New Roman" w:hAnsi="Sylfaen" w:cs="Times New Roman"/>
          <w:lang w:eastAsia="en-GB"/>
        </w:rPr>
        <w:lastRenderedPageBreak/>
        <w:t xml:space="preserve">and ethnic minorities. The First World War offered an opportunity to carry out these plans without attracting unnecessary attention. </w:t>
      </w:r>
    </w:p>
    <w:p w14:paraId="2ED4DEA5" w14:textId="77777777" w:rsidR="000E4770" w:rsidRPr="000E4770" w:rsidRDefault="000E4770" w:rsidP="002B1735">
      <w:pPr>
        <w:spacing w:before="120" w:after="120" w:line="360" w:lineRule="auto"/>
        <w:ind w:firstLine="720"/>
        <w:jc w:val="both"/>
        <w:rPr>
          <w:rFonts w:ascii="Times New Roman" w:eastAsia="Times New Roman" w:hAnsi="Times New Roman" w:cs="Times New Roman"/>
          <w:lang w:eastAsia="en-GB"/>
        </w:rPr>
      </w:pPr>
      <w:r w:rsidRPr="000E4770">
        <w:rPr>
          <w:rFonts w:ascii="Sylfaen" w:eastAsia="Times New Roman" w:hAnsi="Sylfaen" w:cs="Times New Roman"/>
          <w:lang w:eastAsia="en-GB"/>
        </w:rPr>
        <w:t xml:space="preserve">However, not all governors were carrying out the order this eagerly. During the testimonies given before various sessions of the Unionists’ trials in the courts-martial, former Ankara governor explained his removal thus: “I acted as if I did not understand the orders concerning the deportation of Armenians that I received from the interior minister in Istanbul. [...] [When] Atif Bey arrived... He orally relayed to me the order regarding the killing and annihilation of Armenians. I told him ‘No, Atif Bey, I am the governor, I’m not a bandit. I cannot do it. I will get up from the [governor’s] chair and you can come and do it.’” (Akcam, 2012, p. 195). </w:t>
      </w:r>
    </w:p>
    <w:p w14:paraId="376E2FBE" w14:textId="77777777" w:rsidR="000E4770" w:rsidRPr="000E4770" w:rsidRDefault="000E4770" w:rsidP="002B1735">
      <w:pPr>
        <w:spacing w:before="120" w:after="120" w:line="360" w:lineRule="auto"/>
        <w:ind w:firstLine="720"/>
        <w:jc w:val="both"/>
        <w:rPr>
          <w:rFonts w:ascii="Times New Roman" w:eastAsia="Times New Roman" w:hAnsi="Times New Roman" w:cs="Times New Roman"/>
          <w:lang w:eastAsia="en-GB"/>
        </w:rPr>
      </w:pPr>
      <w:r w:rsidRPr="000E4770">
        <w:rPr>
          <w:rFonts w:ascii="Sylfaen" w:eastAsia="Times New Roman" w:hAnsi="Sylfaen" w:cs="Times New Roman"/>
          <w:lang w:eastAsia="en-GB"/>
        </w:rPr>
        <w:t xml:space="preserve">In addition to the provincial and district officials who lost their positions, other local officials lost their lives. Huseyin Nesimi, the senior administrator of Lice County, refused to carry out the order to massacre his Armenian residents. He first demanded to receive a written order to this effect. He was soon removed from his position, summoned to Diyarbekir, and murdered on the way. As his son recalls, the order to dismiss state officials came from Diyarbekir governor Dr. Resid Bey, and he names several other provincial and district heads who shared a similar fate. In order to carry out the annihilation of the Armenians, the younger Nesimi explains, “it was unavoidable that the administrative cadre that was likely to oppose [such a measure] would have to be removed. For this reason (...) it appeared necessary to eliminate the aforementioned persons” (Akcam, 2012, p. 196). </w:t>
      </w:r>
    </w:p>
    <w:p w14:paraId="1F603789" w14:textId="61D048E3" w:rsidR="000E4770" w:rsidRPr="000E4770" w:rsidRDefault="000E4770" w:rsidP="002B1735">
      <w:pPr>
        <w:spacing w:before="120" w:after="120" w:line="360" w:lineRule="auto"/>
        <w:ind w:firstLine="720"/>
        <w:jc w:val="both"/>
        <w:rPr>
          <w:rFonts w:ascii="Times New Roman" w:eastAsia="Times New Roman" w:hAnsi="Times New Roman" w:cs="Times New Roman"/>
          <w:lang w:eastAsia="en-GB"/>
        </w:rPr>
      </w:pPr>
      <w:r w:rsidRPr="000E4770">
        <w:rPr>
          <w:rFonts w:ascii="Sylfaen" w:eastAsia="Times New Roman" w:hAnsi="Sylfaen" w:cs="Times New Roman"/>
          <w:lang w:eastAsia="en-GB"/>
        </w:rPr>
        <w:t>Armenians, however, were not the only ethnic group on the list. Kurds were also condemned to mass deportation. They were deported from East Anatolia to Western Anatolia and, according to the official correspondence, they were to undergo assimilation and rapid linguistic Turkification (Ungor, 2011, p. 298). The removal of Kurds from Eastern Turkey was accompanied by forced assimilation. In 1928, the Turkish nationalist Tekin Alp published a manifesto entitled ‘Turkification’, in which he argued that the rapid cultural homogenization of Turkey could only be accomplished by Turkifying the minorities by force: methods of forced integration included assuming</w:t>
      </w:r>
      <w:r w:rsidR="00523267" w:rsidRPr="0003609E">
        <w:rPr>
          <w:rFonts w:ascii="Sylfaen" w:eastAsia="Times New Roman" w:hAnsi="Sylfaen" w:cs="Times New Roman"/>
          <w:lang w:eastAsia="en-GB"/>
        </w:rPr>
        <w:t xml:space="preserve"> </w:t>
      </w:r>
      <w:r w:rsidRPr="000E4770">
        <w:rPr>
          <w:rFonts w:ascii="Sylfaen" w:eastAsia="Times New Roman" w:hAnsi="Sylfaen" w:cs="Times New Roman"/>
          <w:lang w:eastAsia="en-GB"/>
        </w:rPr>
        <w:t xml:space="preserve">Turkish names, speaking only Turkish, extinguishing non-Turkish collective identities, and socializing with Turks (Ungor, 2011, p. 303). </w:t>
      </w:r>
    </w:p>
    <w:p w14:paraId="493F4DB3" w14:textId="77777777" w:rsidR="000E4770" w:rsidRPr="000E4770" w:rsidRDefault="000E4770" w:rsidP="002B1735">
      <w:pPr>
        <w:spacing w:before="120" w:after="120" w:line="360" w:lineRule="auto"/>
        <w:ind w:firstLine="720"/>
        <w:jc w:val="both"/>
        <w:rPr>
          <w:rFonts w:ascii="Times New Roman" w:eastAsia="Times New Roman" w:hAnsi="Times New Roman" w:cs="Times New Roman"/>
          <w:lang w:eastAsia="en-GB"/>
        </w:rPr>
      </w:pPr>
      <w:r w:rsidRPr="000E4770">
        <w:rPr>
          <w:rFonts w:ascii="Sylfaen" w:eastAsia="Times New Roman" w:hAnsi="Sylfaen" w:cs="Times New Roman"/>
          <w:lang w:eastAsia="en-GB"/>
        </w:rPr>
        <w:lastRenderedPageBreak/>
        <w:t xml:space="preserve">As a result, in 1928, the Kemalist government initiated campaign titled “Citizen, Speak Turkish!”; in 1930, a secret order was issued regarding the fate of the deportees in that they were to be “made Turkish in languages, traditions and desires”; in 1934, the Surname Law homogenized all family names into a Turkish melting pot (Ungor, 2011, p. 303). </w:t>
      </w:r>
    </w:p>
    <w:p w14:paraId="1C949815" w14:textId="77777777" w:rsidR="000E4770" w:rsidRPr="000E4770" w:rsidRDefault="000E4770" w:rsidP="002B1735">
      <w:pPr>
        <w:spacing w:before="120" w:after="120" w:line="360" w:lineRule="auto"/>
        <w:jc w:val="both"/>
        <w:rPr>
          <w:rFonts w:ascii="Times New Roman" w:eastAsia="Times New Roman" w:hAnsi="Times New Roman" w:cs="Times New Roman"/>
          <w:lang w:eastAsia="en-GB"/>
        </w:rPr>
      </w:pPr>
      <w:r w:rsidRPr="000E4770">
        <w:rPr>
          <w:rFonts w:ascii="Sylfaen" w:eastAsia="Times New Roman" w:hAnsi="Sylfaen" w:cs="Times New Roman"/>
          <w:lang w:eastAsia="en-GB"/>
        </w:rPr>
        <w:t xml:space="preserve">The significant component of Turkification was also making the use of Turkish language compulsory in all state organs and schools, as well as forcing the businesses owned or operated by non-Muslims using Turkish in all their corporate transactions. While the first step was aimed at cultural and linguistic homogenization, the second step aimed at establishing and enriching the ‘national economy’ through seizing the wealth of non- Muslims (Ungor, 2011, p. 296). Finally, removal of these events from people’s memory was also an important method of Turkification. For every region in Eastern Anatolia, local official historians produced volumes of history books, where the fact of the genocide was silenced and all ethnic minorities were named as Turks (Ungor, 2011, p. 304). </w:t>
      </w:r>
    </w:p>
    <w:p w14:paraId="0B9B1F1F" w14:textId="520DE948" w:rsidR="000E4770" w:rsidRDefault="000E4770" w:rsidP="002B1735">
      <w:pPr>
        <w:spacing w:before="120" w:after="120" w:line="360" w:lineRule="auto"/>
        <w:ind w:firstLine="720"/>
        <w:jc w:val="both"/>
        <w:rPr>
          <w:rFonts w:ascii="Sylfaen" w:eastAsia="Times New Roman" w:hAnsi="Sylfaen" w:cs="Times New Roman"/>
          <w:lang w:eastAsia="en-GB"/>
        </w:rPr>
      </w:pPr>
      <w:r w:rsidRPr="000E4770">
        <w:rPr>
          <w:rFonts w:ascii="Sylfaen" w:eastAsia="Times New Roman" w:hAnsi="Sylfaen" w:cs="Times New Roman"/>
          <w:lang w:eastAsia="en-GB"/>
        </w:rPr>
        <w:t xml:space="preserve">Through these steps, various ethnic and religious groups in the Ottoman Empire and then in the Turkish Republic were expelled and destroyed through the continuous processes of ethnic cleansing in the period of 1878 - 1945. The re-conceptualization of Turkish history in the first half of the twentieth century took place through deportation, expulsion and assimilation. First, there was the Armenian Genocide, then the expulsion of the Greeks, and finally the dissolution of the Kurds, which all led to homogenization of the society during the Young Turks’ (CUP) era. It was these Young Turks that were united around CUP’s ideological projects who shaped the policies of state/nation formation and the political and ethnic map of Turkey (Ungor, 2011, pp. 304-5). </w:t>
      </w:r>
    </w:p>
    <w:p w14:paraId="7ABB4578" w14:textId="77777777" w:rsidR="00CE741C" w:rsidRPr="000E4770" w:rsidRDefault="00CE741C" w:rsidP="002B1735">
      <w:pPr>
        <w:spacing w:before="120" w:after="120" w:line="360" w:lineRule="auto"/>
        <w:ind w:firstLine="720"/>
        <w:jc w:val="both"/>
        <w:rPr>
          <w:rFonts w:ascii="Times New Roman" w:eastAsia="Times New Roman" w:hAnsi="Times New Roman" w:cs="Times New Roman"/>
          <w:lang w:eastAsia="en-GB"/>
        </w:rPr>
      </w:pPr>
    </w:p>
    <w:p w14:paraId="5905924C" w14:textId="77777777" w:rsidR="000E4770" w:rsidRPr="00CE741C" w:rsidRDefault="000E4770" w:rsidP="00CE741C">
      <w:pPr>
        <w:pStyle w:val="Heading1"/>
        <w:rPr>
          <w:rFonts w:ascii="Sylfaen" w:eastAsia="Times New Roman" w:hAnsi="Sylfaen"/>
          <w:b/>
          <w:bCs/>
          <w:color w:val="000000" w:themeColor="text1"/>
          <w:sz w:val="22"/>
          <w:szCs w:val="22"/>
          <w:lang w:eastAsia="en-GB"/>
        </w:rPr>
      </w:pPr>
      <w:r w:rsidRPr="00CE741C">
        <w:rPr>
          <w:rFonts w:ascii="Sylfaen" w:eastAsia="Times New Roman" w:hAnsi="Sylfaen"/>
          <w:b/>
          <w:bCs/>
          <w:color w:val="000000" w:themeColor="text1"/>
          <w:sz w:val="22"/>
          <w:szCs w:val="22"/>
          <w:lang w:eastAsia="en-GB"/>
        </w:rPr>
        <w:t xml:space="preserve">Ideological Grounds </w:t>
      </w:r>
    </w:p>
    <w:p w14:paraId="5A877EA7" w14:textId="0E8910A6" w:rsidR="000E4770" w:rsidRPr="000E4770" w:rsidRDefault="000E4770" w:rsidP="002B1735">
      <w:pPr>
        <w:spacing w:before="120" w:after="120" w:line="360" w:lineRule="auto"/>
        <w:ind w:firstLine="720"/>
        <w:jc w:val="both"/>
        <w:rPr>
          <w:rFonts w:ascii="Times New Roman" w:eastAsia="Times New Roman" w:hAnsi="Times New Roman" w:cs="Times New Roman"/>
          <w:lang w:eastAsia="en-GB"/>
        </w:rPr>
      </w:pPr>
      <w:r w:rsidRPr="000E4770">
        <w:rPr>
          <w:rFonts w:ascii="Sylfaen" w:eastAsia="Times New Roman" w:hAnsi="Sylfaen" w:cs="Times New Roman"/>
          <w:lang w:eastAsia="en-GB"/>
        </w:rPr>
        <w:t xml:space="preserve">The fall of the Ottoman Empire gave birth to several ideologies aimed at preventing its total collapse: these were Ottomanism, Islamism, Westernism and Turkism. Despite the differences between them, the core of all of these ideologies was the expectation of continuing Turkish domination over other nations in the region (Akcam, 2004, p. 134). The uniting point among these different streams was not only the religious dominance of Muslims over non-Muslims, but also of </w:t>
      </w:r>
      <w:r w:rsidRPr="000E4770">
        <w:rPr>
          <w:rFonts w:ascii="Sylfaen" w:eastAsia="Times New Roman" w:hAnsi="Sylfaen" w:cs="Times New Roman"/>
          <w:lang w:eastAsia="en-GB"/>
        </w:rPr>
        <w:lastRenderedPageBreak/>
        <w:t xml:space="preserve">the Turkish race over all other races. As such, different representatives of these streams agreed that in regards to their military, civilizing and political roles, the Turkish race was superior and more ancient than all the other races, which in turn privileged them over other races (Akcam, 2004, p. 135). </w:t>
      </w:r>
    </w:p>
    <w:p w14:paraId="1B12C082" w14:textId="77777777" w:rsidR="000E4770" w:rsidRPr="000E4770" w:rsidRDefault="000E4770" w:rsidP="002B1735">
      <w:pPr>
        <w:spacing w:before="120" w:after="120" w:line="360" w:lineRule="auto"/>
        <w:ind w:firstLine="720"/>
        <w:jc w:val="both"/>
        <w:rPr>
          <w:rFonts w:ascii="Times New Roman" w:eastAsia="Times New Roman" w:hAnsi="Times New Roman" w:cs="Times New Roman"/>
          <w:lang w:eastAsia="en-GB"/>
        </w:rPr>
      </w:pPr>
      <w:r w:rsidRPr="000E4770">
        <w:rPr>
          <w:rFonts w:ascii="Sylfaen" w:eastAsia="Times New Roman" w:hAnsi="Sylfaen" w:cs="Times New Roman"/>
          <w:lang w:eastAsia="en-GB"/>
        </w:rPr>
        <w:t xml:space="preserve">What the CUP later on did was simply borrow this ideology, claiming that in multinational constructs such as the Ottoman Empire, the domination of one nation/ethnos should be seen as normal. However, the CUP did not entirely reject other ideologies such as Islamism or Ottomanism, but instead applied them whenever occasion demanded (Akcam, 2004, p. 137). In the series of articles “Turkification, Islamification, Modernization” published in 1913, Ziya Gokalp, an influential figure in the formation of Turkish nationalism, argued that these ideologies should be understood as essentially saying the same thing, thus forming the necessary theoretical foundation for the CUP’s pragmatism: “There has never been a contradiction between Turkism and Islam, because one possesses the character of nationalism, the other, of international unity (...) Turkism is simultaneously Islamism” (Akcam, 2004, p. 137). </w:t>
      </w:r>
    </w:p>
    <w:p w14:paraId="39700E06" w14:textId="77777777" w:rsidR="000E4770" w:rsidRPr="000E4770" w:rsidRDefault="000E4770" w:rsidP="002B1735">
      <w:pPr>
        <w:spacing w:before="120" w:after="120" w:line="360" w:lineRule="auto"/>
        <w:ind w:firstLine="720"/>
        <w:jc w:val="both"/>
        <w:rPr>
          <w:rFonts w:ascii="Times New Roman" w:eastAsia="Times New Roman" w:hAnsi="Times New Roman" w:cs="Times New Roman"/>
          <w:lang w:eastAsia="en-GB"/>
        </w:rPr>
      </w:pPr>
      <w:r w:rsidRPr="000E4770">
        <w:rPr>
          <w:rFonts w:ascii="Sylfaen" w:eastAsia="Times New Roman" w:hAnsi="Sylfaen" w:cs="Times New Roman"/>
          <w:lang w:eastAsia="en-GB"/>
        </w:rPr>
        <w:t xml:space="preserve">When it was obvious that the idea of unity of different religious and ethnic groups was not possible, the attempts of establishing a new state on the foundation of Islam and Turkishness came to substitute previous ideology. For Gokalp, it was clear that a state that was not based on a shared consciousness could not survive, which eventually led to the creation of ideal nationhood and it was announced that nationalism had to be employed among Muslims (Akcam, 2004, p. 138). For achieving political unity, Gokalp suggested to follow a German model of ‘cultural unity, economic unity and political unity’, where economic unity could be achieved through common national consciousness. This, in turn, drew the focus on the ethnic dimension of the economy, because the national economy could be realized through ethnic uniformity: Accordingly, the idea was that there must be a division of labor based on one ethnic group, which has shared moral values (Akcam, 2004, p. 139). </w:t>
      </w:r>
    </w:p>
    <w:p w14:paraId="70E043E3" w14:textId="7D651662" w:rsidR="000E4770" w:rsidRDefault="000E4770" w:rsidP="002B1735">
      <w:pPr>
        <w:spacing w:before="120" w:after="120" w:line="360" w:lineRule="auto"/>
        <w:ind w:firstLine="720"/>
        <w:jc w:val="both"/>
        <w:rPr>
          <w:rFonts w:ascii="Sylfaen" w:eastAsia="Times New Roman" w:hAnsi="Sylfaen" w:cs="Times New Roman"/>
          <w:lang w:eastAsia="en-GB"/>
        </w:rPr>
      </w:pPr>
      <w:r w:rsidRPr="000E4770">
        <w:rPr>
          <w:rFonts w:ascii="Sylfaen" w:eastAsia="Times New Roman" w:hAnsi="Sylfaen" w:cs="Times New Roman"/>
          <w:lang w:eastAsia="en-GB"/>
        </w:rPr>
        <w:t xml:space="preserve">As a result, the portrayal of non-Muslims as responsible for the disasters that had befallen the Empire started. The idea that the survival of Turkey was greatly depending on the decrease of the amount of ‘foreigners’ dominated in the society and oppression against non-Muslims became </w:t>
      </w:r>
      <w:r w:rsidRPr="000E4770">
        <w:rPr>
          <w:rFonts w:ascii="Sylfaen" w:eastAsia="Times New Roman" w:hAnsi="Sylfaen" w:cs="Times New Roman"/>
          <w:lang w:eastAsia="en-GB"/>
        </w:rPr>
        <w:lastRenderedPageBreak/>
        <w:t xml:space="preserve">an everyday occurrence (Akcam, 2004, p. 140). Muslim- Turkish elements began to employ political force to remove non-Muslims from their economic position and to replace them, and through economic nationalization, non- Muslim subjects and foreigners were eliminated from the market. By implicating large numbers of people via illegal methods of acquisition, the Young Turk government bought the silence and cooperation of the populace as many enriched themselves by misappropriating the forcibly abandoned properties and businesses of the Armenians (Adalian, 2009, p. 66). These measures allowed CUP to clear the markets from non- Muslims and also created lots of income flow for the party’s own functionality (Akcam, 2004, p. 143). This step, among others aimed at exterminating non-Muslims in the region, eventually led to the creation of the identity the CUP had long strived for, which in turn gave firm grounds for the creation of the Republic of Turkey. </w:t>
      </w:r>
    </w:p>
    <w:p w14:paraId="2A18AF4E" w14:textId="77777777" w:rsidR="00CE741C" w:rsidRPr="000E4770" w:rsidRDefault="00CE741C" w:rsidP="002B1735">
      <w:pPr>
        <w:spacing w:before="120" w:after="120" w:line="360" w:lineRule="auto"/>
        <w:ind w:firstLine="720"/>
        <w:jc w:val="both"/>
        <w:rPr>
          <w:rFonts w:ascii="Times New Roman" w:eastAsia="Times New Roman" w:hAnsi="Times New Roman" w:cs="Times New Roman"/>
          <w:lang w:eastAsia="en-GB"/>
        </w:rPr>
      </w:pPr>
    </w:p>
    <w:p w14:paraId="6699609C" w14:textId="77777777" w:rsidR="000E4770" w:rsidRPr="00CE741C" w:rsidRDefault="000E4770" w:rsidP="00CE741C">
      <w:pPr>
        <w:pStyle w:val="Heading1"/>
        <w:rPr>
          <w:rFonts w:ascii="Sylfaen" w:eastAsia="Times New Roman" w:hAnsi="Sylfaen"/>
          <w:b/>
          <w:bCs/>
          <w:color w:val="000000" w:themeColor="text1"/>
          <w:sz w:val="22"/>
          <w:szCs w:val="22"/>
          <w:lang w:eastAsia="en-GB"/>
        </w:rPr>
      </w:pPr>
      <w:r w:rsidRPr="00CE741C">
        <w:rPr>
          <w:rFonts w:ascii="Sylfaen" w:eastAsia="Times New Roman" w:hAnsi="Sylfaen"/>
          <w:b/>
          <w:bCs/>
          <w:color w:val="000000" w:themeColor="text1"/>
          <w:sz w:val="22"/>
          <w:szCs w:val="22"/>
          <w:lang w:eastAsia="en-GB"/>
        </w:rPr>
        <w:t xml:space="preserve">Conclusion </w:t>
      </w:r>
    </w:p>
    <w:p w14:paraId="6317F642" w14:textId="100A0700" w:rsidR="00313E93" w:rsidRDefault="000E4770" w:rsidP="002B1735">
      <w:pPr>
        <w:spacing w:before="120" w:after="120" w:line="360" w:lineRule="auto"/>
        <w:ind w:firstLine="720"/>
        <w:jc w:val="both"/>
        <w:rPr>
          <w:rFonts w:ascii="Sylfaen" w:eastAsia="Times New Roman" w:hAnsi="Sylfaen" w:cs="Times New Roman"/>
          <w:lang w:eastAsia="en-GB"/>
        </w:rPr>
      </w:pPr>
      <w:r w:rsidRPr="000E4770">
        <w:rPr>
          <w:rFonts w:ascii="Sylfaen" w:eastAsia="Times New Roman" w:hAnsi="Sylfaen" w:cs="Times New Roman"/>
          <w:lang w:eastAsia="en-GB"/>
        </w:rPr>
        <w:t xml:space="preserve">The Armenian Genocide, even though carried out during the First World War, was planned long before 1915. The ideology of transforming the multicultural, multiethnic and multi-religious communities in the region into a more homogenous society was planned the moment it was obvious that the Ottoman Empire needed to undergo structural changes for surviving the pressures from outside and within. The transformation of the country into a modernized and westernized state, which was the only way of survival according to the Young Turks, was viewed by them as possible only through the creation of a homogenous society and in turn, ethnic unity. As a result, ethnic cleansings in the region once again proved that the reasons for crimes against humanity and genocide do not result primarily from authoritarian traditions, politics or economic or technological backwardness, but from the idea of creating a modern nation- state, where ruling powers would have the unanimous support of a given population with shared cultural values, ethnic backgrounds and religious inclinations. As such, the creation of the Republic of Turkey is a clear example of how ethnicity and ideology, when intertwined and used as a tool for obtaining power, can and do lead to genocides. </w:t>
      </w:r>
    </w:p>
    <w:p w14:paraId="6BBB3F4C" w14:textId="77777777" w:rsidR="00CE741C" w:rsidRPr="0003609E" w:rsidRDefault="00CE741C" w:rsidP="002B1735">
      <w:pPr>
        <w:spacing w:before="120" w:after="120" w:line="360" w:lineRule="auto"/>
        <w:ind w:firstLine="720"/>
        <w:jc w:val="both"/>
        <w:rPr>
          <w:rFonts w:ascii="Times New Roman" w:eastAsia="Times New Roman" w:hAnsi="Times New Roman" w:cs="Times New Roman"/>
          <w:lang w:eastAsia="en-GB"/>
        </w:rPr>
      </w:pPr>
    </w:p>
    <w:p w14:paraId="229BC55B" w14:textId="4F260081" w:rsidR="00A10993" w:rsidRPr="00255ABE" w:rsidRDefault="00990D5E" w:rsidP="00255ABE">
      <w:pPr>
        <w:pStyle w:val="Heading1"/>
        <w:spacing w:before="120" w:after="120" w:line="360" w:lineRule="auto"/>
        <w:jc w:val="both"/>
        <w:rPr>
          <w:rFonts w:ascii="Sylfaen" w:hAnsi="Sylfaen"/>
          <w:b/>
          <w:sz w:val="22"/>
          <w:szCs w:val="22"/>
        </w:rPr>
      </w:pPr>
      <w:r w:rsidRPr="00255ABE">
        <w:rPr>
          <w:rFonts w:ascii="Sylfaen" w:hAnsi="Sylfaen"/>
          <w:b/>
          <w:color w:val="auto"/>
          <w:sz w:val="22"/>
          <w:szCs w:val="22"/>
        </w:rPr>
        <w:lastRenderedPageBreak/>
        <w:t>References</w:t>
      </w:r>
    </w:p>
    <w:p w14:paraId="6D903345" w14:textId="77777777" w:rsidR="00255ABE" w:rsidRPr="00255ABE" w:rsidRDefault="00255ABE" w:rsidP="00255ABE">
      <w:pPr>
        <w:pStyle w:val="NormalWeb"/>
        <w:spacing w:line="360" w:lineRule="auto"/>
        <w:rPr>
          <w:sz w:val="22"/>
          <w:szCs w:val="22"/>
        </w:rPr>
      </w:pPr>
      <w:r w:rsidRPr="00255ABE">
        <w:rPr>
          <w:rFonts w:ascii="Sylfaen" w:hAnsi="Sylfaen"/>
          <w:sz w:val="22"/>
          <w:szCs w:val="22"/>
        </w:rPr>
        <w:t xml:space="preserve">Adalian, R. P. (2009). The Armenian Genocide. In: Totten, S. and Parsons W. (eds.). </w:t>
      </w:r>
      <w:r w:rsidRPr="00255ABE">
        <w:rPr>
          <w:rFonts w:ascii="Sylfaen" w:hAnsi="Sylfaen"/>
          <w:i/>
          <w:iCs/>
          <w:sz w:val="22"/>
          <w:szCs w:val="22"/>
        </w:rPr>
        <w:t>Century of Genocide: Critical Essays and Eyewitness Accounts,</w:t>
      </w:r>
      <w:r w:rsidRPr="00255ABE">
        <w:rPr>
          <w:rFonts w:ascii="Sylfaen" w:hAnsi="Sylfaen"/>
          <w:sz w:val="22"/>
          <w:szCs w:val="22"/>
        </w:rPr>
        <w:t xml:space="preserve"> 3</w:t>
      </w:r>
      <w:r w:rsidRPr="00255ABE">
        <w:rPr>
          <w:rFonts w:ascii="Sylfaen" w:hAnsi="Sylfaen"/>
          <w:position w:val="6"/>
          <w:sz w:val="22"/>
          <w:szCs w:val="22"/>
        </w:rPr>
        <w:t xml:space="preserve">rd </w:t>
      </w:r>
      <w:r w:rsidRPr="00255ABE">
        <w:rPr>
          <w:rFonts w:ascii="Sylfaen" w:hAnsi="Sylfaen"/>
          <w:sz w:val="22"/>
          <w:szCs w:val="22"/>
        </w:rPr>
        <w:t xml:space="preserve">ed., New York and London: Routledge, pp. 117-56. </w:t>
      </w:r>
    </w:p>
    <w:p w14:paraId="500BDD12" w14:textId="77777777" w:rsidR="00255ABE" w:rsidRPr="00255ABE" w:rsidRDefault="00255ABE" w:rsidP="00255ABE">
      <w:pPr>
        <w:pStyle w:val="NormalWeb"/>
        <w:spacing w:line="360" w:lineRule="auto"/>
        <w:rPr>
          <w:sz w:val="22"/>
          <w:szCs w:val="22"/>
        </w:rPr>
      </w:pPr>
      <w:r w:rsidRPr="00255ABE">
        <w:rPr>
          <w:rFonts w:ascii="Sylfaen" w:hAnsi="Sylfaen"/>
          <w:sz w:val="22"/>
          <w:szCs w:val="22"/>
        </w:rPr>
        <w:t xml:space="preserve">Akcam, T. (2004). </w:t>
      </w:r>
      <w:r w:rsidRPr="00255ABE">
        <w:rPr>
          <w:rFonts w:ascii="Sylfaen" w:hAnsi="Sylfaen"/>
          <w:i/>
          <w:iCs/>
          <w:sz w:val="22"/>
          <w:szCs w:val="22"/>
        </w:rPr>
        <w:t>From Empire to Republic: Turkish Nationalism and The Armenian Genocide</w:t>
      </w:r>
      <w:r w:rsidRPr="00255ABE">
        <w:rPr>
          <w:rFonts w:ascii="Sylfaen" w:hAnsi="Sylfaen"/>
          <w:sz w:val="22"/>
          <w:szCs w:val="22"/>
        </w:rPr>
        <w:t xml:space="preserve">. London and New York: Zed Books. </w:t>
      </w:r>
    </w:p>
    <w:p w14:paraId="722CD0E1" w14:textId="77777777" w:rsidR="00255ABE" w:rsidRPr="00255ABE" w:rsidRDefault="00255ABE" w:rsidP="00255ABE">
      <w:pPr>
        <w:pStyle w:val="NormalWeb"/>
        <w:spacing w:line="360" w:lineRule="auto"/>
        <w:rPr>
          <w:sz w:val="22"/>
          <w:szCs w:val="22"/>
        </w:rPr>
      </w:pPr>
      <w:r w:rsidRPr="00255ABE">
        <w:rPr>
          <w:rFonts w:ascii="Sylfaen" w:hAnsi="Sylfaen"/>
          <w:sz w:val="22"/>
          <w:szCs w:val="22"/>
        </w:rPr>
        <w:t xml:space="preserve">Akcam, T. (2012). </w:t>
      </w:r>
      <w:r w:rsidRPr="00255ABE">
        <w:rPr>
          <w:rFonts w:ascii="Sylfaen" w:hAnsi="Sylfaen"/>
          <w:i/>
          <w:iCs/>
          <w:sz w:val="22"/>
          <w:szCs w:val="22"/>
        </w:rPr>
        <w:t>The Young Turks’ Crime against Humanity</w:t>
      </w:r>
      <w:r w:rsidRPr="00255ABE">
        <w:rPr>
          <w:rFonts w:ascii="Sylfaen" w:hAnsi="Sylfaen"/>
          <w:sz w:val="22"/>
          <w:szCs w:val="22"/>
        </w:rPr>
        <w:t xml:space="preserve">. Princeton and Oxford: Princeton University Press. </w:t>
      </w:r>
    </w:p>
    <w:p w14:paraId="3CD72212" w14:textId="77777777" w:rsidR="00255ABE" w:rsidRPr="00255ABE" w:rsidRDefault="00255ABE" w:rsidP="00255ABE">
      <w:pPr>
        <w:pStyle w:val="NormalWeb"/>
        <w:spacing w:line="360" w:lineRule="auto"/>
        <w:rPr>
          <w:sz w:val="22"/>
          <w:szCs w:val="22"/>
        </w:rPr>
      </w:pPr>
      <w:r w:rsidRPr="00255ABE">
        <w:rPr>
          <w:rFonts w:ascii="Sylfaen" w:hAnsi="Sylfaen"/>
          <w:sz w:val="22"/>
          <w:szCs w:val="22"/>
        </w:rPr>
        <w:t xml:space="preserve">Conversi, D. (2006). Genocide, Ethnic Cleansing and Nationalism. In: Delanty, G. and Kumar, K. (eds.). </w:t>
      </w:r>
      <w:r w:rsidRPr="00255ABE">
        <w:rPr>
          <w:rFonts w:ascii="Sylfaen" w:hAnsi="Sylfaen"/>
          <w:i/>
          <w:iCs/>
          <w:sz w:val="22"/>
          <w:szCs w:val="22"/>
        </w:rPr>
        <w:t>The Sage Handbook of Nations and Nationalism</w:t>
      </w:r>
      <w:r w:rsidRPr="00255ABE">
        <w:rPr>
          <w:rFonts w:ascii="Sylfaen" w:hAnsi="Sylfaen"/>
          <w:sz w:val="22"/>
          <w:szCs w:val="22"/>
        </w:rPr>
        <w:t xml:space="preserve">. London: SAGE Publications, pp. 320-33. </w:t>
      </w:r>
    </w:p>
    <w:p w14:paraId="2442E388" w14:textId="77777777" w:rsidR="00255ABE" w:rsidRPr="00255ABE" w:rsidRDefault="00255ABE" w:rsidP="00255ABE">
      <w:pPr>
        <w:pStyle w:val="NormalWeb"/>
        <w:spacing w:line="360" w:lineRule="auto"/>
        <w:rPr>
          <w:sz w:val="22"/>
          <w:szCs w:val="22"/>
        </w:rPr>
      </w:pPr>
      <w:r w:rsidRPr="00255ABE">
        <w:rPr>
          <w:rFonts w:ascii="Sylfaen" w:hAnsi="Sylfaen"/>
          <w:sz w:val="22"/>
          <w:szCs w:val="22"/>
        </w:rPr>
        <w:t xml:space="preserve">Malesevic, S. (2006). Identity as Ideology: Understanding Ethnicity and Nationalism. New York: Palgrave Macmillan. </w:t>
      </w:r>
    </w:p>
    <w:p w14:paraId="351FADD3" w14:textId="77777777" w:rsidR="00255ABE" w:rsidRPr="00255ABE" w:rsidRDefault="00255ABE" w:rsidP="00255ABE">
      <w:pPr>
        <w:pStyle w:val="NormalWeb"/>
        <w:spacing w:line="360" w:lineRule="auto"/>
        <w:rPr>
          <w:sz w:val="22"/>
          <w:szCs w:val="22"/>
        </w:rPr>
      </w:pPr>
      <w:r w:rsidRPr="00255ABE">
        <w:rPr>
          <w:rFonts w:ascii="Sylfaen" w:hAnsi="Sylfaen"/>
          <w:sz w:val="22"/>
          <w:szCs w:val="22"/>
        </w:rPr>
        <w:t xml:space="preserve">Mann, M. (2005). </w:t>
      </w:r>
      <w:r w:rsidRPr="00255ABE">
        <w:rPr>
          <w:rFonts w:ascii="Sylfaen" w:hAnsi="Sylfaen"/>
          <w:i/>
          <w:iCs/>
          <w:sz w:val="22"/>
          <w:szCs w:val="22"/>
        </w:rPr>
        <w:t>The Dark Side of Democracy: Explaining Ethnic Cleansing</w:t>
      </w:r>
      <w:r w:rsidRPr="00255ABE">
        <w:rPr>
          <w:rFonts w:ascii="Sylfaen" w:hAnsi="Sylfaen"/>
          <w:sz w:val="22"/>
          <w:szCs w:val="22"/>
        </w:rPr>
        <w:t xml:space="preserve">. Cambridge: Cambridge University Press. </w:t>
      </w:r>
    </w:p>
    <w:p w14:paraId="1B5C5431" w14:textId="77777777" w:rsidR="00255ABE" w:rsidRPr="00255ABE" w:rsidRDefault="00255ABE" w:rsidP="00255ABE">
      <w:pPr>
        <w:pStyle w:val="NormalWeb"/>
        <w:spacing w:line="360" w:lineRule="auto"/>
        <w:rPr>
          <w:sz w:val="22"/>
          <w:szCs w:val="22"/>
        </w:rPr>
      </w:pPr>
      <w:r w:rsidRPr="00255ABE">
        <w:rPr>
          <w:rFonts w:ascii="Sylfaen" w:hAnsi="Sylfaen"/>
          <w:sz w:val="22"/>
          <w:szCs w:val="22"/>
        </w:rPr>
        <w:t xml:space="preserve">Smith, A. D. (2006). Ethnicity and Nationalism. In: Delanty, G. and Kumar, K. (eds.). The Sage Handbook of Nations and Nationalism. London: SAGE Publications, pp. 169-81. </w:t>
      </w:r>
    </w:p>
    <w:p w14:paraId="40169BCA" w14:textId="77777777" w:rsidR="00255ABE" w:rsidRPr="00255ABE" w:rsidRDefault="00255ABE" w:rsidP="00255ABE">
      <w:pPr>
        <w:pStyle w:val="NormalWeb"/>
        <w:spacing w:line="360" w:lineRule="auto"/>
        <w:rPr>
          <w:sz w:val="22"/>
          <w:szCs w:val="22"/>
        </w:rPr>
      </w:pPr>
      <w:r w:rsidRPr="00255ABE">
        <w:rPr>
          <w:rFonts w:ascii="Sylfaen" w:hAnsi="Sylfaen"/>
          <w:sz w:val="22"/>
          <w:szCs w:val="22"/>
        </w:rPr>
        <w:t xml:space="preserve">Ungor, U. U. (2011). Turkey for the Turks: Demographic Engineering in Eastern Anatolia, 1914-1945. In: Suny, R.G, Gocek, F. M. and Naimark, N.M. (eds.). </w:t>
      </w:r>
      <w:r w:rsidRPr="00255ABE">
        <w:rPr>
          <w:rFonts w:ascii="Sylfaen" w:hAnsi="Sylfaen"/>
          <w:i/>
          <w:iCs/>
          <w:sz w:val="22"/>
          <w:szCs w:val="22"/>
        </w:rPr>
        <w:t>A Question of Genocide: Armenians and Turks at the End of the Ottoman Empire.</w:t>
      </w:r>
      <w:r w:rsidRPr="00255ABE">
        <w:rPr>
          <w:rFonts w:ascii="Sylfaen" w:hAnsi="Sylfaen"/>
          <w:sz w:val="22"/>
          <w:szCs w:val="22"/>
        </w:rPr>
        <w:t xml:space="preserve"> New York: Oxford University Press, pp. 287-305. </w:t>
      </w:r>
    </w:p>
    <w:p w14:paraId="60689433" w14:textId="55EBB240" w:rsidR="00A10993" w:rsidRPr="0025091F" w:rsidRDefault="0025091F" w:rsidP="00255ABE">
      <w:pPr>
        <w:spacing w:before="120" w:after="120" w:line="360" w:lineRule="auto"/>
        <w:jc w:val="both"/>
        <w:rPr>
          <w:rFonts w:ascii="Sylfaen" w:hAnsi="Sylfaen"/>
        </w:rPr>
      </w:pPr>
      <w:r w:rsidRPr="0025091F">
        <w:rPr>
          <w:rFonts w:ascii="Sylfaen" w:hAnsi="Sylfaen" w:cs="Arial"/>
          <w:color w:val="212529"/>
        </w:rPr>
        <w:t>©Sofya Manukyan. This article is licensed under a Creative Commons Attribution 4.0 International Licence (CC BY).</w:t>
      </w:r>
    </w:p>
    <w:sectPr w:rsidR="00A10993" w:rsidRPr="0025091F" w:rsidSect="00BE6334">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016E6" w14:textId="77777777" w:rsidR="004B5597" w:rsidRDefault="004B5597" w:rsidP="002B247D">
      <w:pPr>
        <w:spacing w:after="0" w:line="240" w:lineRule="auto"/>
      </w:pPr>
      <w:r>
        <w:separator/>
      </w:r>
    </w:p>
  </w:endnote>
  <w:endnote w:type="continuationSeparator" w:id="0">
    <w:p w14:paraId="3E20630D" w14:textId="77777777" w:rsidR="004B5597" w:rsidRDefault="004B5597"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789B6EA2" w:rsidR="00BE6334" w:rsidRPr="00990D5E" w:rsidRDefault="00BE6334">
        <w:pPr>
          <w:pStyle w:val="Footer"/>
          <w:jc w:val="center"/>
          <w:rPr>
            <w:rFonts w:ascii="Sylfaen" w:hAnsi="Sylfaen"/>
            <w:sz w:val="20"/>
            <w:szCs w:val="20"/>
          </w:rPr>
        </w:pPr>
        <w:r w:rsidRPr="00990D5E">
          <w:rPr>
            <w:rFonts w:ascii="Sylfaen" w:hAnsi="Sylfaen"/>
            <w:noProof/>
            <w:sz w:val="20"/>
            <w:szCs w:val="20"/>
          </w:rPr>
          <w:t xml:space="preserve">This article is CC BY </w:t>
        </w:r>
        <w:r w:rsidR="00584544">
          <w:rPr>
            <w:rFonts w:ascii="Sylfaen" w:hAnsi="Sylfaen"/>
            <w:noProof/>
            <w:sz w:val="20"/>
            <w:szCs w:val="20"/>
          </w:rPr>
          <w:t>Sofya Manukyan</w:t>
        </w:r>
        <w:r w:rsidRPr="00990D5E">
          <w:rPr>
            <w:rFonts w:ascii="Sylfaen" w:hAnsi="Sylfaen"/>
            <w:noProof/>
            <w:sz w:val="20"/>
            <w:szCs w:val="20"/>
          </w:rPr>
          <w:tab/>
        </w:r>
        <w:r w:rsidRPr="00990D5E">
          <w:rPr>
            <w:rFonts w:ascii="Sylfaen" w:hAnsi="Sylfaen"/>
            <w:noProof/>
            <w:sz w:val="20"/>
            <w:szCs w:val="20"/>
          </w:rPr>
          <w:tab/>
          <w:t xml:space="preserve">Essex Student Journal, </w:t>
        </w:r>
        <w:r w:rsidR="00584544">
          <w:rPr>
            <w:rFonts w:ascii="Sylfaen" w:hAnsi="Sylfaen"/>
            <w:noProof/>
            <w:sz w:val="20"/>
            <w:szCs w:val="20"/>
          </w:rPr>
          <w:t>2013</w:t>
        </w:r>
        <w:r w:rsidR="00990D5E">
          <w:rPr>
            <w:rFonts w:ascii="Sylfaen" w:hAnsi="Sylfaen"/>
            <w:noProof/>
            <w:sz w:val="20"/>
            <w:szCs w:val="20"/>
          </w:rPr>
          <w:t>, Vol</w:t>
        </w:r>
        <w:r w:rsidRPr="00990D5E">
          <w:rPr>
            <w:rFonts w:ascii="Sylfaen" w:hAnsi="Sylfaen"/>
            <w:noProof/>
            <w:sz w:val="20"/>
            <w:szCs w:val="20"/>
          </w:rPr>
          <w:t>.</w:t>
        </w:r>
        <w:r w:rsidR="00584544">
          <w:rPr>
            <w:rFonts w:ascii="Sylfaen" w:hAnsi="Sylfaen"/>
            <w:noProof/>
            <w:sz w:val="20"/>
            <w:szCs w:val="20"/>
          </w:rPr>
          <w:t>6(1)</w:t>
        </w:r>
      </w:p>
    </w:sdtContent>
  </w:sdt>
  <w:p w14:paraId="1EA1B3AC" w14:textId="1038C64C" w:rsidR="0025091F" w:rsidRPr="0025091F" w:rsidRDefault="00BE6334" w:rsidP="0025091F">
    <w:pPr>
      <w:pStyle w:val="NormalWeb"/>
      <w:spacing w:before="0" w:beforeAutospacing="0"/>
      <w:rPr>
        <w:rFonts w:ascii="Arial" w:hAnsi="Arial" w:cs="Arial"/>
        <w:color w:val="212529"/>
      </w:rPr>
    </w:pPr>
    <w:r w:rsidRPr="00990D5E">
      <w:rPr>
        <w:rFonts w:ascii="Sylfaen" w:hAnsi="Sylfaen"/>
        <w:sz w:val="20"/>
        <w:szCs w:val="20"/>
      </w:rPr>
      <w:t xml:space="preserve">DOI: </w:t>
    </w:r>
    <w:r w:rsidR="00877472">
      <w:rPr>
        <w:rFonts w:ascii="Sylfaen" w:hAnsi="Sylfaen"/>
        <w:sz w:val="20"/>
        <w:szCs w:val="20"/>
      </w:rPr>
      <w:t>https://doi.org/10.5526/esj</w:t>
    </w:r>
    <w:r w:rsidR="00FC75E3">
      <w:rPr>
        <w:rFonts w:ascii="Sylfaen" w:hAnsi="Sylfaen"/>
        <w:sz w:val="20"/>
        <w:szCs w:val="20"/>
      </w:rPr>
      <w:t>68</w:t>
    </w:r>
  </w:p>
  <w:p w14:paraId="3C768B27" w14:textId="77777777" w:rsidR="0025091F" w:rsidRPr="0025091F" w:rsidRDefault="0025091F" w:rsidP="0025091F">
    <w:pPr>
      <w:spacing w:after="0" w:line="240" w:lineRule="auto"/>
      <w:rPr>
        <w:rFonts w:ascii="Times New Roman" w:eastAsia="Times New Roman" w:hAnsi="Times New Roman" w:cs="Times New Roman"/>
        <w:sz w:val="24"/>
        <w:szCs w:val="24"/>
        <w:lang w:eastAsia="en-GB"/>
      </w:rPr>
    </w:pPr>
  </w:p>
  <w:p w14:paraId="793C577F" w14:textId="2AC51D74" w:rsidR="00BE6334" w:rsidRPr="00990D5E" w:rsidRDefault="00BE6334">
    <w:pPr>
      <w:pStyle w:val="Footer"/>
      <w:rPr>
        <w:rFonts w:ascii="Sylfaen" w:hAnsi="Sylfae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DF1F2" w14:textId="77777777" w:rsidR="004B5597" w:rsidRDefault="004B5597" w:rsidP="002B247D">
      <w:pPr>
        <w:spacing w:after="0" w:line="240" w:lineRule="auto"/>
      </w:pPr>
      <w:r>
        <w:separator/>
      </w:r>
    </w:p>
  </w:footnote>
  <w:footnote w:type="continuationSeparator" w:id="0">
    <w:p w14:paraId="3B45D5C5" w14:textId="77777777" w:rsidR="004B5597" w:rsidRDefault="004B5597"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16241D18" w:rsidR="002B247D" w:rsidRPr="00990D5E" w:rsidRDefault="00584544">
    <w:pPr>
      <w:pStyle w:val="Header"/>
      <w:rPr>
        <w:rFonts w:ascii="Sylfaen" w:hAnsi="Sylfaen"/>
      </w:rPr>
    </w:pPr>
    <w:r>
      <w:rPr>
        <w:rFonts w:ascii="Sylfaen" w:hAnsi="Sylfaen"/>
      </w:rPr>
      <w:t>The Interconnection between Ethnicity, Ideology and Genocide and their Reflection on the Armenian Genocide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3609E"/>
    <w:rsid w:val="000372C6"/>
    <w:rsid w:val="00057F3F"/>
    <w:rsid w:val="00082008"/>
    <w:rsid w:val="000E4770"/>
    <w:rsid w:val="00187A68"/>
    <w:rsid w:val="0019314B"/>
    <w:rsid w:val="00221F4A"/>
    <w:rsid w:val="00240FC1"/>
    <w:rsid w:val="0025091F"/>
    <w:rsid w:val="00255ABE"/>
    <w:rsid w:val="002B1735"/>
    <w:rsid w:val="002B247D"/>
    <w:rsid w:val="002C2942"/>
    <w:rsid w:val="002C4464"/>
    <w:rsid w:val="002E3823"/>
    <w:rsid w:val="00313E93"/>
    <w:rsid w:val="00331418"/>
    <w:rsid w:val="003351C5"/>
    <w:rsid w:val="00374289"/>
    <w:rsid w:val="003F3860"/>
    <w:rsid w:val="004B5597"/>
    <w:rsid w:val="00523267"/>
    <w:rsid w:val="005364B0"/>
    <w:rsid w:val="00584544"/>
    <w:rsid w:val="005B0ECE"/>
    <w:rsid w:val="00637440"/>
    <w:rsid w:val="00642356"/>
    <w:rsid w:val="00877472"/>
    <w:rsid w:val="00990D5E"/>
    <w:rsid w:val="009A0883"/>
    <w:rsid w:val="009C10A8"/>
    <w:rsid w:val="009E26F7"/>
    <w:rsid w:val="00A10993"/>
    <w:rsid w:val="00A538B5"/>
    <w:rsid w:val="00A55EA2"/>
    <w:rsid w:val="00B322FB"/>
    <w:rsid w:val="00B77266"/>
    <w:rsid w:val="00BC0C64"/>
    <w:rsid w:val="00BE6334"/>
    <w:rsid w:val="00C4128C"/>
    <w:rsid w:val="00CD7865"/>
    <w:rsid w:val="00CE741C"/>
    <w:rsid w:val="00D35A7A"/>
    <w:rsid w:val="00DD1181"/>
    <w:rsid w:val="00E355F6"/>
    <w:rsid w:val="00ED039A"/>
    <w:rsid w:val="00EE1224"/>
    <w:rsid w:val="00FC75E3"/>
    <w:rsid w:val="00FC77A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0E47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1111406">
      <w:bodyDiv w:val="1"/>
      <w:marLeft w:val="0"/>
      <w:marRight w:val="0"/>
      <w:marTop w:val="0"/>
      <w:marBottom w:val="0"/>
      <w:divBdr>
        <w:top w:val="none" w:sz="0" w:space="0" w:color="auto"/>
        <w:left w:val="none" w:sz="0" w:space="0" w:color="auto"/>
        <w:bottom w:val="none" w:sz="0" w:space="0" w:color="auto"/>
        <w:right w:val="none" w:sz="0" w:space="0" w:color="auto"/>
      </w:divBdr>
      <w:divsChild>
        <w:div w:id="146097077">
          <w:marLeft w:val="0"/>
          <w:marRight w:val="0"/>
          <w:marTop w:val="0"/>
          <w:marBottom w:val="0"/>
          <w:divBdr>
            <w:top w:val="none" w:sz="0" w:space="0" w:color="auto"/>
            <w:left w:val="none" w:sz="0" w:space="0" w:color="auto"/>
            <w:bottom w:val="none" w:sz="0" w:space="0" w:color="auto"/>
            <w:right w:val="none" w:sz="0" w:space="0" w:color="auto"/>
          </w:divBdr>
          <w:divsChild>
            <w:div w:id="684021680">
              <w:marLeft w:val="0"/>
              <w:marRight w:val="0"/>
              <w:marTop w:val="0"/>
              <w:marBottom w:val="0"/>
              <w:divBdr>
                <w:top w:val="none" w:sz="0" w:space="0" w:color="auto"/>
                <w:left w:val="none" w:sz="0" w:space="0" w:color="auto"/>
                <w:bottom w:val="none" w:sz="0" w:space="0" w:color="auto"/>
                <w:right w:val="none" w:sz="0" w:space="0" w:color="auto"/>
              </w:divBdr>
              <w:divsChild>
                <w:div w:id="857502829">
                  <w:marLeft w:val="0"/>
                  <w:marRight w:val="0"/>
                  <w:marTop w:val="0"/>
                  <w:marBottom w:val="0"/>
                  <w:divBdr>
                    <w:top w:val="none" w:sz="0" w:space="0" w:color="auto"/>
                    <w:left w:val="none" w:sz="0" w:space="0" w:color="auto"/>
                    <w:bottom w:val="none" w:sz="0" w:space="0" w:color="auto"/>
                    <w:right w:val="none" w:sz="0" w:space="0" w:color="auto"/>
                  </w:divBdr>
                </w:div>
              </w:divsChild>
            </w:div>
            <w:div w:id="780413625">
              <w:marLeft w:val="0"/>
              <w:marRight w:val="0"/>
              <w:marTop w:val="0"/>
              <w:marBottom w:val="0"/>
              <w:divBdr>
                <w:top w:val="none" w:sz="0" w:space="0" w:color="auto"/>
                <w:left w:val="none" w:sz="0" w:space="0" w:color="auto"/>
                <w:bottom w:val="none" w:sz="0" w:space="0" w:color="auto"/>
                <w:right w:val="none" w:sz="0" w:space="0" w:color="auto"/>
              </w:divBdr>
              <w:divsChild>
                <w:div w:id="78303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40227">
          <w:marLeft w:val="0"/>
          <w:marRight w:val="0"/>
          <w:marTop w:val="0"/>
          <w:marBottom w:val="0"/>
          <w:divBdr>
            <w:top w:val="none" w:sz="0" w:space="0" w:color="auto"/>
            <w:left w:val="none" w:sz="0" w:space="0" w:color="auto"/>
            <w:bottom w:val="none" w:sz="0" w:space="0" w:color="auto"/>
            <w:right w:val="none" w:sz="0" w:space="0" w:color="auto"/>
          </w:divBdr>
          <w:divsChild>
            <w:div w:id="1645038024">
              <w:marLeft w:val="0"/>
              <w:marRight w:val="0"/>
              <w:marTop w:val="0"/>
              <w:marBottom w:val="0"/>
              <w:divBdr>
                <w:top w:val="none" w:sz="0" w:space="0" w:color="auto"/>
                <w:left w:val="none" w:sz="0" w:space="0" w:color="auto"/>
                <w:bottom w:val="none" w:sz="0" w:space="0" w:color="auto"/>
                <w:right w:val="none" w:sz="0" w:space="0" w:color="auto"/>
              </w:divBdr>
              <w:divsChild>
                <w:div w:id="289215905">
                  <w:marLeft w:val="0"/>
                  <w:marRight w:val="0"/>
                  <w:marTop w:val="0"/>
                  <w:marBottom w:val="0"/>
                  <w:divBdr>
                    <w:top w:val="none" w:sz="0" w:space="0" w:color="auto"/>
                    <w:left w:val="none" w:sz="0" w:space="0" w:color="auto"/>
                    <w:bottom w:val="none" w:sz="0" w:space="0" w:color="auto"/>
                    <w:right w:val="none" w:sz="0" w:space="0" w:color="auto"/>
                  </w:divBdr>
                </w:div>
              </w:divsChild>
            </w:div>
            <w:div w:id="262885291">
              <w:marLeft w:val="0"/>
              <w:marRight w:val="0"/>
              <w:marTop w:val="0"/>
              <w:marBottom w:val="0"/>
              <w:divBdr>
                <w:top w:val="none" w:sz="0" w:space="0" w:color="auto"/>
                <w:left w:val="none" w:sz="0" w:space="0" w:color="auto"/>
                <w:bottom w:val="none" w:sz="0" w:space="0" w:color="auto"/>
                <w:right w:val="none" w:sz="0" w:space="0" w:color="auto"/>
              </w:divBdr>
              <w:divsChild>
                <w:div w:id="143207034">
                  <w:marLeft w:val="0"/>
                  <w:marRight w:val="0"/>
                  <w:marTop w:val="0"/>
                  <w:marBottom w:val="0"/>
                  <w:divBdr>
                    <w:top w:val="none" w:sz="0" w:space="0" w:color="auto"/>
                    <w:left w:val="none" w:sz="0" w:space="0" w:color="auto"/>
                    <w:bottom w:val="none" w:sz="0" w:space="0" w:color="auto"/>
                    <w:right w:val="none" w:sz="0" w:space="0" w:color="auto"/>
                  </w:divBdr>
                </w:div>
              </w:divsChild>
            </w:div>
            <w:div w:id="475344020">
              <w:marLeft w:val="0"/>
              <w:marRight w:val="0"/>
              <w:marTop w:val="0"/>
              <w:marBottom w:val="0"/>
              <w:divBdr>
                <w:top w:val="none" w:sz="0" w:space="0" w:color="auto"/>
                <w:left w:val="none" w:sz="0" w:space="0" w:color="auto"/>
                <w:bottom w:val="none" w:sz="0" w:space="0" w:color="auto"/>
                <w:right w:val="none" w:sz="0" w:space="0" w:color="auto"/>
              </w:divBdr>
              <w:divsChild>
                <w:div w:id="19196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2964">
          <w:marLeft w:val="0"/>
          <w:marRight w:val="0"/>
          <w:marTop w:val="0"/>
          <w:marBottom w:val="0"/>
          <w:divBdr>
            <w:top w:val="none" w:sz="0" w:space="0" w:color="auto"/>
            <w:left w:val="none" w:sz="0" w:space="0" w:color="auto"/>
            <w:bottom w:val="none" w:sz="0" w:space="0" w:color="auto"/>
            <w:right w:val="none" w:sz="0" w:space="0" w:color="auto"/>
          </w:divBdr>
          <w:divsChild>
            <w:div w:id="1336223940">
              <w:marLeft w:val="0"/>
              <w:marRight w:val="0"/>
              <w:marTop w:val="0"/>
              <w:marBottom w:val="0"/>
              <w:divBdr>
                <w:top w:val="none" w:sz="0" w:space="0" w:color="auto"/>
                <w:left w:val="none" w:sz="0" w:space="0" w:color="auto"/>
                <w:bottom w:val="none" w:sz="0" w:space="0" w:color="auto"/>
                <w:right w:val="none" w:sz="0" w:space="0" w:color="auto"/>
              </w:divBdr>
              <w:divsChild>
                <w:div w:id="1889799818">
                  <w:marLeft w:val="0"/>
                  <w:marRight w:val="0"/>
                  <w:marTop w:val="0"/>
                  <w:marBottom w:val="0"/>
                  <w:divBdr>
                    <w:top w:val="none" w:sz="0" w:space="0" w:color="auto"/>
                    <w:left w:val="none" w:sz="0" w:space="0" w:color="auto"/>
                    <w:bottom w:val="none" w:sz="0" w:space="0" w:color="auto"/>
                    <w:right w:val="none" w:sz="0" w:space="0" w:color="auto"/>
                  </w:divBdr>
                </w:div>
              </w:divsChild>
            </w:div>
            <w:div w:id="1952667301">
              <w:marLeft w:val="0"/>
              <w:marRight w:val="0"/>
              <w:marTop w:val="0"/>
              <w:marBottom w:val="0"/>
              <w:divBdr>
                <w:top w:val="none" w:sz="0" w:space="0" w:color="auto"/>
                <w:left w:val="none" w:sz="0" w:space="0" w:color="auto"/>
                <w:bottom w:val="none" w:sz="0" w:space="0" w:color="auto"/>
                <w:right w:val="none" w:sz="0" w:space="0" w:color="auto"/>
              </w:divBdr>
              <w:divsChild>
                <w:div w:id="132874052">
                  <w:marLeft w:val="0"/>
                  <w:marRight w:val="0"/>
                  <w:marTop w:val="0"/>
                  <w:marBottom w:val="0"/>
                  <w:divBdr>
                    <w:top w:val="none" w:sz="0" w:space="0" w:color="auto"/>
                    <w:left w:val="none" w:sz="0" w:space="0" w:color="auto"/>
                    <w:bottom w:val="none" w:sz="0" w:space="0" w:color="auto"/>
                    <w:right w:val="none" w:sz="0" w:space="0" w:color="auto"/>
                  </w:divBdr>
                </w:div>
              </w:divsChild>
            </w:div>
            <w:div w:id="1029069830">
              <w:marLeft w:val="0"/>
              <w:marRight w:val="0"/>
              <w:marTop w:val="0"/>
              <w:marBottom w:val="0"/>
              <w:divBdr>
                <w:top w:val="none" w:sz="0" w:space="0" w:color="auto"/>
                <w:left w:val="none" w:sz="0" w:space="0" w:color="auto"/>
                <w:bottom w:val="none" w:sz="0" w:space="0" w:color="auto"/>
                <w:right w:val="none" w:sz="0" w:space="0" w:color="auto"/>
              </w:divBdr>
              <w:divsChild>
                <w:div w:id="4957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544">
          <w:marLeft w:val="0"/>
          <w:marRight w:val="0"/>
          <w:marTop w:val="0"/>
          <w:marBottom w:val="0"/>
          <w:divBdr>
            <w:top w:val="none" w:sz="0" w:space="0" w:color="auto"/>
            <w:left w:val="none" w:sz="0" w:space="0" w:color="auto"/>
            <w:bottom w:val="none" w:sz="0" w:space="0" w:color="auto"/>
            <w:right w:val="none" w:sz="0" w:space="0" w:color="auto"/>
          </w:divBdr>
          <w:divsChild>
            <w:div w:id="1310668634">
              <w:marLeft w:val="0"/>
              <w:marRight w:val="0"/>
              <w:marTop w:val="0"/>
              <w:marBottom w:val="0"/>
              <w:divBdr>
                <w:top w:val="none" w:sz="0" w:space="0" w:color="auto"/>
                <w:left w:val="none" w:sz="0" w:space="0" w:color="auto"/>
                <w:bottom w:val="none" w:sz="0" w:space="0" w:color="auto"/>
                <w:right w:val="none" w:sz="0" w:space="0" w:color="auto"/>
              </w:divBdr>
              <w:divsChild>
                <w:div w:id="1736857878">
                  <w:marLeft w:val="0"/>
                  <w:marRight w:val="0"/>
                  <w:marTop w:val="0"/>
                  <w:marBottom w:val="0"/>
                  <w:divBdr>
                    <w:top w:val="none" w:sz="0" w:space="0" w:color="auto"/>
                    <w:left w:val="none" w:sz="0" w:space="0" w:color="auto"/>
                    <w:bottom w:val="none" w:sz="0" w:space="0" w:color="auto"/>
                    <w:right w:val="none" w:sz="0" w:space="0" w:color="auto"/>
                  </w:divBdr>
                </w:div>
              </w:divsChild>
            </w:div>
            <w:div w:id="484736064">
              <w:marLeft w:val="0"/>
              <w:marRight w:val="0"/>
              <w:marTop w:val="0"/>
              <w:marBottom w:val="0"/>
              <w:divBdr>
                <w:top w:val="none" w:sz="0" w:space="0" w:color="auto"/>
                <w:left w:val="none" w:sz="0" w:space="0" w:color="auto"/>
                <w:bottom w:val="none" w:sz="0" w:space="0" w:color="auto"/>
                <w:right w:val="none" w:sz="0" w:space="0" w:color="auto"/>
              </w:divBdr>
              <w:divsChild>
                <w:div w:id="2120879552">
                  <w:marLeft w:val="0"/>
                  <w:marRight w:val="0"/>
                  <w:marTop w:val="0"/>
                  <w:marBottom w:val="0"/>
                  <w:divBdr>
                    <w:top w:val="none" w:sz="0" w:space="0" w:color="auto"/>
                    <w:left w:val="none" w:sz="0" w:space="0" w:color="auto"/>
                    <w:bottom w:val="none" w:sz="0" w:space="0" w:color="auto"/>
                    <w:right w:val="none" w:sz="0" w:space="0" w:color="auto"/>
                  </w:divBdr>
                </w:div>
              </w:divsChild>
            </w:div>
            <w:div w:id="1108237966">
              <w:marLeft w:val="0"/>
              <w:marRight w:val="0"/>
              <w:marTop w:val="0"/>
              <w:marBottom w:val="0"/>
              <w:divBdr>
                <w:top w:val="none" w:sz="0" w:space="0" w:color="auto"/>
                <w:left w:val="none" w:sz="0" w:space="0" w:color="auto"/>
                <w:bottom w:val="none" w:sz="0" w:space="0" w:color="auto"/>
                <w:right w:val="none" w:sz="0" w:space="0" w:color="auto"/>
              </w:divBdr>
              <w:divsChild>
                <w:div w:id="12922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0307">
          <w:marLeft w:val="0"/>
          <w:marRight w:val="0"/>
          <w:marTop w:val="0"/>
          <w:marBottom w:val="0"/>
          <w:divBdr>
            <w:top w:val="none" w:sz="0" w:space="0" w:color="auto"/>
            <w:left w:val="none" w:sz="0" w:space="0" w:color="auto"/>
            <w:bottom w:val="none" w:sz="0" w:space="0" w:color="auto"/>
            <w:right w:val="none" w:sz="0" w:space="0" w:color="auto"/>
          </w:divBdr>
          <w:divsChild>
            <w:div w:id="1317341102">
              <w:marLeft w:val="0"/>
              <w:marRight w:val="0"/>
              <w:marTop w:val="0"/>
              <w:marBottom w:val="0"/>
              <w:divBdr>
                <w:top w:val="none" w:sz="0" w:space="0" w:color="auto"/>
                <w:left w:val="none" w:sz="0" w:space="0" w:color="auto"/>
                <w:bottom w:val="none" w:sz="0" w:space="0" w:color="auto"/>
                <w:right w:val="none" w:sz="0" w:space="0" w:color="auto"/>
              </w:divBdr>
              <w:divsChild>
                <w:div w:id="254364993">
                  <w:marLeft w:val="0"/>
                  <w:marRight w:val="0"/>
                  <w:marTop w:val="0"/>
                  <w:marBottom w:val="0"/>
                  <w:divBdr>
                    <w:top w:val="none" w:sz="0" w:space="0" w:color="auto"/>
                    <w:left w:val="none" w:sz="0" w:space="0" w:color="auto"/>
                    <w:bottom w:val="none" w:sz="0" w:space="0" w:color="auto"/>
                    <w:right w:val="none" w:sz="0" w:space="0" w:color="auto"/>
                  </w:divBdr>
                </w:div>
              </w:divsChild>
            </w:div>
            <w:div w:id="1628201077">
              <w:marLeft w:val="0"/>
              <w:marRight w:val="0"/>
              <w:marTop w:val="0"/>
              <w:marBottom w:val="0"/>
              <w:divBdr>
                <w:top w:val="none" w:sz="0" w:space="0" w:color="auto"/>
                <w:left w:val="none" w:sz="0" w:space="0" w:color="auto"/>
                <w:bottom w:val="none" w:sz="0" w:space="0" w:color="auto"/>
                <w:right w:val="none" w:sz="0" w:space="0" w:color="auto"/>
              </w:divBdr>
              <w:divsChild>
                <w:div w:id="462231269">
                  <w:marLeft w:val="0"/>
                  <w:marRight w:val="0"/>
                  <w:marTop w:val="0"/>
                  <w:marBottom w:val="0"/>
                  <w:divBdr>
                    <w:top w:val="none" w:sz="0" w:space="0" w:color="auto"/>
                    <w:left w:val="none" w:sz="0" w:space="0" w:color="auto"/>
                    <w:bottom w:val="none" w:sz="0" w:space="0" w:color="auto"/>
                    <w:right w:val="none" w:sz="0" w:space="0" w:color="auto"/>
                  </w:divBdr>
                </w:div>
              </w:divsChild>
            </w:div>
            <w:div w:id="1177429089">
              <w:marLeft w:val="0"/>
              <w:marRight w:val="0"/>
              <w:marTop w:val="0"/>
              <w:marBottom w:val="0"/>
              <w:divBdr>
                <w:top w:val="none" w:sz="0" w:space="0" w:color="auto"/>
                <w:left w:val="none" w:sz="0" w:space="0" w:color="auto"/>
                <w:bottom w:val="none" w:sz="0" w:space="0" w:color="auto"/>
                <w:right w:val="none" w:sz="0" w:space="0" w:color="auto"/>
              </w:divBdr>
              <w:divsChild>
                <w:div w:id="3197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8364">
          <w:marLeft w:val="0"/>
          <w:marRight w:val="0"/>
          <w:marTop w:val="0"/>
          <w:marBottom w:val="0"/>
          <w:divBdr>
            <w:top w:val="none" w:sz="0" w:space="0" w:color="auto"/>
            <w:left w:val="none" w:sz="0" w:space="0" w:color="auto"/>
            <w:bottom w:val="none" w:sz="0" w:space="0" w:color="auto"/>
            <w:right w:val="none" w:sz="0" w:space="0" w:color="auto"/>
          </w:divBdr>
          <w:divsChild>
            <w:div w:id="36779234">
              <w:marLeft w:val="0"/>
              <w:marRight w:val="0"/>
              <w:marTop w:val="0"/>
              <w:marBottom w:val="0"/>
              <w:divBdr>
                <w:top w:val="none" w:sz="0" w:space="0" w:color="auto"/>
                <w:left w:val="none" w:sz="0" w:space="0" w:color="auto"/>
                <w:bottom w:val="none" w:sz="0" w:space="0" w:color="auto"/>
                <w:right w:val="none" w:sz="0" w:space="0" w:color="auto"/>
              </w:divBdr>
              <w:divsChild>
                <w:div w:id="380830857">
                  <w:marLeft w:val="0"/>
                  <w:marRight w:val="0"/>
                  <w:marTop w:val="0"/>
                  <w:marBottom w:val="0"/>
                  <w:divBdr>
                    <w:top w:val="none" w:sz="0" w:space="0" w:color="auto"/>
                    <w:left w:val="none" w:sz="0" w:space="0" w:color="auto"/>
                    <w:bottom w:val="none" w:sz="0" w:space="0" w:color="auto"/>
                    <w:right w:val="none" w:sz="0" w:space="0" w:color="auto"/>
                  </w:divBdr>
                </w:div>
              </w:divsChild>
            </w:div>
            <w:div w:id="1149319589">
              <w:marLeft w:val="0"/>
              <w:marRight w:val="0"/>
              <w:marTop w:val="0"/>
              <w:marBottom w:val="0"/>
              <w:divBdr>
                <w:top w:val="none" w:sz="0" w:space="0" w:color="auto"/>
                <w:left w:val="none" w:sz="0" w:space="0" w:color="auto"/>
                <w:bottom w:val="none" w:sz="0" w:space="0" w:color="auto"/>
                <w:right w:val="none" w:sz="0" w:space="0" w:color="auto"/>
              </w:divBdr>
              <w:divsChild>
                <w:div w:id="1229994310">
                  <w:marLeft w:val="0"/>
                  <w:marRight w:val="0"/>
                  <w:marTop w:val="0"/>
                  <w:marBottom w:val="0"/>
                  <w:divBdr>
                    <w:top w:val="none" w:sz="0" w:space="0" w:color="auto"/>
                    <w:left w:val="none" w:sz="0" w:space="0" w:color="auto"/>
                    <w:bottom w:val="none" w:sz="0" w:space="0" w:color="auto"/>
                    <w:right w:val="none" w:sz="0" w:space="0" w:color="auto"/>
                  </w:divBdr>
                </w:div>
              </w:divsChild>
            </w:div>
            <w:div w:id="1437020385">
              <w:marLeft w:val="0"/>
              <w:marRight w:val="0"/>
              <w:marTop w:val="0"/>
              <w:marBottom w:val="0"/>
              <w:divBdr>
                <w:top w:val="none" w:sz="0" w:space="0" w:color="auto"/>
                <w:left w:val="none" w:sz="0" w:space="0" w:color="auto"/>
                <w:bottom w:val="none" w:sz="0" w:space="0" w:color="auto"/>
                <w:right w:val="none" w:sz="0" w:space="0" w:color="auto"/>
              </w:divBdr>
              <w:divsChild>
                <w:div w:id="694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94947">
          <w:marLeft w:val="0"/>
          <w:marRight w:val="0"/>
          <w:marTop w:val="0"/>
          <w:marBottom w:val="0"/>
          <w:divBdr>
            <w:top w:val="none" w:sz="0" w:space="0" w:color="auto"/>
            <w:left w:val="none" w:sz="0" w:space="0" w:color="auto"/>
            <w:bottom w:val="none" w:sz="0" w:space="0" w:color="auto"/>
            <w:right w:val="none" w:sz="0" w:space="0" w:color="auto"/>
          </w:divBdr>
          <w:divsChild>
            <w:div w:id="1409499546">
              <w:marLeft w:val="0"/>
              <w:marRight w:val="0"/>
              <w:marTop w:val="0"/>
              <w:marBottom w:val="0"/>
              <w:divBdr>
                <w:top w:val="none" w:sz="0" w:space="0" w:color="auto"/>
                <w:left w:val="none" w:sz="0" w:space="0" w:color="auto"/>
                <w:bottom w:val="none" w:sz="0" w:space="0" w:color="auto"/>
                <w:right w:val="none" w:sz="0" w:space="0" w:color="auto"/>
              </w:divBdr>
              <w:divsChild>
                <w:div w:id="262617024">
                  <w:marLeft w:val="0"/>
                  <w:marRight w:val="0"/>
                  <w:marTop w:val="0"/>
                  <w:marBottom w:val="0"/>
                  <w:divBdr>
                    <w:top w:val="none" w:sz="0" w:space="0" w:color="auto"/>
                    <w:left w:val="none" w:sz="0" w:space="0" w:color="auto"/>
                    <w:bottom w:val="none" w:sz="0" w:space="0" w:color="auto"/>
                    <w:right w:val="none" w:sz="0" w:space="0" w:color="auto"/>
                  </w:divBdr>
                </w:div>
              </w:divsChild>
            </w:div>
            <w:div w:id="933707324">
              <w:marLeft w:val="0"/>
              <w:marRight w:val="0"/>
              <w:marTop w:val="0"/>
              <w:marBottom w:val="0"/>
              <w:divBdr>
                <w:top w:val="none" w:sz="0" w:space="0" w:color="auto"/>
                <w:left w:val="none" w:sz="0" w:space="0" w:color="auto"/>
                <w:bottom w:val="none" w:sz="0" w:space="0" w:color="auto"/>
                <w:right w:val="none" w:sz="0" w:space="0" w:color="auto"/>
              </w:divBdr>
              <w:divsChild>
                <w:div w:id="1105882725">
                  <w:marLeft w:val="0"/>
                  <w:marRight w:val="0"/>
                  <w:marTop w:val="0"/>
                  <w:marBottom w:val="0"/>
                  <w:divBdr>
                    <w:top w:val="none" w:sz="0" w:space="0" w:color="auto"/>
                    <w:left w:val="none" w:sz="0" w:space="0" w:color="auto"/>
                    <w:bottom w:val="none" w:sz="0" w:space="0" w:color="auto"/>
                    <w:right w:val="none" w:sz="0" w:space="0" w:color="auto"/>
                  </w:divBdr>
                </w:div>
              </w:divsChild>
            </w:div>
            <w:div w:id="1088772800">
              <w:marLeft w:val="0"/>
              <w:marRight w:val="0"/>
              <w:marTop w:val="0"/>
              <w:marBottom w:val="0"/>
              <w:divBdr>
                <w:top w:val="none" w:sz="0" w:space="0" w:color="auto"/>
                <w:left w:val="none" w:sz="0" w:space="0" w:color="auto"/>
                <w:bottom w:val="none" w:sz="0" w:space="0" w:color="auto"/>
                <w:right w:val="none" w:sz="0" w:space="0" w:color="auto"/>
              </w:divBdr>
              <w:divsChild>
                <w:div w:id="20174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4158">
          <w:marLeft w:val="0"/>
          <w:marRight w:val="0"/>
          <w:marTop w:val="0"/>
          <w:marBottom w:val="0"/>
          <w:divBdr>
            <w:top w:val="none" w:sz="0" w:space="0" w:color="auto"/>
            <w:left w:val="none" w:sz="0" w:space="0" w:color="auto"/>
            <w:bottom w:val="none" w:sz="0" w:space="0" w:color="auto"/>
            <w:right w:val="none" w:sz="0" w:space="0" w:color="auto"/>
          </w:divBdr>
          <w:divsChild>
            <w:div w:id="1909148517">
              <w:marLeft w:val="0"/>
              <w:marRight w:val="0"/>
              <w:marTop w:val="0"/>
              <w:marBottom w:val="0"/>
              <w:divBdr>
                <w:top w:val="none" w:sz="0" w:space="0" w:color="auto"/>
                <w:left w:val="none" w:sz="0" w:space="0" w:color="auto"/>
                <w:bottom w:val="none" w:sz="0" w:space="0" w:color="auto"/>
                <w:right w:val="none" w:sz="0" w:space="0" w:color="auto"/>
              </w:divBdr>
              <w:divsChild>
                <w:div w:id="62069137">
                  <w:marLeft w:val="0"/>
                  <w:marRight w:val="0"/>
                  <w:marTop w:val="0"/>
                  <w:marBottom w:val="0"/>
                  <w:divBdr>
                    <w:top w:val="none" w:sz="0" w:space="0" w:color="auto"/>
                    <w:left w:val="none" w:sz="0" w:space="0" w:color="auto"/>
                    <w:bottom w:val="none" w:sz="0" w:space="0" w:color="auto"/>
                    <w:right w:val="none" w:sz="0" w:space="0" w:color="auto"/>
                  </w:divBdr>
                </w:div>
              </w:divsChild>
            </w:div>
            <w:div w:id="1935939560">
              <w:marLeft w:val="0"/>
              <w:marRight w:val="0"/>
              <w:marTop w:val="0"/>
              <w:marBottom w:val="0"/>
              <w:divBdr>
                <w:top w:val="none" w:sz="0" w:space="0" w:color="auto"/>
                <w:left w:val="none" w:sz="0" w:space="0" w:color="auto"/>
                <w:bottom w:val="none" w:sz="0" w:space="0" w:color="auto"/>
                <w:right w:val="none" w:sz="0" w:space="0" w:color="auto"/>
              </w:divBdr>
              <w:divsChild>
                <w:div w:id="209805695">
                  <w:marLeft w:val="0"/>
                  <w:marRight w:val="0"/>
                  <w:marTop w:val="0"/>
                  <w:marBottom w:val="0"/>
                  <w:divBdr>
                    <w:top w:val="none" w:sz="0" w:space="0" w:color="auto"/>
                    <w:left w:val="none" w:sz="0" w:space="0" w:color="auto"/>
                    <w:bottom w:val="none" w:sz="0" w:space="0" w:color="auto"/>
                    <w:right w:val="none" w:sz="0" w:space="0" w:color="auto"/>
                  </w:divBdr>
                </w:div>
              </w:divsChild>
            </w:div>
            <w:div w:id="1387298760">
              <w:marLeft w:val="0"/>
              <w:marRight w:val="0"/>
              <w:marTop w:val="0"/>
              <w:marBottom w:val="0"/>
              <w:divBdr>
                <w:top w:val="none" w:sz="0" w:space="0" w:color="auto"/>
                <w:left w:val="none" w:sz="0" w:space="0" w:color="auto"/>
                <w:bottom w:val="none" w:sz="0" w:space="0" w:color="auto"/>
                <w:right w:val="none" w:sz="0" w:space="0" w:color="auto"/>
              </w:divBdr>
              <w:divsChild>
                <w:div w:id="9989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42320">
          <w:marLeft w:val="0"/>
          <w:marRight w:val="0"/>
          <w:marTop w:val="0"/>
          <w:marBottom w:val="0"/>
          <w:divBdr>
            <w:top w:val="none" w:sz="0" w:space="0" w:color="auto"/>
            <w:left w:val="none" w:sz="0" w:space="0" w:color="auto"/>
            <w:bottom w:val="none" w:sz="0" w:space="0" w:color="auto"/>
            <w:right w:val="none" w:sz="0" w:space="0" w:color="auto"/>
          </w:divBdr>
          <w:divsChild>
            <w:div w:id="1965959666">
              <w:marLeft w:val="0"/>
              <w:marRight w:val="0"/>
              <w:marTop w:val="0"/>
              <w:marBottom w:val="0"/>
              <w:divBdr>
                <w:top w:val="none" w:sz="0" w:space="0" w:color="auto"/>
                <w:left w:val="none" w:sz="0" w:space="0" w:color="auto"/>
                <w:bottom w:val="none" w:sz="0" w:space="0" w:color="auto"/>
                <w:right w:val="none" w:sz="0" w:space="0" w:color="auto"/>
              </w:divBdr>
              <w:divsChild>
                <w:div w:id="840780695">
                  <w:marLeft w:val="0"/>
                  <w:marRight w:val="0"/>
                  <w:marTop w:val="0"/>
                  <w:marBottom w:val="0"/>
                  <w:divBdr>
                    <w:top w:val="none" w:sz="0" w:space="0" w:color="auto"/>
                    <w:left w:val="none" w:sz="0" w:space="0" w:color="auto"/>
                    <w:bottom w:val="none" w:sz="0" w:space="0" w:color="auto"/>
                    <w:right w:val="none" w:sz="0" w:space="0" w:color="auto"/>
                  </w:divBdr>
                </w:div>
              </w:divsChild>
            </w:div>
            <w:div w:id="993219385">
              <w:marLeft w:val="0"/>
              <w:marRight w:val="0"/>
              <w:marTop w:val="0"/>
              <w:marBottom w:val="0"/>
              <w:divBdr>
                <w:top w:val="none" w:sz="0" w:space="0" w:color="auto"/>
                <w:left w:val="none" w:sz="0" w:space="0" w:color="auto"/>
                <w:bottom w:val="none" w:sz="0" w:space="0" w:color="auto"/>
                <w:right w:val="none" w:sz="0" w:space="0" w:color="auto"/>
              </w:divBdr>
              <w:divsChild>
                <w:div w:id="11042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41738860">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685665885">
      <w:bodyDiv w:val="1"/>
      <w:marLeft w:val="0"/>
      <w:marRight w:val="0"/>
      <w:marTop w:val="0"/>
      <w:marBottom w:val="0"/>
      <w:divBdr>
        <w:top w:val="none" w:sz="0" w:space="0" w:color="auto"/>
        <w:left w:val="none" w:sz="0" w:space="0" w:color="auto"/>
        <w:bottom w:val="none" w:sz="0" w:space="0" w:color="auto"/>
        <w:right w:val="none" w:sz="0" w:space="0" w:color="auto"/>
      </w:divBdr>
      <w:divsChild>
        <w:div w:id="972248953">
          <w:marLeft w:val="0"/>
          <w:marRight w:val="0"/>
          <w:marTop w:val="0"/>
          <w:marBottom w:val="0"/>
          <w:divBdr>
            <w:top w:val="none" w:sz="0" w:space="0" w:color="auto"/>
            <w:left w:val="none" w:sz="0" w:space="0" w:color="auto"/>
            <w:bottom w:val="none" w:sz="0" w:space="0" w:color="auto"/>
            <w:right w:val="none" w:sz="0" w:space="0" w:color="auto"/>
          </w:divBdr>
          <w:divsChild>
            <w:div w:id="45684963">
              <w:marLeft w:val="0"/>
              <w:marRight w:val="0"/>
              <w:marTop w:val="0"/>
              <w:marBottom w:val="0"/>
              <w:divBdr>
                <w:top w:val="none" w:sz="0" w:space="0" w:color="auto"/>
                <w:left w:val="none" w:sz="0" w:space="0" w:color="auto"/>
                <w:bottom w:val="none" w:sz="0" w:space="0" w:color="auto"/>
                <w:right w:val="none" w:sz="0" w:space="0" w:color="auto"/>
              </w:divBdr>
              <w:divsChild>
                <w:div w:id="9156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99628323">
      <w:bodyDiv w:val="1"/>
      <w:marLeft w:val="0"/>
      <w:marRight w:val="0"/>
      <w:marTop w:val="0"/>
      <w:marBottom w:val="0"/>
      <w:divBdr>
        <w:top w:val="none" w:sz="0" w:space="0" w:color="auto"/>
        <w:left w:val="none" w:sz="0" w:space="0" w:color="auto"/>
        <w:bottom w:val="none" w:sz="0" w:space="0" w:color="auto"/>
        <w:right w:val="none" w:sz="0" w:space="0" w:color="auto"/>
      </w:divBdr>
      <w:divsChild>
        <w:div w:id="862282350">
          <w:marLeft w:val="0"/>
          <w:marRight w:val="0"/>
          <w:marTop w:val="0"/>
          <w:marBottom w:val="0"/>
          <w:divBdr>
            <w:top w:val="none" w:sz="0" w:space="0" w:color="auto"/>
            <w:left w:val="none" w:sz="0" w:space="0" w:color="auto"/>
            <w:bottom w:val="none" w:sz="0" w:space="0" w:color="auto"/>
            <w:right w:val="none" w:sz="0" w:space="0" w:color="auto"/>
          </w:divBdr>
          <w:divsChild>
            <w:div w:id="201525826">
              <w:marLeft w:val="0"/>
              <w:marRight w:val="0"/>
              <w:marTop w:val="0"/>
              <w:marBottom w:val="0"/>
              <w:divBdr>
                <w:top w:val="none" w:sz="0" w:space="0" w:color="auto"/>
                <w:left w:val="none" w:sz="0" w:space="0" w:color="auto"/>
                <w:bottom w:val="none" w:sz="0" w:space="0" w:color="auto"/>
                <w:right w:val="none" w:sz="0" w:space="0" w:color="auto"/>
              </w:divBdr>
              <w:divsChild>
                <w:div w:id="2121101470">
                  <w:marLeft w:val="0"/>
                  <w:marRight w:val="0"/>
                  <w:marTop w:val="0"/>
                  <w:marBottom w:val="0"/>
                  <w:divBdr>
                    <w:top w:val="none" w:sz="0" w:space="0" w:color="auto"/>
                    <w:left w:val="none" w:sz="0" w:space="0" w:color="auto"/>
                    <w:bottom w:val="none" w:sz="0" w:space="0" w:color="auto"/>
                    <w:right w:val="none" w:sz="0" w:space="0" w:color="auto"/>
                  </w:divBdr>
                </w:div>
              </w:divsChild>
            </w:div>
            <w:div w:id="514464367">
              <w:marLeft w:val="0"/>
              <w:marRight w:val="0"/>
              <w:marTop w:val="0"/>
              <w:marBottom w:val="0"/>
              <w:divBdr>
                <w:top w:val="none" w:sz="0" w:space="0" w:color="auto"/>
                <w:left w:val="none" w:sz="0" w:space="0" w:color="auto"/>
                <w:bottom w:val="none" w:sz="0" w:space="0" w:color="auto"/>
                <w:right w:val="none" w:sz="0" w:space="0" w:color="auto"/>
              </w:divBdr>
              <w:divsChild>
                <w:div w:id="1574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4425">
          <w:marLeft w:val="0"/>
          <w:marRight w:val="0"/>
          <w:marTop w:val="0"/>
          <w:marBottom w:val="0"/>
          <w:divBdr>
            <w:top w:val="none" w:sz="0" w:space="0" w:color="auto"/>
            <w:left w:val="none" w:sz="0" w:space="0" w:color="auto"/>
            <w:bottom w:val="none" w:sz="0" w:space="0" w:color="auto"/>
            <w:right w:val="none" w:sz="0" w:space="0" w:color="auto"/>
          </w:divBdr>
          <w:divsChild>
            <w:div w:id="1917933681">
              <w:marLeft w:val="0"/>
              <w:marRight w:val="0"/>
              <w:marTop w:val="0"/>
              <w:marBottom w:val="0"/>
              <w:divBdr>
                <w:top w:val="none" w:sz="0" w:space="0" w:color="auto"/>
                <w:left w:val="none" w:sz="0" w:space="0" w:color="auto"/>
                <w:bottom w:val="none" w:sz="0" w:space="0" w:color="auto"/>
                <w:right w:val="none" w:sz="0" w:space="0" w:color="auto"/>
              </w:divBdr>
              <w:divsChild>
                <w:div w:id="727654125">
                  <w:marLeft w:val="0"/>
                  <w:marRight w:val="0"/>
                  <w:marTop w:val="0"/>
                  <w:marBottom w:val="0"/>
                  <w:divBdr>
                    <w:top w:val="none" w:sz="0" w:space="0" w:color="auto"/>
                    <w:left w:val="none" w:sz="0" w:space="0" w:color="auto"/>
                    <w:bottom w:val="none" w:sz="0" w:space="0" w:color="auto"/>
                    <w:right w:val="none" w:sz="0" w:space="0" w:color="auto"/>
                  </w:divBdr>
                </w:div>
              </w:divsChild>
            </w:div>
            <w:div w:id="202064476">
              <w:marLeft w:val="0"/>
              <w:marRight w:val="0"/>
              <w:marTop w:val="0"/>
              <w:marBottom w:val="0"/>
              <w:divBdr>
                <w:top w:val="none" w:sz="0" w:space="0" w:color="auto"/>
                <w:left w:val="none" w:sz="0" w:space="0" w:color="auto"/>
                <w:bottom w:val="none" w:sz="0" w:space="0" w:color="auto"/>
                <w:right w:val="none" w:sz="0" w:space="0" w:color="auto"/>
              </w:divBdr>
              <w:divsChild>
                <w:div w:id="4234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3672</Words>
  <Characters>20934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7</cp:revision>
  <dcterms:created xsi:type="dcterms:W3CDTF">2021-11-09T14:53:00Z</dcterms:created>
  <dcterms:modified xsi:type="dcterms:W3CDTF">2021-12-03T15:21:00Z</dcterms:modified>
</cp:coreProperties>
</file>