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4C42EFB" w:rsidR="00A538B5" w:rsidRPr="00A538B5" w:rsidRDefault="00AD37FD"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23A283D2" w:rsidR="0020222F" w:rsidRPr="006B45AF" w:rsidRDefault="00AD37FD" w:rsidP="00B322FB">
      <w:pPr>
        <w:spacing w:after="160" w:line="360" w:lineRule="auto"/>
        <w:rPr>
          <w:rFonts w:ascii="Sylfaen" w:eastAsiaTheme="majorEastAsia" w:hAnsi="Sylfaen" w:cstheme="majorBidi"/>
          <w:spacing w:val="-10"/>
          <w:kern w:val="28"/>
          <w:sz w:val="56"/>
          <w:szCs w:val="56"/>
        </w:rPr>
      </w:pPr>
      <w:bookmarkStart w:id="0" w:name="_GoBack"/>
      <w:r w:rsidRPr="00DF421D">
        <w:rPr>
          <w:rFonts w:ascii="Sylfaen" w:eastAsiaTheme="majorEastAsia" w:hAnsi="Sylfaen" w:cstheme="majorBidi"/>
          <w:spacing w:val="-10"/>
          <w:kern w:val="28"/>
          <w:sz w:val="48"/>
          <w:szCs w:val="56"/>
        </w:rPr>
        <w:t>Searching for Weapons of Mass Destruction: US Intelligence Failure in the 2003 Invasion of Iraq</w:t>
      </w:r>
      <w:bookmarkEnd w:id="0"/>
    </w:p>
    <w:p w14:paraId="0736152B" w14:textId="57E677E3" w:rsidR="00240FC1" w:rsidRPr="00331418" w:rsidRDefault="00AD37FD" w:rsidP="00B322FB">
      <w:pPr>
        <w:spacing w:after="160" w:line="360" w:lineRule="auto"/>
        <w:rPr>
          <w:rFonts w:ascii="Sylfaen" w:hAnsi="Sylfaen"/>
        </w:rPr>
      </w:pPr>
      <w:proofErr w:type="spellStart"/>
      <w:r>
        <w:rPr>
          <w:rFonts w:ascii="Sylfaen" w:hAnsi="Sylfaen"/>
        </w:rPr>
        <w:t>Marthe</w:t>
      </w:r>
      <w:proofErr w:type="spellEnd"/>
      <w:r>
        <w:rPr>
          <w:rFonts w:ascii="Sylfaen" w:hAnsi="Sylfaen"/>
        </w:rPr>
        <w:t xml:space="preserve"> </w:t>
      </w:r>
      <w:proofErr w:type="spellStart"/>
      <w:r>
        <w:rPr>
          <w:rFonts w:ascii="Sylfaen" w:hAnsi="Sylfaen"/>
        </w:rPr>
        <w:t>Kielland</w:t>
      </w:r>
      <w:proofErr w:type="spellEnd"/>
      <w:r>
        <w:rPr>
          <w:rFonts w:ascii="Sylfaen" w:hAnsi="Sylfaen"/>
        </w:rPr>
        <w:t xml:space="preserve"> </w:t>
      </w:r>
      <w:proofErr w:type="spellStart"/>
      <w:r>
        <w:rPr>
          <w:rFonts w:ascii="Sylfaen" w:hAnsi="Sylfaen"/>
        </w:rPr>
        <w:t>Røssaak</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C6129B">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593FEDF9" w14:textId="77777777" w:rsidR="00AD37FD" w:rsidRDefault="00AD37FD" w:rsidP="00AD37FD">
      <w:pPr>
        <w:spacing w:line="360" w:lineRule="auto"/>
        <w:ind w:left="567" w:right="656"/>
        <w:jc w:val="both"/>
        <w:rPr>
          <w:rFonts w:ascii="Sylfaen" w:hAnsi="Sylfaen"/>
        </w:rPr>
      </w:pPr>
      <w:r>
        <w:rPr>
          <w:rFonts w:ascii="Sylfaen" w:hAnsi="Sylfaen"/>
        </w:rPr>
        <w:t xml:space="preserve">In 2003 the United States of America invaded Iraq without prior approval from the United Nations. The political leadership deemed that the intelligence was sufficient to prove that Saddam Hussein was in possession of weapons of mass destruction. The invasion led to what has later been named ‘the perfect intelligence failure’, as it became clear that the intelligence conclusions were wrongful. This essay offers an analysis of the failures that occurred on all stages of the intelligence cycle, and the basis on which the decision to invade was made. The essay concludes that the intelligence was politicised from the point of directions on collection, throughout the cycle, until the point of dissemination and policy implementation. </w:t>
      </w:r>
    </w:p>
    <w:p w14:paraId="62CC3F7B" w14:textId="29AE58DC" w:rsid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AD37FD" w:rsidRPr="00AD37FD">
        <w:rPr>
          <w:rFonts w:ascii="Sylfaen" w:hAnsi="Sylfaen"/>
        </w:rPr>
        <w:t xml:space="preserve">Weapons of Mass Destruction, US Intelligence, Iraq </w:t>
      </w:r>
      <w:r w:rsidR="00AD37FD">
        <w:rPr>
          <w:rFonts w:ascii="Sylfaen" w:hAnsi="Sylfaen"/>
        </w:rPr>
        <w:t>I</w:t>
      </w:r>
      <w:r w:rsidR="00AD37FD" w:rsidRPr="00AD37FD">
        <w:rPr>
          <w:rFonts w:ascii="Sylfaen" w:hAnsi="Sylfaen"/>
        </w:rPr>
        <w:t>nvasion</w:t>
      </w:r>
      <w:r w:rsidR="00AD37FD">
        <w:rPr>
          <w:rFonts w:ascii="Sylfaen" w:hAnsi="Sylfaen"/>
        </w:rPr>
        <w:t>, Iraq</w:t>
      </w:r>
    </w:p>
    <w:p w14:paraId="2093C02C" w14:textId="21032D5C" w:rsidR="00AD37FD" w:rsidRDefault="00DF421D" w:rsidP="00DF421D">
      <w:pPr>
        <w:pStyle w:val="Heading1"/>
        <w:spacing w:after="16"/>
        <w:contextualSpacing/>
      </w:pPr>
      <w:r>
        <w:t>Introduction</w:t>
      </w:r>
    </w:p>
    <w:p w14:paraId="3A93BD4A" w14:textId="105A963C" w:rsid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In this </w:t>
      </w:r>
      <w:proofErr w:type="gramStart"/>
      <w:r w:rsidRPr="00AD37FD">
        <w:rPr>
          <w:rFonts w:ascii="Sylfaen" w:eastAsia="Calibri" w:hAnsi="Sylfaen" w:cs="Times New Roman"/>
        </w:rPr>
        <w:t>essay</w:t>
      </w:r>
      <w:proofErr w:type="gramEnd"/>
      <w:r w:rsidRPr="00AD37FD">
        <w:rPr>
          <w:rFonts w:ascii="Sylfaen" w:eastAsia="Calibri" w:hAnsi="Sylfaen" w:cs="Times New Roman"/>
        </w:rPr>
        <w:t xml:space="preserve"> I will look at the different factors that determine intelligence failure in general to see which of these were present in the US intelligence’s failure to find large-scale weapons of mass destruction (WMDs) in Iraq. To do this, intelligence in general will be described and the intelligence cycle will be explained and utilised to analyse the different stages of where intelligence can fail. However, using the intelligence cycle to aid the understanding of intelligence </w:t>
      </w:r>
      <w:r w:rsidRPr="00AD37FD">
        <w:rPr>
          <w:rFonts w:ascii="Sylfaen" w:eastAsia="Calibri" w:hAnsi="Sylfaen" w:cs="Times New Roman"/>
        </w:rPr>
        <w:lastRenderedPageBreak/>
        <w:t>failures is solely a method of simplification. It does not imply that failures cannot be continuous over several steps of the intelligence cycle. I will explore below, especially when looking at failures in the Iraq invasion, how the practical distinction between failures at separate the stages is rather blurry. Failures were made in collection, analysis, dissemination and communication, to name a few. Despite the findings of the prominent investigative reports after the US invasion of Iraq in 2003, I believe that politicization of the intelligence community (IC) on this matter was a prominent factor in obscuring the intelligence findings and ultimately led to the intelligence failure of the Iraq War 2003. I will explain why in the following paragraphs.</w:t>
      </w:r>
    </w:p>
    <w:p w14:paraId="7E422AC6"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152572D2" w14:textId="5EC6416D" w:rsidR="00AD37FD" w:rsidRPr="00AD37FD" w:rsidRDefault="00AD37FD" w:rsidP="00DF421D">
      <w:pPr>
        <w:pStyle w:val="Heading1"/>
        <w:spacing w:after="16"/>
        <w:contextualSpacing/>
        <w:rPr>
          <w:rFonts w:eastAsia="Calibri"/>
        </w:rPr>
      </w:pPr>
      <w:r w:rsidRPr="00AD37FD">
        <w:rPr>
          <w:rFonts w:eastAsia="Calibri"/>
        </w:rPr>
        <w:t>I</w:t>
      </w:r>
      <w:r>
        <w:rPr>
          <w:rFonts w:eastAsia="Calibri"/>
        </w:rPr>
        <w:t>ntelligence and Intelligence Failure</w:t>
      </w:r>
    </w:p>
    <w:p w14:paraId="58B29B15"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Intelligence is data and knowledge collected from a range of different sources. In a modern political context, it is “the official, secret collection and processing of information on foreign countries to aid in formulating and implementing foreign policy, and the conduct of covert activities abroad to facilitate the implementation of foreign policy” (Random, 1958). Intelligence is often collected to acquire knowledge of other countries’ military strength, economic power, internal political situation and levels of domestic unrest. The primary job of intelligence is to reduce uncertainty by identifying issues of policy relevance with policy makers, collecting and analysing information (Gentry, 2008:267), and issuing policy makers with timely advance warning of potential threats (Pythian, 2006:401). The intelligence is used to estimate threats, capabilities and intentions of adversaries (Betts, 1978:68). Political leaders analyse these warnings in the relevant strategic and domestic political context, make decisions under conflicting pressures and manage policy-implementing agencies (Gentry, 2008:267). In this way, intelligence is used to guide policy makers and other senior decision makers in the national security and defence arenas (CIA, 2007). </w:t>
      </w:r>
    </w:p>
    <w:p w14:paraId="56F468B1"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4443F9B0" w14:textId="4B6FE9DC"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Intelligence failure can be at blame if events “of strategic significance” occur without forewarning (Pythian, 2006:401). Intelligence failure can occur when a state fails in collecting or analysing information, national leaders fail to make sound policy on the disseminated intelligence or fails to act effectively on the information received (Gentry, 2008:249). Gentry (2008:248) argues that reasons for intelligence failure can include organizational, cultural, cognitive or psychological </w:t>
      </w:r>
      <w:r w:rsidRPr="00AD37FD">
        <w:rPr>
          <w:rFonts w:ascii="Sylfaen" w:eastAsia="Calibri" w:hAnsi="Sylfaen" w:cs="Times New Roman"/>
        </w:rPr>
        <w:lastRenderedPageBreak/>
        <w:t>factors. The intelligence cycle includes the direction from policy makers, the “requirement” of what should be investigated, the collection and analysis of intelligence, the finished product of intelligence analysis that is delivered to the policymakers, and again the directions from policy-makers on implementation and further targets of analysis. According to Betts (1978:63) crucial mistakes are sometimes made by the professionals that produce the finished analysis, but most often by the decision makers who consume the products of intelligence services. It is impossible to account for all the possible mistakes that can be made in attempting to take advantage of intelligence, but the following paragraphs will give examples of how possible failures can erupt on all stages of the intelligence cycle and how it is all linked.</w:t>
      </w:r>
    </w:p>
    <w:p w14:paraId="7ECE9D3D" w14:textId="77777777" w:rsidR="00AD37FD" w:rsidRPr="00AD37FD" w:rsidRDefault="00AD37FD" w:rsidP="00DF421D">
      <w:pPr>
        <w:spacing w:after="16" w:line="360" w:lineRule="auto"/>
        <w:ind w:right="89"/>
        <w:contextualSpacing/>
        <w:jc w:val="both"/>
        <w:rPr>
          <w:rFonts w:ascii="Sylfaen" w:eastAsia="Calibri" w:hAnsi="Sylfaen" w:cs="Times New Roman"/>
          <w:b/>
        </w:rPr>
      </w:pPr>
    </w:p>
    <w:p w14:paraId="7A40E7B4" w14:textId="3A5A03CD" w:rsidR="00AD37FD" w:rsidRPr="00AD37FD" w:rsidRDefault="00AD37FD" w:rsidP="00DF421D">
      <w:pPr>
        <w:pStyle w:val="Heading1"/>
        <w:spacing w:after="16"/>
        <w:contextualSpacing/>
        <w:rPr>
          <w:rFonts w:eastAsia="Calibri"/>
        </w:rPr>
      </w:pPr>
      <w:r>
        <w:rPr>
          <w:rFonts w:eastAsia="Calibri"/>
        </w:rPr>
        <w:t xml:space="preserve">Failure Determinants at Different Stages </w:t>
      </w:r>
    </w:p>
    <w:p w14:paraId="2705CE0B"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The directions given by the policymakers in relation to the target of the intelligence-gathering are relevant because different targets require different forms of intelligence. For example, human intelligence (HUMINT) can be a beneficial way of collecting information if the collecting country has an official presence in the country. Additionally, targets of intelligence, usually states or non-state actors, often know that they are targets of intelligence and may act to hinder foreign intelligence efforts through active defences like counter-intelligence activities, deception and concealing sensitive installations (Gentry, 2008:255), which can lead to misleading information and wrongful analysis. One writer who focuses on the act of deception by intelligence targets is Barton Whaley (1973:2). He claims that it was Hitler’s deceptions, rather than mistakes made by the Soviets, that made the German invasion of the Soviet Union in June 1941 so surprising. Additionally, collection of intelligence is always incomplete (Dahl, 2005:37), and different targets require different forms of collection. Analysts have concluded that the rising global threat of terrorism, for example, poses new and difficult challenges for the IC, which can best be overcome by more HUMINT (Dahl, 2005:33).</w:t>
      </w:r>
    </w:p>
    <w:p w14:paraId="24BE33F8"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2FDC7EDF"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Failures in the intelligence cycle can also happen at the stage of analysis, and when information is processed by the intelligence agencies. Analysts try to identify significant information, distinguish noise from relevant signals, and make accurate forecasts (Gentry, 2008:252). Errors at this level can occur in misunderstanding of information and recognition of “noise” instead of relevant </w:t>
      </w:r>
      <w:r w:rsidRPr="00AD37FD">
        <w:rPr>
          <w:rFonts w:ascii="Sylfaen" w:eastAsia="Calibri" w:hAnsi="Sylfaen" w:cs="Times New Roman"/>
        </w:rPr>
        <w:lastRenderedPageBreak/>
        <w:t>signals. Additionally, errors can happen through cognitive or institutional bias by the analyst. There might also be a problem of compartmentalization of information, because of restrictions on information sharing, security concerns and fears of compromising sources that creates mistrust between intelligence agencies (</w:t>
      </w:r>
      <w:proofErr w:type="spellStart"/>
      <w:r w:rsidRPr="00AD37FD">
        <w:rPr>
          <w:rFonts w:ascii="Sylfaen" w:eastAsia="Calibri" w:hAnsi="Sylfaen" w:cs="Times New Roman"/>
        </w:rPr>
        <w:t>Hulnick</w:t>
      </w:r>
      <w:proofErr w:type="spellEnd"/>
      <w:r w:rsidRPr="00AD37FD">
        <w:rPr>
          <w:rFonts w:ascii="Sylfaen" w:eastAsia="Calibri" w:hAnsi="Sylfaen" w:cs="Times New Roman"/>
        </w:rPr>
        <w:t xml:space="preserve">, 2006:962). By sharing intelligence, gaps in information can be filled, and conflicting analysis can be found. The 2004 Madrid bombings underlined how compartmentalisation of intelligence can impede security operations. Some of the suspects in the Madrid bombing </w:t>
      </w:r>
      <w:proofErr w:type="gramStart"/>
      <w:r w:rsidRPr="00AD37FD">
        <w:rPr>
          <w:rFonts w:ascii="Sylfaen" w:eastAsia="Calibri" w:hAnsi="Sylfaen" w:cs="Times New Roman"/>
        </w:rPr>
        <w:t>had been known</w:t>
      </w:r>
      <w:proofErr w:type="gramEnd"/>
      <w:r w:rsidRPr="00AD37FD">
        <w:rPr>
          <w:rFonts w:ascii="Sylfaen" w:eastAsia="Calibri" w:hAnsi="Sylfaen" w:cs="Times New Roman"/>
        </w:rPr>
        <w:t xml:space="preserve"> to the French and Spanish police in 2001, and had, since 2003, been on a list of suspects issued by the Moroccan police for a series of café bombings in Casablanca, but were still living openly in Madrid. Several countries seemed to have a few pieces of intelligence each (Finn and Richburg, 2004), which, if shared, could have led to a prevention of the attack. </w:t>
      </w:r>
    </w:p>
    <w:p w14:paraId="38FBF951"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35987D21"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Other major sources of intelligence failure can be the method of dissemination</w:t>
      </w:r>
      <w:proofErr w:type="gramStart"/>
      <w:r w:rsidRPr="00AD37FD">
        <w:rPr>
          <w:rFonts w:ascii="Sylfaen" w:eastAsia="Calibri" w:hAnsi="Sylfaen" w:cs="Times New Roman"/>
        </w:rPr>
        <w:t>;</w:t>
      </w:r>
      <w:proofErr w:type="gramEnd"/>
      <w:r w:rsidRPr="00AD37FD">
        <w:rPr>
          <w:rFonts w:ascii="Sylfaen" w:eastAsia="Calibri" w:hAnsi="Sylfaen" w:cs="Times New Roman"/>
        </w:rPr>
        <w:t xml:space="preserve"> the communication to the policy-makers, and possibly also the access to raw material outside the intelligence agencies. For communication to be effective, analysts must present clear, accurate and persuasive warnings. A former Defence Intelligence Officer claimed that analysts </w:t>
      </w:r>
      <w:proofErr w:type="gramStart"/>
      <w:r w:rsidRPr="00AD37FD">
        <w:rPr>
          <w:rFonts w:ascii="Sylfaen" w:eastAsia="Calibri" w:hAnsi="Sylfaen" w:cs="Times New Roman"/>
        </w:rPr>
        <w:t>cannot</w:t>
      </w:r>
      <w:proofErr w:type="gramEnd"/>
      <w:r w:rsidRPr="00AD37FD">
        <w:rPr>
          <w:rFonts w:ascii="Sylfaen" w:eastAsia="Calibri" w:hAnsi="Sylfaen" w:cs="Times New Roman"/>
        </w:rPr>
        <w:t xml:space="preserve"> only give reports stating that a bombing might happen, they must tell the policy-makers what this means and what is really likely to happen (Dahl, 2005:47). Both insufficient information and an overload of information can lead to unclear messages being communicated. Where there is ambiguous information and limited time for thorough assessment of sources, intelligence analysis can be driven by intuition and conclusions can be led by instinct. As stated by Betts (1978:71): the greater the ambiguity, the greater the impact of preconceptions. Another source of challenge in the intersection between analysts and policy-makers in the </w:t>
      </w:r>
      <w:proofErr w:type="gramStart"/>
      <w:r w:rsidRPr="00AD37FD">
        <w:rPr>
          <w:rFonts w:ascii="Sylfaen" w:eastAsia="Calibri" w:hAnsi="Sylfaen" w:cs="Times New Roman"/>
        </w:rPr>
        <w:t>US,</w:t>
      </w:r>
      <w:proofErr w:type="gramEnd"/>
      <w:r w:rsidRPr="00AD37FD">
        <w:rPr>
          <w:rFonts w:ascii="Sylfaen" w:eastAsia="Calibri" w:hAnsi="Sylfaen" w:cs="Times New Roman"/>
        </w:rPr>
        <w:t xml:space="preserve"> is that raw reporting from the collection process usually reaches both at the same time (</w:t>
      </w:r>
      <w:proofErr w:type="spellStart"/>
      <w:r w:rsidRPr="00AD37FD">
        <w:rPr>
          <w:rFonts w:ascii="Sylfaen" w:eastAsia="Calibri" w:hAnsi="Sylfaen" w:cs="Times New Roman"/>
        </w:rPr>
        <w:t>Hulnick</w:t>
      </w:r>
      <w:proofErr w:type="spellEnd"/>
      <w:r w:rsidRPr="00AD37FD">
        <w:rPr>
          <w:rFonts w:ascii="Sylfaen" w:eastAsia="Calibri" w:hAnsi="Sylfaen" w:cs="Times New Roman"/>
        </w:rPr>
        <w:t>, 2006:961). Some of this raw intelligence may be incomplete, contradictory or wrong, and policy officials sometimes take the reporting as having been judged or evaluated (</w:t>
      </w:r>
      <w:proofErr w:type="spellStart"/>
      <w:r w:rsidRPr="00AD37FD">
        <w:rPr>
          <w:rFonts w:ascii="Sylfaen" w:eastAsia="Calibri" w:hAnsi="Sylfaen" w:cs="Times New Roman"/>
        </w:rPr>
        <w:t>Hulnick</w:t>
      </w:r>
      <w:proofErr w:type="spellEnd"/>
      <w:r w:rsidRPr="00AD37FD">
        <w:rPr>
          <w:rFonts w:ascii="Sylfaen" w:eastAsia="Calibri" w:hAnsi="Sylfaen" w:cs="Times New Roman"/>
        </w:rPr>
        <w:t xml:space="preserve">, 2006:962). This can create serious problems on both sides. </w:t>
      </w:r>
    </w:p>
    <w:p w14:paraId="360539A0"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0180726A"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In the final stage of the intelligence cycle, intelligence is communicated to policymakers, who must then react appropriately and implement policies accordingly. The task of the policy-maker is to place the intelligence warnings in political contexts and make decisions based on their political circumstances and limited tools for implementation. Factors such as psychology, </w:t>
      </w:r>
      <w:r w:rsidRPr="00AD37FD">
        <w:rPr>
          <w:rFonts w:ascii="Sylfaen" w:eastAsia="Calibri" w:hAnsi="Sylfaen" w:cs="Times New Roman"/>
        </w:rPr>
        <w:lastRenderedPageBreak/>
        <w:t>experience and interests can increase cognitive bias of a policy-maker in interpreting warnings and may lead decisions to become defective policies (</w:t>
      </w:r>
      <w:proofErr w:type="spellStart"/>
      <w:r w:rsidRPr="00AD37FD">
        <w:rPr>
          <w:rFonts w:ascii="Sylfaen" w:eastAsia="Calibri" w:hAnsi="Sylfaen" w:cs="Times New Roman"/>
        </w:rPr>
        <w:t>Genry</w:t>
      </w:r>
      <w:proofErr w:type="spellEnd"/>
      <w:r w:rsidRPr="00AD37FD">
        <w:rPr>
          <w:rFonts w:ascii="Sylfaen" w:eastAsia="Calibri" w:hAnsi="Sylfaen" w:cs="Times New Roman"/>
        </w:rPr>
        <w:t xml:space="preserve">, 2008:254). It was noted in relation to the Beirut bombings in 1983 that failures in collection and processing of information were much less significant than the attitudes and lack of action by the consumers of intelligence (Dahl, 2005:46). Directors of intelligence agencies can tend to dismiss critical intelligence, and cling to data that supports continued commitment to established policies (Betts, 1978:65). Additionally, policy-makers might not have trust in the intelligence personnel, and may therefore refrain from acting on certain warnings. According to Gentry (2008:256) presidents Truman, Johnson, Nixon and Bill Clinton sometimes displayed suspicion of the CIA and at times ignored intelligence. One Director of Central Intelligence (DCI) reportedly quashed a CIA report warning of the dangers of invading Cambodia in 1971, because President Nixon had already decided to invade (Ibid, 2008:252). </w:t>
      </w:r>
    </w:p>
    <w:p w14:paraId="37B20455"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435CF0B8"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Additionally, policy-makers’ bias can occur as a source of intelligence failure if politicians create an environment of presumed facts, and indirectly force intelligence agencies to operate in concert with those presumed facts. Or failure can arise if intelligence professionals attempt to increase personal or institutional favour by providing specific intelligence messages that they imagine are wanted or necessary for the leaders (Gentry, 2008:252). It is also said that “the principal cause of surprise is not the failure of intelligence, but the unwillingness of political leaders to believe intelligence or to react to it with sufficient dispatch” (</w:t>
      </w:r>
      <w:proofErr w:type="spellStart"/>
      <w:r w:rsidRPr="00AD37FD">
        <w:rPr>
          <w:rFonts w:ascii="Sylfaen" w:eastAsia="Times New Roman" w:hAnsi="Sylfaen" w:cs="Times New Roman"/>
        </w:rPr>
        <w:t>Wohlsetter</w:t>
      </w:r>
      <w:proofErr w:type="spellEnd"/>
      <w:r w:rsidRPr="00AD37FD">
        <w:rPr>
          <w:rFonts w:ascii="Sylfaen" w:eastAsia="Times New Roman" w:hAnsi="Sylfaen" w:cs="Times New Roman"/>
        </w:rPr>
        <w:t>, 1962:227)</w:t>
      </w:r>
      <w:r w:rsidRPr="00AD37FD">
        <w:rPr>
          <w:rFonts w:ascii="Sylfaen" w:eastAsia="Calibri" w:hAnsi="Sylfaen" w:cs="Times New Roman"/>
        </w:rPr>
        <w:t xml:space="preserve">. Desires to prevent recrimination may drive intelligence agencies to withhold warnings until uncertainties recede, and therefore keep raw information to themselves (Gentry, 2008:253). The allocation of time and resources for intelligence professionals provide additional constraints (Betts, 1978:68). Additionally, agencies responsible for the implementation of policies are subject to certain limitations that impact their ability to respond to intelligence warnings. This way, failures that appear on the implementation stage may superficially look like intelligence failures, but actually reflect structural issues created through previous policy decisions (Gentry, 2008:256). </w:t>
      </w:r>
    </w:p>
    <w:p w14:paraId="48362BEA" w14:textId="77777777" w:rsidR="00DF421D" w:rsidRDefault="00DF421D" w:rsidP="00DF421D">
      <w:pPr>
        <w:pStyle w:val="Heading1"/>
        <w:spacing w:after="16"/>
        <w:contextualSpacing/>
        <w:rPr>
          <w:rFonts w:eastAsia="Calibri"/>
        </w:rPr>
      </w:pPr>
    </w:p>
    <w:p w14:paraId="3CAAC41B" w14:textId="24CC2F10" w:rsidR="00AD37FD" w:rsidRPr="00AD37FD" w:rsidRDefault="00AD37FD" w:rsidP="00DF421D">
      <w:pPr>
        <w:pStyle w:val="Heading1"/>
        <w:spacing w:after="16"/>
        <w:contextualSpacing/>
        <w:rPr>
          <w:rFonts w:eastAsia="Calibri"/>
          <w:szCs w:val="22"/>
        </w:rPr>
      </w:pPr>
      <w:r>
        <w:rPr>
          <w:rFonts w:eastAsia="Calibri"/>
        </w:rPr>
        <w:t>The Intelligence Failures of the 2003 Iraq Invasion</w:t>
      </w:r>
    </w:p>
    <w:p w14:paraId="7E3218E5"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In 2003 the US invaded Iraq to eliminate the perceived threat posed by Saddam Hussein’s possession of weapons of mass destruction (WMDs) (Pythian, 2006:400). The invasion has later been named ‘the perfect intelligence failure’, as failure occurred on all stages of the intelligence cycle, and no WMDs were found (</w:t>
      </w:r>
      <w:proofErr w:type="spellStart"/>
      <w:r w:rsidRPr="00AD37FD">
        <w:rPr>
          <w:rFonts w:ascii="Sylfaen" w:eastAsia="Calibri" w:hAnsi="Sylfaen" w:cs="Times New Roman"/>
        </w:rPr>
        <w:t>Hulnick</w:t>
      </w:r>
      <w:proofErr w:type="spellEnd"/>
      <w:r w:rsidRPr="00AD37FD">
        <w:rPr>
          <w:rFonts w:ascii="Sylfaen" w:eastAsia="Calibri" w:hAnsi="Sylfaen" w:cs="Times New Roman"/>
        </w:rPr>
        <w:t xml:space="preserve">, 2006:967). Some see it as the worst intelligence failure since the founding of the modern intelligence community (IC). The </w:t>
      </w:r>
      <w:r w:rsidRPr="00AD37FD">
        <w:rPr>
          <w:rFonts w:ascii="Sylfaen" w:eastAsia="Calibri" w:hAnsi="Sylfaen" w:cs="Times New Roman"/>
          <w:i/>
        </w:rPr>
        <w:t>National Intelligence Estimate</w:t>
      </w:r>
      <w:r w:rsidRPr="00AD37FD">
        <w:rPr>
          <w:rFonts w:ascii="Sylfaen" w:eastAsia="Calibri" w:hAnsi="Sylfaen" w:cs="Times New Roman"/>
        </w:rPr>
        <w:t xml:space="preserve"> (</w:t>
      </w:r>
      <w:r w:rsidRPr="00AD37FD">
        <w:rPr>
          <w:rFonts w:ascii="Sylfaen" w:eastAsia="Calibri" w:hAnsi="Sylfaen" w:cs="Times New Roman"/>
          <w:i/>
        </w:rPr>
        <w:t>NIE</w:t>
      </w:r>
      <w:r w:rsidRPr="00AD37FD">
        <w:rPr>
          <w:rFonts w:ascii="Sylfaen" w:eastAsia="Calibri" w:hAnsi="Sylfaen" w:cs="Times New Roman"/>
        </w:rPr>
        <w:t>) that ‘justified’ the intervention in Iraq was based on reporting from unreliable sources and biased preconceptions grounded in the previous experiences of WMD programs in Iraq (</w:t>
      </w:r>
      <w:proofErr w:type="spellStart"/>
      <w:r w:rsidRPr="00AD37FD">
        <w:rPr>
          <w:rFonts w:ascii="Sylfaen" w:eastAsia="Calibri" w:hAnsi="Sylfaen" w:cs="Times New Roman"/>
        </w:rPr>
        <w:t>Hulnick</w:t>
      </w:r>
      <w:proofErr w:type="spellEnd"/>
      <w:r w:rsidRPr="00AD37FD">
        <w:rPr>
          <w:rFonts w:ascii="Sylfaen" w:eastAsia="Calibri" w:hAnsi="Sylfaen" w:cs="Times New Roman"/>
        </w:rPr>
        <w:t xml:space="preserve">, 2006:967). Subsequent investigations into the failed intervention claimed that the failure was in collection and analysis, poor management and organizational weaknesses (Pythian, 2006:401). </w:t>
      </w:r>
    </w:p>
    <w:p w14:paraId="62F20845" w14:textId="77777777" w:rsidR="00AD37FD" w:rsidRPr="00AD37FD" w:rsidRDefault="00AD37FD" w:rsidP="00DF421D">
      <w:pPr>
        <w:spacing w:after="16" w:line="360" w:lineRule="auto"/>
        <w:ind w:left="284" w:right="89"/>
        <w:contextualSpacing/>
        <w:jc w:val="both"/>
        <w:rPr>
          <w:rFonts w:ascii="Sylfaen" w:eastAsia="Calibri" w:hAnsi="Sylfaen" w:cs="Times New Roman"/>
        </w:rPr>
      </w:pPr>
    </w:p>
    <w:p w14:paraId="7A341B4D"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Since the US did not have an official presence in Iraq, collection of intelligence relied on a few HUMINT sources that were dependent on “defectors and foreign government services” (US Congress, 2004:24). One of these was ‘Curveball’, a chemical engineer from Baghdad (Betts, 2007:602), who provided the bases of around 112 separate reports (US Congress, 2004:149), and subsequently was deemed to be a fabricator (Ibid, 2004:462). Analysts further failed to investigate dual-use equipment bought through illicit channels (Ibid, 2004:14), and assumed that these were for the development of a WMD program, and not actually for the legal tactical rockets (Pythian, 2006:408). The Silberman-Robb commission (2005:52) claimed that this constituted “errors in technical and factual analysis”. A compartmentalization of information made the DCI unaware of dissenting opinions within the IC (US Congress, 2005:28). Additionally, the CIA tended to deny information to more specialist agencies that could have provided input that challenged existing assumptions (Ibid, 2004:28). These, along with similar findings, led the Silberman-Robb Commission (2005:5) to describe the IC as “fragmented, loosely managed and poorly coordinated”. </w:t>
      </w:r>
    </w:p>
    <w:p w14:paraId="3C0849D1" w14:textId="77777777" w:rsidR="00AD37FD" w:rsidRPr="00AD37FD" w:rsidRDefault="00AD37FD" w:rsidP="00DF421D">
      <w:pPr>
        <w:spacing w:after="16" w:line="360" w:lineRule="auto"/>
        <w:ind w:left="284" w:right="89"/>
        <w:contextualSpacing/>
        <w:jc w:val="both"/>
        <w:rPr>
          <w:rFonts w:ascii="Sylfaen" w:eastAsia="Calibri" w:hAnsi="Sylfaen" w:cs="Times New Roman"/>
        </w:rPr>
      </w:pPr>
    </w:p>
    <w:p w14:paraId="233C02AA" w14:textId="77777777" w:rsidR="00AD37FD" w:rsidRDefault="00AD37FD" w:rsidP="00DF421D">
      <w:pPr>
        <w:pStyle w:val="Heading1"/>
        <w:spacing w:after="16"/>
        <w:contextualSpacing/>
        <w:rPr>
          <w:rFonts w:eastAsia="Calibri"/>
        </w:rPr>
      </w:pPr>
      <w:r>
        <w:rPr>
          <w:rFonts w:eastAsia="Calibri"/>
        </w:rPr>
        <w:t xml:space="preserve">Politicization on All Levels </w:t>
      </w:r>
    </w:p>
    <w:p w14:paraId="5C89BBB1" w14:textId="016538AD"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Even though the subsequent investigations rejected politicization, and absolved the Bush administration of all charges (Pythian, 2006:401), some reports gave hints of an environment that was not conducive to questioning the dominant assumption on Iraq, which strengthens Betts’ </w:t>
      </w:r>
      <w:r w:rsidRPr="00AD37FD">
        <w:rPr>
          <w:rFonts w:ascii="Sylfaen" w:eastAsia="Calibri" w:hAnsi="Sylfaen" w:cs="Times New Roman"/>
        </w:rPr>
        <w:lastRenderedPageBreak/>
        <w:t xml:space="preserve">hypothesis that intelligence failure usually lies with the consumers of intelligence (Pythian, 2006:418). Senator Ron Widen stated that the Bush administration had “repeatedly and independently made the case for war not by relying on US intelligence but by ignoring and directly contradicting the same” (US Congress, 2004:489-490). Senior Bush administration officials had made forceful public statements for war (Silberman-Robb, 2005:189) and prevalence of repetitive tasking of intelligence personnel was found, including questions of judgments on a particular issue over and over again by “senior customers” (US Congress, 2004:456). According to </w:t>
      </w:r>
      <w:proofErr w:type="spellStart"/>
      <w:r w:rsidRPr="00AD37FD">
        <w:rPr>
          <w:rFonts w:ascii="Sylfaen" w:eastAsia="Calibri" w:hAnsi="Sylfaen" w:cs="Times New Roman"/>
        </w:rPr>
        <w:t>Hulnick</w:t>
      </w:r>
      <w:proofErr w:type="spellEnd"/>
      <w:r w:rsidRPr="00AD37FD">
        <w:rPr>
          <w:rFonts w:ascii="Sylfaen" w:eastAsia="Calibri" w:hAnsi="Sylfaen" w:cs="Times New Roman"/>
        </w:rPr>
        <w:t xml:space="preserve"> (2006:967) some also speculate that that the NIE was drawn up in order to meet the political needs of the White House. Richard Clarke (2004:264) claimed that the Bush administration entered office “with Iraq on its agenda”, and a leaked minute from a meeting record shows the head of MI6, Sir Richard Dearlove, reporting to the prime minister that “military action was now seen as inevitable” and that “intelligence and facts were being fixed around the policy” (Danner, 2005). </w:t>
      </w:r>
    </w:p>
    <w:p w14:paraId="2AF26133" w14:textId="77777777" w:rsidR="00AD37FD" w:rsidRPr="00AD37FD" w:rsidRDefault="00AD37FD" w:rsidP="00DF421D">
      <w:pPr>
        <w:spacing w:after="16" w:line="360" w:lineRule="auto"/>
        <w:ind w:right="89"/>
        <w:contextualSpacing/>
        <w:jc w:val="both"/>
        <w:rPr>
          <w:rFonts w:ascii="Sylfaen" w:eastAsia="Calibri" w:hAnsi="Sylfaen" w:cs="Times New Roman"/>
        </w:rPr>
      </w:pPr>
    </w:p>
    <w:p w14:paraId="2F87AA95" w14:textId="77777777"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Deception practices employed by Iraq in the past, and the failure to account satisfactorily for WMDs during the 1991 war, gave US policymakers and intelligence professionals logical reasons for why there was evidence denying the existence of WMDs (Pythian, 2006:408). In a context of seemingly obvious guilt, an environment of pressure to find WMDs and a political desire to intervene in Iraq, analysts shifted the burden of proof from requiring evidence of WMDs, to require evidence showing that Iraq did not possess WMDs, a theory that could not be disproved (Silberman-Robb, 2005:168). The NIE was written with the assumption that the US was going to war (US Congress, 2004:505), and intervention could only take place if the IC concluded that Iraq still had illegal WMD programs. This justification was the only way to secure public support for the Bush administration to initiate a war (Betts, 2007:598). This sentiment caused findings of evidence that denied WMDs to be downplayed and ignored. Even when Saddam Hussein’s son-in-law, Hussein </w:t>
      </w:r>
      <w:proofErr w:type="spellStart"/>
      <w:r w:rsidRPr="00AD37FD">
        <w:rPr>
          <w:rFonts w:ascii="Sylfaen" w:eastAsia="Calibri" w:hAnsi="Sylfaen" w:cs="Times New Roman"/>
        </w:rPr>
        <w:t>Kamel</w:t>
      </w:r>
      <w:proofErr w:type="spellEnd"/>
      <w:r w:rsidRPr="00AD37FD">
        <w:rPr>
          <w:rFonts w:ascii="Sylfaen" w:eastAsia="Calibri" w:hAnsi="Sylfaen" w:cs="Times New Roman"/>
        </w:rPr>
        <w:t xml:space="preserve">, told his </w:t>
      </w:r>
      <w:proofErr w:type="spellStart"/>
      <w:r w:rsidRPr="00AD37FD">
        <w:rPr>
          <w:rFonts w:ascii="Sylfaen" w:eastAsia="Calibri" w:hAnsi="Sylfaen" w:cs="Times New Roman"/>
        </w:rPr>
        <w:t>debriefers</w:t>
      </w:r>
      <w:proofErr w:type="spellEnd"/>
      <w:r w:rsidRPr="00AD37FD">
        <w:rPr>
          <w:rFonts w:ascii="Sylfaen" w:eastAsia="Calibri" w:hAnsi="Sylfaen" w:cs="Times New Roman"/>
        </w:rPr>
        <w:t xml:space="preserve"> that old stocks of WMD had been destroyed, this was not believed (Jervis, 2006:40). Thin amounts of evidence gave room for preconceptions and the ability to shape verifications according to these. Influenced by decisive policymakers, judgments on all levels were driven by circumstantial evidence (Betts, 2007:602) and the necessity of finding WMDs to justify invasion of Iraq. </w:t>
      </w:r>
    </w:p>
    <w:p w14:paraId="02A7F3CB" w14:textId="77777777" w:rsidR="00AD37FD" w:rsidRPr="00AD37FD" w:rsidRDefault="00AD37FD" w:rsidP="00DF421D">
      <w:pPr>
        <w:spacing w:after="16" w:line="360" w:lineRule="auto"/>
        <w:ind w:left="284" w:right="89"/>
        <w:contextualSpacing/>
        <w:jc w:val="both"/>
        <w:rPr>
          <w:rFonts w:ascii="Sylfaen" w:eastAsia="Calibri" w:hAnsi="Sylfaen" w:cs="Times New Roman"/>
          <w:b/>
        </w:rPr>
      </w:pPr>
    </w:p>
    <w:p w14:paraId="0040682D" w14:textId="77777777" w:rsidR="00AD37FD" w:rsidRPr="00AD37FD" w:rsidRDefault="00AD37FD" w:rsidP="00DF421D">
      <w:pPr>
        <w:spacing w:after="16" w:line="360" w:lineRule="auto"/>
        <w:ind w:right="89"/>
        <w:contextualSpacing/>
        <w:jc w:val="both"/>
        <w:rPr>
          <w:rFonts w:ascii="Sylfaen" w:eastAsia="Calibri" w:hAnsi="Sylfaen" w:cs="Times New Roman"/>
        </w:rPr>
      </w:pPr>
      <w:proofErr w:type="spellStart"/>
      <w:r w:rsidRPr="00AD37FD">
        <w:rPr>
          <w:rFonts w:ascii="Sylfaen" w:eastAsia="Calibri" w:hAnsi="Sylfaen" w:cs="Times New Roman"/>
        </w:rPr>
        <w:lastRenderedPageBreak/>
        <w:t>Cirincione</w:t>
      </w:r>
      <w:proofErr w:type="spellEnd"/>
      <w:r w:rsidRPr="00AD37FD">
        <w:rPr>
          <w:rFonts w:ascii="Sylfaen" w:eastAsia="Calibri" w:hAnsi="Sylfaen" w:cs="Times New Roman"/>
        </w:rPr>
        <w:t xml:space="preserve"> et al (2004:50) confirm my opinion, and found it unlikely that the behaviour at policymaker level did not create an environment of pressure to reach a conclusion confirming WMDs in Iraq. Along with the increased publicity of the immediate threat of Iraq’s WMD, the intelligence judgments became more absolute and supportive of the administration’s case (Pythian, 2006:417). IC managers failed to utilize mechanisms in order to challenge the prevailing conclusions (US Congress, 2004:23), and concerns regarding credibility of sources were not conveyed to policy makers. The Senate Select Committee explained this behaviour as “groupthink” (US Congress, 2004:18), referring to a desire for unanimity overriding a realistic appraisal of alternative courses of action (Janis, 1983:9), recognized in the selective use of information and collective rationalization of WMD intelligence in Iraq (US Congress, 2004:18). The conclusion reached by the analysts went beyond anything that could safely be reached on the basis of available intelligence (US Congress, 2004:14), and the Senate Select Committee found that the </w:t>
      </w:r>
      <w:r w:rsidRPr="00AD37FD">
        <w:rPr>
          <w:rFonts w:ascii="Sylfaen" w:eastAsia="Calibri" w:hAnsi="Sylfaen" w:cs="Times New Roman"/>
          <w:i/>
        </w:rPr>
        <w:t>NIE</w:t>
      </w:r>
      <w:r w:rsidRPr="00AD37FD">
        <w:rPr>
          <w:rFonts w:ascii="Sylfaen" w:eastAsia="Calibri" w:hAnsi="Sylfaen" w:cs="Times New Roman"/>
        </w:rPr>
        <w:t xml:space="preserve"> “did not accurately portray the uncertainty of the information”, but formulated assumptions and theories as if they were facts (US Congress, 2004:17). According to Betts (2007:605) the Key Judgments of the summary conveyed a message that the conclusions “derived from observed activities as much as preconceptions” and assumed intentions. This shows how politicisation possibly influenced the IC to such an extent as to form the intelligence according to preconceptions and desires of the Bush administration. </w:t>
      </w:r>
    </w:p>
    <w:p w14:paraId="41E92705" w14:textId="77777777" w:rsidR="00AD37FD" w:rsidRPr="00AD37FD" w:rsidRDefault="00AD37FD" w:rsidP="00DF421D">
      <w:pPr>
        <w:tabs>
          <w:tab w:val="left" w:pos="2040"/>
        </w:tabs>
        <w:spacing w:after="16" w:line="360" w:lineRule="auto"/>
        <w:ind w:left="284" w:right="89"/>
        <w:contextualSpacing/>
        <w:jc w:val="both"/>
        <w:rPr>
          <w:rFonts w:ascii="Sylfaen" w:eastAsia="Calibri" w:hAnsi="Sylfaen" w:cs="Times New Roman"/>
        </w:rPr>
      </w:pPr>
    </w:p>
    <w:p w14:paraId="6D7929A8" w14:textId="279C8B22" w:rsidR="00AD37FD" w:rsidRPr="00AD37FD" w:rsidRDefault="00AD37FD" w:rsidP="00DF421D">
      <w:pPr>
        <w:pStyle w:val="Heading1"/>
        <w:spacing w:after="16"/>
        <w:contextualSpacing/>
        <w:rPr>
          <w:rFonts w:eastAsia="Calibri"/>
          <w:szCs w:val="22"/>
        </w:rPr>
      </w:pPr>
      <w:r>
        <w:rPr>
          <w:rFonts w:eastAsia="Calibri"/>
        </w:rPr>
        <w:t xml:space="preserve">Conclusion </w:t>
      </w:r>
    </w:p>
    <w:p w14:paraId="202DE360" w14:textId="2E747645" w:rsidR="00AD37FD" w:rsidRPr="00AD37FD" w:rsidRDefault="00AD37FD" w:rsidP="00DF421D">
      <w:pPr>
        <w:spacing w:after="16" w:line="360" w:lineRule="auto"/>
        <w:ind w:right="89"/>
        <w:contextualSpacing/>
        <w:jc w:val="both"/>
        <w:rPr>
          <w:rFonts w:ascii="Sylfaen" w:eastAsia="Calibri" w:hAnsi="Sylfaen" w:cs="Times New Roman"/>
        </w:rPr>
      </w:pPr>
      <w:r w:rsidRPr="00AD37FD">
        <w:rPr>
          <w:rFonts w:ascii="Sylfaen" w:eastAsia="Calibri" w:hAnsi="Sylfaen" w:cs="Times New Roman"/>
        </w:rPr>
        <w:t xml:space="preserve">In many ways, the failure to find WMDs in Iraq could be described as the perfect intelligence failure, as failures can be found to have occurred at all stages of the intelligence cycle. It ranged from collection of intelligence, analysis, dissemination, within management, in the structure of the IC, and at the level of policymakers (Pythian, 2006:419). However, as has been shown in the previous paragraphs, I believe that politicisation ultimately led to obscure intelligence findings, which consequently led to the intelligence failure of the Iraq War. As the collection of intelligence is carried out by humans, ensuring neutrality is of wide importance, and therefore strategies of ensuring this should be employed. In the case of the 2003 Iraq invasion, neutrality was far from ensured. Policymakers and senior officials created a bias towards the existence of WMDs in Iraq, and successfully implemented this bias at all stages of the intelligence cycle, in order to enable a </w:t>
      </w:r>
      <w:r w:rsidRPr="00AD37FD">
        <w:rPr>
          <w:rFonts w:ascii="Sylfaen" w:eastAsia="Calibri" w:hAnsi="Sylfaen" w:cs="Times New Roman"/>
        </w:rPr>
        <w:lastRenderedPageBreak/>
        <w:t xml:space="preserve">conclusion justifying an intervention in Iraq. Given the secretive nature of intelligence, and the minimal political constituency of intelligence agencies, presidents can blame intelligence for their own errors in policy and its execution, and I believe this is in fact what happened in the 2003 Iraq invasion. Intelligence was twisted by politicisation and pressure from government officials, which ultimately culminated in a failed invasion and the onset of war. </w:t>
      </w:r>
    </w:p>
    <w:p w14:paraId="1B789A2B" w14:textId="0BF6C34B" w:rsidR="00AD37FD" w:rsidRDefault="00AD37FD" w:rsidP="00AD37FD">
      <w:pPr>
        <w:spacing w:after="0"/>
        <w:ind w:right="89"/>
        <w:jc w:val="both"/>
        <w:rPr>
          <w:rFonts w:ascii="Sylfaen" w:eastAsia="Calibri" w:hAnsi="Sylfaen" w:cs="Times New Roman"/>
          <w:b/>
          <w:sz w:val="24"/>
          <w:szCs w:val="24"/>
        </w:rPr>
      </w:pPr>
    </w:p>
    <w:p w14:paraId="4905B5D7" w14:textId="53AD4237" w:rsidR="00AD37FD" w:rsidRPr="00AD37FD" w:rsidRDefault="00AD37FD" w:rsidP="00AD37FD">
      <w:pPr>
        <w:pStyle w:val="Heading1"/>
      </w:pPr>
      <w:r w:rsidRPr="00AD37FD">
        <w:t>References</w:t>
      </w:r>
    </w:p>
    <w:p w14:paraId="444EC746" w14:textId="2172D58D" w:rsidR="00AD37FD" w:rsidRPr="008C0449" w:rsidRDefault="00DF421D" w:rsidP="008C0449">
      <w:pPr>
        <w:spacing w:after="160" w:line="360" w:lineRule="auto"/>
        <w:ind w:right="91"/>
        <w:rPr>
          <w:rFonts w:ascii="Sylfaen" w:eastAsia="Calibri" w:hAnsi="Sylfaen" w:cs="Times New Roman"/>
        </w:rPr>
      </w:pPr>
      <w:r>
        <w:rPr>
          <w:rFonts w:ascii="Sylfaen" w:eastAsia="Calibri" w:hAnsi="Sylfaen" w:cs="Times New Roman"/>
        </w:rPr>
        <w:t>Betts, R. K. (2007)</w:t>
      </w:r>
      <w:r w:rsidR="00AD37FD" w:rsidRPr="00AD37FD">
        <w:rPr>
          <w:rFonts w:ascii="Sylfaen" w:eastAsia="Calibri" w:hAnsi="Sylfaen" w:cs="Times New Roman"/>
        </w:rPr>
        <w:t xml:space="preserve"> </w:t>
      </w:r>
      <w:r>
        <w:rPr>
          <w:rFonts w:ascii="Sylfaen" w:eastAsia="Calibri" w:hAnsi="Sylfaen" w:cs="Times New Roman"/>
        </w:rPr>
        <w:t>‘</w:t>
      </w:r>
      <w:r w:rsidR="00AD37FD" w:rsidRPr="00AD37FD">
        <w:rPr>
          <w:rFonts w:ascii="Sylfaen" w:eastAsia="Calibri" w:hAnsi="Sylfaen" w:cs="Times New Roman"/>
        </w:rPr>
        <w:t>Two Faces of Intelligence Failure: Septe</w:t>
      </w:r>
      <w:r>
        <w:rPr>
          <w:rFonts w:ascii="Sylfaen" w:eastAsia="Calibri" w:hAnsi="Sylfaen" w:cs="Times New Roman"/>
        </w:rPr>
        <w:t xml:space="preserve">mber 11 and Iraq’s Missing WMD’, </w:t>
      </w:r>
      <w:r w:rsidR="00AD37FD" w:rsidRPr="00AD37FD">
        <w:rPr>
          <w:rFonts w:ascii="Sylfaen" w:eastAsia="Calibri" w:hAnsi="Sylfaen" w:cs="Times New Roman"/>
          <w:i/>
        </w:rPr>
        <w:t>Political Science Quarterly</w:t>
      </w:r>
      <w:r>
        <w:rPr>
          <w:rFonts w:ascii="Sylfaen" w:eastAsia="Calibri" w:hAnsi="Sylfaen" w:cs="Times New Roman"/>
        </w:rPr>
        <w:t>, 122</w:t>
      </w:r>
      <w:r w:rsidR="00AD37FD" w:rsidRPr="00AD37FD">
        <w:rPr>
          <w:rFonts w:ascii="Sylfaen" w:eastAsia="Calibri" w:hAnsi="Sylfaen" w:cs="Times New Roman"/>
        </w:rPr>
        <w:t>(4), pp. 585-606.</w:t>
      </w:r>
    </w:p>
    <w:p w14:paraId="2C161031" w14:textId="751659FD" w:rsidR="00AD37FD" w:rsidRPr="008C0449" w:rsidRDefault="00DF421D" w:rsidP="008C0449">
      <w:pPr>
        <w:spacing w:after="160" w:line="360" w:lineRule="auto"/>
        <w:ind w:right="91"/>
        <w:rPr>
          <w:rFonts w:ascii="Sylfaen" w:eastAsia="Calibri" w:hAnsi="Sylfaen" w:cs="Times New Roman"/>
        </w:rPr>
      </w:pPr>
      <w:r>
        <w:rPr>
          <w:rFonts w:ascii="Sylfaen" w:eastAsia="Calibri" w:hAnsi="Sylfaen" w:cs="Times New Roman"/>
        </w:rPr>
        <w:t>Betts, R. K. (1978)</w:t>
      </w:r>
      <w:r w:rsidR="00AD37FD" w:rsidRPr="00AD37FD">
        <w:rPr>
          <w:rFonts w:ascii="Sylfaen" w:eastAsia="Calibri" w:hAnsi="Sylfaen" w:cs="Times New Roman"/>
        </w:rPr>
        <w:t xml:space="preserve"> </w:t>
      </w:r>
      <w:r>
        <w:rPr>
          <w:rFonts w:ascii="Sylfaen" w:eastAsia="Calibri" w:hAnsi="Sylfaen" w:cs="Times New Roman"/>
        </w:rPr>
        <w:t>‘</w:t>
      </w:r>
      <w:r w:rsidR="00AD37FD" w:rsidRPr="00AD37FD">
        <w:rPr>
          <w:rFonts w:ascii="Sylfaen" w:eastAsia="Calibri" w:hAnsi="Sylfaen" w:cs="Times New Roman"/>
        </w:rPr>
        <w:t>Analysis, War and Decision: Why Intell</w:t>
      </w:r>
      <w:r>
        <w:rPr>
          <w:rFonts w:ascii="Sylfaen" w:eastAsia="Calibri" w:hAnsi="Sylfaen" w:cs="Times New Roman"/>
        </w:rPr>
        <w:t xml:space="preserve">igence Failures are </w:t>
      </w:r>
      <w:proofErr w:type="spellStart"/>
      <w:r>
        <w:rPr>
          <w:rFonts w:ascii="Sylfaen" w:eastAsia="Calibri" w:hAnsi="Sylfaen" w:cs="Times New Roman"/>
        </w:rPr>
        <w:t>Inevitable’</w:t>
      </w:r>
      <w:proofErr w:type="gramStart"/>
      <w:r>
        <w:rPr>
          <w:rFonts w:ascii="Sylfaen" w:eastAsia="Calibri" w:hAnsi="Sylfaen" w:cs="Times New Roman"/>
        </w:rPr>
        <w:t>,</w:t>
      </w:r>
      <w:r w:rsidR="00AD37FD" w:rsidRPr="00AD37FD">
        <w:rPr>
          <w:rFonts w:ascii="Sylfaen" w:eastAsia="Calibri" w:hAnsi="Sylfaen" w:cs="Times New Roman"/>
          <w:i/>
        </w:rPr>
        <w:t>World</w:t>
      </w:r>
      <w:proofErr w:type="spellEnd"/>
      <w:proofErr w:type="gramEnd"/>
      <w:r w:rsidR="00AD37FD" w:rsidRPr="00AD37FD">
        <w:rPr>
          <w:rFonts w:ascii="Sylfaen" w:eastAsia="Calibri" w:hAnsi="Sylfaen" w:cs="Times New Roman"/>
          <w:i/>
        </w:rPr>
        <w:t xml:space="preserve"> Politics</w:t>
      </w:r>
      <w:r w:rsidR="00AD37FD" w:rsidRPr="00AD37FD">
        <w:rPr>
          <w:rFonts w:ascii="Sylfaen" w:eastAsia="Calibri" w:hAnsi="Sylfaen" w:cs="Times New Roman"/>
        </w:rPr>
        <w:t>, 31(1), pp. 61-89.</w:t>
      </w:r>
    </w:p>
    <w:p w14:paraId="4D5A0DA7" w14:textId="6C76B118" w:rsidR="00AD37FD" w:rsidRPr="00AD37FD" w:rsidRDefault="00AD37FD" w:rsidP="008C0449">
      <w:pPr>
        <w:spacing w:after="160" w:line="360" w:lineRule="auto"/>
        <w:ind w:right="91"/>
        <w:rPr>
          <w:rFonts w:ascii="Sylfaen" w:eastAsia="Calibri" w:hAnsi="Sylfaen" w:cs="Times New Roman"/>
          <w:i/>
        </w:rPr>
      </w:pPr>
      <w:r w:rsidRPr="00AD37FD">
        <w:rPr>
          <w:rFonts w:ascii="Sylfaen" w:eastAsia="Calibri" w:hAnsi="Sylfaen" w:cs="Times New Roman"/>
        </w:rPr>
        <w:t>Central Intelligence Agency.</w:t>
      </w:r>
      <w:r w:rsidR="00DF421D">
        <w:rPr>
          <w:rFonts w:ascii="Sylfaen" w:eastAsia="Calibri" w:hAnsi="Sylfaen" w:cs="Times New Roman"/>
        </w:rPr>
        <w:t xml:space="preserve"> (2007)</w:t>
      </w:r>
      <w:r w:rsidRPr="00AD37FD">
        <w:rPr>
          <w:rFonts w:ascii="Sylfaen" w:eastAsia="Calibri" w:hAnsi="Sylfaen" w:cs="Times New Roman"/>
          <w:i/>
        </w:rPr>
        <w:t>What We Do</w:t>
      </w:r>
      <w:r w:rsidRPr="00AD37FD">
        <w:rPr>
          <w:rFonts w:ascii="Sylfaen" w:eastAsia="Calibri" w:hAnsi="Sylfaen" w:cs="Times New Roman"/>
        </w:rPr>
        <w:t xml:space="preserve">. Available at: </w:t>
      </w:r>
      <w:hyperlink r:id="rId8" w:history="1">
        <w:r w:rsidRPr="00AD37FD">
          <w:rPr>
            <w:rFonts w:ascii="Sylfaen" w:eastAsia="Calibri" w:hAnsi="Sylfaen" w:cs="Times New Roman"/>
            <w:color w:val="0563C1"/>
            <w:u w:val="single"/>
          </w:rPr>
          <w:t>https://www.cia.gov/offices-of-cia/intelligence-analysis/what-we-do.html</w:t>
        </w:r>
      </w:hyperlink>
      <w:r w:rsidR="00DF421D">
        <w:rPr>
          <w:rFonts w:ascii="Sylfaen" w:eastAsia="Calibri" w:hAnsi="Sylfaen" w:cs="Times New Roman"/>
        </w:rPr>
        <w:t xml:space="preserve"> (Accessed </w:t>
      </w:r>
      <w:r w:rsidRPr="00AD37FD">
        <w:rPr>
          <w:rFonts w:ascii="Sylfaen" w:eastAsia="Calibri" w:hAnsi="Sylfaen" w:cs="Times New Roman"/>
        </w:rPr>
        <w:t>29 Nov</w:t>
      </w:r>
      <w:r w:rsidR="00DF421D">
        <w:rPr>
          <w:rFonts w:ascii="Sylfaen" w:eastAsia="Calibri" w:hAnsi="Sylfaen" w:cs="Times New Roman"/>
        </w:rPr>
        <w:t>ember 2015)</w:t>
      </w:r>
      <w:r w:rsidRPr="00AD37FD">
        <w:rPr>
          <w:rFonts w:ascii="Sylfaen" w:eastAsia="Calibri" w:hAnsi="Sylfaen" w:cs="Times New Roman"/>
        </w:rPr>
        <w:t>.</w:t>
      </w:r>
    </w:p>
    <w:p w14:paraId="044CE0ED" w14:textId="038517FA" w:rsidR="00AD37FD" w:rsidRPr="00AD37FD" w:rsidRDefault="00AD37FD" w:rsidP="008C0449">
      <w:pPr>
        <w:spacing w:after="160" w:line="360" w:lineRule="auto"/>
        <w:ind w:right="91"/>
        <w:rPr>
          <w:rFonts w:ascii="Sylfaen" w:eastAsia="Calibri" w:hAnsi="Sylfaen" w:cs="Times New Roman"/>
        </w:rPr>
      </w:pPr>
      <w:proofErr w:type="spellStart"/>
      <w:r w:rsidRPr="00AD37FD">
        <w:rPr>
          <w:rFonts w:ascii="Sylfaen" w:eastAsia="Calibri" w:hAnsi="Sylfaen" w:cs="Times New Roman"/>
        </w:rPr>
        <w:t>Cirincione</w:t>
      </w:r>
      <w:proofErr w:type="spellEnd"/>
      <w:r w:rsidRPr="00AD37FD">
        <w:rPr>
          <w:rFonts w:ascii="Sylfaen" w:eastAsia="Calibri" w:hAnsi="Sylfaen" w:cs="Times New Roman"/>
        </w:rPr>
        <w:t>, J., Mathews, J. T., Per</w:t>
      </w:r>
      <w:r w:rsidR="00DF421D">
        <w:rPr>
          <w:rFonts w:ascii="Sylfaen" w:eastAsia="Calibri" w:hAnsi="Sylfaen" w:cs="Times New Roman"/>
        </w:rPr>
        <w:t>kovich, G. and Orton, A. (2004)</w:t>
      </w:r>
      <w:r w:rsidRPr="00AD37FD">
        <w:rPr>
          <w:rFonts w:ascii="Sylfaen" w:eastAsia="Calibri" w:hAnsi="Sylfaen" w:cs="Times New Roman"/>
        </w:rPr>
        <w:t xml:space="preserve"> </w:t>
      </w:r>
      <w:r w:rsidRPr="00AD37FD">
        <w:rPr>
          <w:rFonts w:ascii="Sylfaen" w:eastAsia="Calibri" w:hAnsi="Sylfaen" w:cs="Times New Roman"/>
          <w:i/>
        </w:rPr>
        <w:t>WMD in Iraq: Evidence and Implications</w:t>
      </w:r>
      <w:r w:rsidR="00DF421D">
        <w:rPr>
          <w:rFonts w:ascii="Sylfaen" w:eastAsia="Calibri" w:hAnsi="Sylfaen" w:cs="Times New Roman"/>
        </w:rPr>
        <w:t xml:space="preserve">. </w:t>
      </w:r>
      <w:r w:rsidR="00DF421D">
        <w:rPr>
          <w:rFonts w:ascii="Times New Roman" w:eastAsia="Calibri" w:hAnsi="Times New Roman" w:cs="Times New Roman"/>
          <w:lang w:val="en-US"/>
        </w:rPr>
        <w:t xml:space="preserve">Available at: </w:t>
      </w:r>
      <w:hyperlink r:id="rId9" w:history="1">
        <w:r w:rsidRPr="00DF421D">
          <w:rPr>
            <w:rFonts w:ascii="Sylfaen" w:eastAsia="Calibri" w:hAnsi="Sylfaen" w:cs="Times New Roman"/>
            <w:color w:val="0563C1"/>
            <w:u w:val="single"/>
          </w:rPr>
          <w:t>http://carnegieendowment.org/files/Iraq3FullText.pdf</w:t>
        </w:r>
      </w:hyperlink>
      <w:r w:rsidR="00DF421D">
        <w:rPr>
          <w:rFonts w:ascii="Sylfaen" w:eastAsia="Calibri" w:hAnsi="Sylfaen" w:cs="Times New Roman"/>
        </w:rPr>
        <w:t xml:space="preserve"> (</w:t>
      </w:r>
      <w:r w:rsidRPr="00AD37FD">
        <w:rPr>
          <w:rFonts w:ascii="Sylfaen" w:eastAsia="Calibri" w:hAnsi="Sylfaen" w:cs="Times New Roman"/>
        </w:rPr>
        <w:t>Accessed 25 Nov</w:t>
      </w:r>
      <w:r w:rsidR="00DF421D">
        <w:rPr>
          <w:rFonts w:ascii="Sylfaen" w:eastAsia="Calibri" w:hAnsi="Sylfaen" w:cs="Times New Roman"/>
        </w:rPr>
        <w:t>ember 2015)</w:t>
      </w:r>
      <w:r w:rsidRPr="00AD37FD">
        <w:rPr>
          <w:rFonts w:ascii="Sylfaen" w:eastAsia="Calibri" w:hAnsi="Sylfaen" w:cs="Times New Roman"/>
        </w:rPr>
        <w:t>.</w:t>
      </w:r>
    </w:p>
    <w:p w14:paraId="6339AED8" w14:textId="3E73E86B" w:rsidR="00AD37FD" w:rsidRPr="008C0449" w:rsidRDefault="00DF421D" w:rsidP="008C0449">
      <w:pPr>
        <w:spacing w:after="160" w:line="360" w:lineRule="auto"/>
        <w:ind w:right="91"/>
        <w:rPr>
          <w:rFonts w:ascii="Sylfaen" w:eastAsia="Calibri" w:hAnsi="Sylfaen" w:cs="Times New Roman"/>
          <w:i/>
        </w:rPr>
      </w:pPr>
      <w:r>
        <w:rPr>
          <w:rFonts w:ascii="Sylfaen" w:eastAsia="Calibri" w:hAnsi="Sylfaen" w:cs="Times New Roman"/>
        </w:rPr>
        <w:t>Clarke, R. A. (2004)</w:t>
      </w:r>
      <w:r w:rsidR="00AD37FD" w:rsidRPr="00AD37FD">
        <w:rPr>
          <w:rFonts w:ascii="Sylfaen" w:eastAsia="Calibri" w:hAnsi="Sylfaen" w:cs="Times New Roman"/>
        </w:rPr>
        <w:t xml:space="preserve"> </w:t>
      </w:r>
      <w:r w:rsidR="00AD37FD" w:rsidRPr="00AD37FD">
        <w:rPr>
          <w:rFonts w:ascii="Sylfaen" w:eastAsia="Calibri" w:hAnsi="Sylfaen" w:cs="Times New Roman"/>
          <w:i/>
        </w:rPr>
        <w:t>Against All Enemies.</w:t>
      </w:r>
      <w:r w:rsidR="00AD37FD" w:rsidRPr="00AD37FD">
        <w:rPr>
          <w:rFonts w:ascii="Sylfaen" w:eastAsia="Calibri" w:hAnsi="Sylfaen" w:cs="Times New Roman"/>
        </w:rPr>
        <w:t xml:space="preserve"> London: Free Press.</w:t>
      </w:r>
    </w:p>
    <w:p w14:paraId="01E02F81" w14:textId="382D206B" w:rsidR="00AD37FD" w:rsidRPr="008C0449" w:rsidRDefault="00DF421D" w:rsidP="008C0449">
      <w:pPr>
        <w:spacing w:after="160" w:line="360" w:lineRule="auto"/>
        <w:ind w:right="91"/>
        <w:rPr>
          <w:rFonts w:ascii="Sylfaen" w:eastAsia="Calibri" w:hAnsi="Sylfaen" w:cs="Times New Roman"/>
        </w:rPr>
      </w:pPr>
      <w:r>
        <w:rPr>
          <w:rFonts w:ascii="Sylfaen" w:eastAsia="Calibri" w:hAnsi="Sylfaen" w:cs="Times New Roman"/>
        </w:rPr>
        <w:t>Dahl, E. J. (2005) ‘</w:t>
      </w:r>
      <w:r w:rsidR="00AD37FD" w:rsidRPr="00AD37FD">
        <w:rPr>
          <w:rFonts w:ascii="Sylfaen" w:eastAsia="Calibri" w:hAnsi="Sylfaen" w:cs="Times New Roman"/>
        </w:rPr>
        <w:t xml:space="preserve">Warning of Terror: Explaining the Failure of </w:t>
      </w:r>
      <w:r>
        <w:rPr>
          <w:rFonts w:ascii="Sylfaen" w:eastAsia="Calibri" w:hAnsi="Sylfaen" w:cs="Times New Roman"/>
        </w:rPr>
        <w:t xml:space="preserve">Intelligence </w:t>
      </w:r>
      <w:proofErr w:type="gramStart"/>
      <w:r>
        <w:rPr>
          <w:rFonts w:ascii="Sylfaen" w:eastAsia="Calibri" w:hAnsi="Sylfaen" w:cs="Times New Roman"/>
        </w:rPr>
        <w:t>Against</w:t>
      </w:r>
      <w:proofErr w:type="gramEnd"/>
      <w:r>
        <w:rPr>
          <w:rFonts w:ascii="Sylfaen" w:eastAsia="Calibri" w:hAnsi="Sylfaen" w:cs="Times New Roman"/>
        </w:rPr>
        <w:t xml:space="preserve"> Terrorism’, </w:t>
      </w:r>
      <w:r w:rsidR="00AD37FD" w:rsidRPr="00AD37FD">
        <w:rPr>
          <w:rFonts w:ascii="Sylfaen" w:eastAsia="Calibri" w:hAnsi="Sylfaen" w:cs="Times New Roman"/>
          <w:i/>
        </w:rPr>
        <w:t>T</w:t>
      </w:r>
      <w:r>
        <w:rPr>
          <w:rFonts w:ascii="Sylfaen" w:eastAsia="Calibri" w:hAnsi="Sylfaen" w:cs="Times New Roman"/>
          <w:i/>
        </w:rPr>
        <w:t>he Journal of Strategic Studies,</w:t>
      </w:r>
      <w:r w:rsidR="00AD37FD" w:rsidRPr="00AD37FD">
        <w:rPr>
          <w:rFonts w:ascii="Sylfaen" w:eastAsia="Calibri" w:hAnsi="Sylfaen" w:cs="Times New Roman"/>
          <w:i/>
        </w:rPr>
        <w:t xml:space="preserve"> </w:t>
      </w:r>
      <w:r w:rsidR="00AD37FD" w:rsidRPr="00AD37FD">
        <w:rPr>
          <w:rFonts w:ascii="Sylfaen" w:eastAsia="Calibri" w:hAnsi="Sylfaen" w:cs="Times New Roman"/>
        </w:rPr>
        <w:t>28(1), pp. 31-55.</w:t>
      </w:r>
    </w:p>
    <w:p w14:paraId="418B2277" w14:textId="17671EB9" w:rsidR="00AD37FD" w:rsidRPr="008C0449" w:rsidRDefault="00DF421D" w:rsidP="008C0449">
      <w:pPr>
        <w:spacing w:after="160" w:line="360" w:lineRule="auto"/>
        <w:ind w:right="91"/>
        <w:rPr>
          <w:rFonts w:ascii="Sylfaen" w:eastAsia="Times New Roman" w:hAnsi="Sylfaen" w:cs="Times New Roman"/>
          <w:i/>
        </w:rPr>
      </w:pPr>
      <w:r>
        <w:rPr>
          <w:rFonts w:ascii="Sylfaen" w:eastAsia="Times New Roman" w:hAnsi="Sylfaen" w:cs="Times New Roman"/>
        </w:rPr>
        <w:t>Danner, M. (2005)</w:t>
      </w:r>
      <w:r w:rsidR="00AD37FD" w:rsidRPr="00AD37FD">
        <w:rPr>
          <w:rFonts w:ascii="Sylfaen" w:eastAsia="Times New Roman" w:hAnsi="Sylfaen" w:cs="Times New Roman"/>
        </w:rPr>
        <w:t xml:space="preserve"> </w:t>
      </w:r>
      <w:r w:rsidR="00AD37FD" w:rsidRPr="00AD37FD">
        <w:rPr>
          <w:rFonts w:ascii="Sylfaen" w:eastAsia="Times New Roman" w:hAnsi="Sylfaen" w:cs="Times New Roman"/>
          <w:i/>
        </w:rPr>
        <w:t>The Secret Way to War.</w:t>
      </w:r>
      <w:r w:rsidR="00AD37FD" w:rsidRPr="00AD37FD">
        <w:rPr>
          <w:rFonts w:ascii="Sylfaen" w:eastAsia="Times New Roman" w:hAnsi="Sylfaen" w:cs="Times New Roman"/>
        </w:rPr>
        <w:t xml:space="preserve"> Available at:</w:t>
      </w:r>
      <w:r w:rsidR="00AD37FD" w:rsidRPr="00AD37FD">
        <w:rPr>
          <w:rFonts w:ascii="Sylfaen" w:eastAsia="Times New Roman" w:hAnsi="Sylfaen" w:cs="Times New Roman"/>
          <w:i/>
        </w:rPr>
        <w:t xml:space="preserve"> </w:t>
      </w:r>
      <w:hyperlink r:id="rId10" w:history="1">
        <w:r w:rsidR="00AD37FD" w:rsidRPr="00DF421D">
          <w:rPr>
            <w:rFonts w:ascii="Sylfaen" w:eastAsia="Times New Roman" w:hAnsi="Sylfaen" w:cs="Times New Roman"/>
            <w:color w:val="0563C1"/>
            <w:u w:val="single"/>
          </w:rPr>
          <w:t>http://www.nybooks.com/articles/2005/06/09/the-secret-way-to-war/</w:t>
        </w:r>
      </w:hyperlink>
      <w:r w:rsidRPr="00DF421D">
        <w:rPr>
          <w:rFonts w:ascii="Sylfaen" w:eastAsia="Calibri" w:hAnsi="Sylfaen" w:cs="Times New Roman"/>
        </w:rPr>
        <w:t xml:space="preserve"> </w:t>
      </w:r>
      <w:r>
        <w:rPr>
          <w:rFonts w:ascii="Sylfaen" w:eastAsia="Calibri" w:hAnsi="Sylfaen" w:cs="Times New Roman"/>
        </w:rPr>
        <w:t>(Accessed 25 November 2015)</w:t>
      </w:r>
      <w:r w:rsidR="00AD37FD" w:rsidRPr="00AD37FD">
        <w:rPr>
          <w:rFonts w:ascii="Sylfaen" w:eastAsia="Calibri" w:hAnsi="Sylfaen" w:cs="Times New Roman"/>
        </w:rPr>
        <w:t>.</w:t>
      </w:r>
    </w:p>
    <w:p w14:paraId="0DA99EAF" w14:textId="3436F7C6" w:rsidR="00AD37FD" w:rsidRPr="008C0449" w:rsidRDefault="00AD37FD" w:rsidP="008C0449">
      <w:pPr>
        <w:spacing w:after="160" w:line="360" w:lineRule="auto"/>
        <w:ind w:right="91"/>
        <w:rPr>
          <w:rFonts w:ascii="Sylfaen" w:eastAsia="Calibri" w:hAnsi="Sylfaen" w:cs="Times New Roman"/>
          <w:i/>
        </w:rPr>
      </w:pPr>
      <w:r w:rsidRPr="00AD37FD">
        <w:rPr>
          <w:rFonts w:ascii="Sylfaen" w:eastAsia="Calibri" w:hAnsi="Sylfaen" w:cs="Times New Roman"/>
        </w:rPr>
        <w:t xml:space="preserve">Finn, R. and Richburg, K. B. (2004) </w:t>
      </w:r>
      <w:r w:rsidRPr="00AD37FD">
        <w:rPr>
          <w:rFonts w:ascii="Sylfaen" w:eastAsia="Calibri" w:hAnsi="Sylfaen" w:cs="Times New Roman"/>
          <w:i/>
        </w:rPr>
        <w:t>Madrid Probe Turns to Islamic Cell in Morocco.</w:t>
      </w:r>
      <w:r w:rsidRPr="00AD37FD">
        <w:rPr>
          <w:rFonts w:ascii="Sylfaen" w:eastAsia="Calibri" w:hAnsi="Sylfaen" w:cs="Times New Roman"/>
        </w:rPr>
        <w:t xml:space="preserve"> </w:t>
      </w:r>
      <w:r w:rsidR="00DF421D">
        <w:rPr>
          <w:rFonts w:ascii="Sylfaen" w:eastAsia="Calibri" w:hAnsi="Sylfaen" w:cs="Times New Roman"/>
        </w:rPr>
        <w:t xml:space="preserve">Available at: </w:t>
      </w:r>
      <w:hyperlink r:id="rId11" w:history="1">
        <w:r w:rsidRPr="00DF421D">
          <w:rPr>
            <w:rFonts w:ascii="Sylfaen" w:eastAsia="Calibri" w:hAnsi="Sylfaen" w:cs="Times New Roman"/>
            <w:color w:val="0563C1"/>
            <w:u w:val="single"/>
          </w:rPr>
          <w:t>http://www.washingtonpost.com/wp-dyn/content/article/2004/03/20/AR2005040206231.html</w:t>
        </w:r>
      </w:hyperlink>
      <w:r w:rsidR="00DF421D">
        <w:rPr>
          <w:rFonts w:ascii="Sylfaen" w:eastAsia="Calibri" w:hAnsi="Sylfaen" w:cs="Times New Roman"/>
        </w:rPr>
        <w:t xml:space="preserve"> </w:t>
      </w:r>
      <w:r w:rsidR="008C0449">
        <w:rPr>
          <w:rFonts w:ascii="Sylfaen" w:eastAsia="Calibri" w:hAnsi="Sylfaen" w:cs="Times New Roman"/>
        </w:rPr>
        <w:t>(</w:t>
      </w:r>
      <w:r w:rsidR="00DF421D">
        <w:rPr>
          <w:rFonts w:ascii="Sylfaen" w:eastAsia="Calibri" w:hAnsi="Sylfaen" w:cs="Times New Roman"/>
        </w:rPr>
        <w:t>Accessed 2 December 2015)</w:t>
      </w:r>
      <w:r w:rsidRPr="00AD37FD">
        <w:rPr>
          <w:rFonts w:ascii="Sylfaen" w:eastAsia="Calibri" w:hAnsi="Sylfaen" w:cs="Times New Roman"/>
        </w:rPr>
        <w:t>.</w:t>
      </w:r>
      <w:r w:rsidRPr="00AD37FD">
        <w:rPr>
          <w:rFonts w:ascii="Sylfaen" w:eastAsia="Calibri" w:hAnsi="Sylfaen" w:cs="Times New Roman"/>
          <w:i/>
        </w:rPr>
        <w:t xml:space="preserve"> </w:t>
      </w:r>
    </w:p>
    <w:p w14:paraId="142B774C" w14:textId="580E0C68" w:rsidR="00AD37FD" w:rsidRPr="008C0449" w:rsidRDefault="00DF421D" w:rsidP="008C0449">
      <w:pPr>
        <w:spacing w:after="160" w:line="360" w:lineRule="auto"/>
        <w:ind w:right="91"/>
        <w:rPr>
          <w:rFonts w:ascii="Sylfaen" w:eastAsia="Calibri" w:hAnsi="Sylfaen" w:cs="Times New Roman"/>
          <w:i/>
        </w:rPr>
      </w:pPr>
      <w:r>
        <w:rPr>
          <w:rFonts w:ascii="Sylfaen" w:eastAsia="Calibri" w:hAnsi="Sylfaen" w:cs="Times New Roman"/>
        </w:rPr>
        <w:t>Gentry, J. A. (2008)</w:t>
      </w:r>
      <w:r w:rsidR="00AD37FD" w:rsidRPr="00AD37FD">
        <w:rPr>
          <w:rFonts w:ascii="Sylfaen" w:eastAsia="Calibri" w:hAnsi="Sylfaen" w:cs="Times New Roman"/>
        </w:rPr>
        <w:t xml:space="preserve"> </w:t>
      </w:r>
      <w:r>
        <w:rPr>
          <w:rFonts w:ascii="Sylfaen" w:eastAsia="Calibri" w:hAnsi="Sylfaen" w:cs="Times New Roman"/>
        </w:rPr>
        <w:t>‘</w:t>
      </w:r>
      <w:r w:rsidR="00AD37FD" w:rsidRPr="00AD37FD">
        <w:rPr>
          <w:rFonts w:ascii="Sylfaen" w:eastAsia="Calibri" w:hAnsi="Sylfaen" w:cs="Times New Roman"/>
        </w:rPr>
        <w:t>Intelligence Failure Reframed</w:t>
      </w:r>
      <w:r>
        <w:rPr>
          <w:rFonts w:ascii="Sylfaen" w:eastAsia="Calibri" w:hAnsi="Sylfaen" w:cs="Times New Roman"/>
        </w:rPr>
        <w:t>’</w:t>
      </w:r>
      <w:r w:rsidR="00AD37FD" w:rsidRPr="00AD37FD">
        <w:rPr>
          <w:rFonts w:ascii="Sylfaen" w:eastAsia="Calibri" w:hAnsi="Sylfaen" w:cs="Times New Roman"/>
        </w:rPr>
        <w:t xml:space="preserve">, </w:t>
      </w:r>
      <w:r w:rsidR="00AD37FD" w:rsidRPr="00AD37FD">
        <w:rPr>
          <w:rFonts w:ascii="Sylfaen" w:eastAsia="Calibri" w:hAnsi="Sylfaen" w:cs="Times New Roman"/>
          <w:i/>
        </w:rPr>
        <w:t>Political Science Quarterly</w:t>
      </w:r>
      <w:r>
        <w:rPr>
          <w:rFonts w:ascii="Sylfaen" w:eastAsia="Calibri" w:hAnsi="Sylfaen" w:cs="Times New Roman"/>
          <w:i/>
        </w:rPr>
        <w:t>,</w:t>
      </w:r>
      <w:r w:rsidR="00AD37FD" w:rsidRPr="00AD37FD">
        <w:rPr>
          <w:rFonts w:ascii="Sylfaen" w:eastAsia="Calibri" w:hAnsi="Sylfaen" w:cs="Times New Roman"/>
          <w:i/>
        </w:rPr>
        <w:t xml:space="preserve"> </w:t>
      </w:r>
      <w:r>
        <w:rPr>
          <w:rFonts w:ascii="Sylfaen" w:eastAsia="Calibri" w:hAnsi="Sylfaen" w:cs="Times New Roman"/>
        </w:rPr>
        <w:t>123</w:t>
      </w:r>
      <w:r w:rsidR="00AD37FD" w:rsidRPr="00AD37FD">
        <w:rPr>
          <w:rFonts w:ascii="Sylfaen" w:eastAsia="Calibri" w:hAnsi="Sylfaen" w:cs="Times New Roman"/>
        </w:rPr>
        <w:t>(2)</w:t>
      </w:r>
      <w:r w:rsidR="00AD37FD" w:rsidRPr="00AD37FD">
        <w:rPr>
          <w:rFonts w:ascii="Sylfaen" w:eastAsia="Calibri" w:hAnsi="Sylfaen" w:cs="Times New Roman"/>
          <w:i/>
        </w:rPr>
        <w:t xml:space="preserve">, </w:t>
      </w:r>
      <w:r w:rsidR="00AD37FD" w:rsidRPr="00AD37FD">
        <w:rPr>
          <w:rFonts w:ascii="Sylfaen" w:eastAsia="Calibri" w:hAnsi="Sylfaen" w:cs="Times New Roman"/>
        </w:rPr>
        <w:t>pp. 247-270.</w:t>
      </w:r>
    </w:p>
    <w:p w14:paraId="21D5ED43" w14:textId="1308F5A7" w:rsidR="008C0449" w:rsidRPr="00AD37FD" w:rsidRDefault="008C0449" w:rsidP="008C0449">
      <w:pPr>
        <w:spacing w:after="160" w:line="360" w:lineRule="auto"/>
        <w:ind w:right="91"/>
        <w:rPr>
          <w:rFonts w:ascii="Sylfaen" w:eastAsia="Calibri" w:hAnsi="Sylfaen" w:cs="Times New Roman"/>
        </w:rPr>
      </w:pPr>
      <w:proofErr w:type="spellStart"/>
      <w:r w:rsidRPr="008C0449">
        <w:rPr>
          <w:rFonts w:ascii="Sylfaen" w:eastAsia="Calibri" w:hAnsi="Sylfaen" w:cs="Times New Roman"/>
        </w:rPr>
        <w:lastRenderedPageBreak/>
        <w:t>Hulnick</w:t>
      </w:r>
      <w:proofErr w:type="spellEnd"/>
      <w:r>
        <w:rPr>
          <w:rFonts w:ascii="Sylfaen" w:eastAsia="Calibri" w:hAnsi="Sylfaen" w:cs="Times New Roman"/>
        </w:rPr>
        <w:t>, A. S.</w:t>
      </w:r>
      <w:r w:rsidRPr="008C0449">
        <w:rPr>
          <w:rFonts w:ascii="Sylfaen" w:eastAsia="Calibri" w:hAnsi="Sylfaen" w:cs="Times New Roman"/>
        </w:rPr>
        <w:t xml:space="preserve"> (2005) </w:t>
      </w:r>
      <w:r>
        <w:rPr>
          <w:rFonts w:ascii="Sylfaen" w:eastAsia="Calibri" w:hAnsi="Sylfaen" w:cs="Times New Roman"/>
        </w:rPr>
        <w:t>‘</w:t>
      </w:r>
      <w:r w:rsidRPr="008C0449">
        <w:rPr>
          <w:rFonts w:ascii="Sylfaen" w:eastAsia="Calibri" w:hAnsi="Sylfaen" w:cs="Times New Roman"/>
        </w:rPr>
        <w:t>Indications and Warning for Homeland Security: Seeking a New Paradigm</w:t>
      </w:r>
      <w:r>
        <w:rPr>
          <w:rFonts w:ascii="Sylfaen" w:eastAsia="Calibri" w:hAnsi="Sylfaen" w:cs="Times New Roman"/>
        </w:rPr>
        <w:t>’</w:t>
      </w:r>
      <w:r w:rsidRPr="008C0449">
        <w:rPr>
          <w:rFonts w:ascii="Sylfaen" w:eastAsia="Calibri" w:hAnsi="Sylfaen" w:cs="Times New Roman"/>
          <w:i/>
        </w:rPr>
        <w:t>, International Journal of Intelligence and Counter</w:t>
      </w:r>
      <w:r>
        <w:rPr>
          <w:rFonts w:ascii="Sylfaen" w:eastAsia="Calibri" w:hAnsi="Sylfaen" w:cs="Times New Roman"/>
          <w:i/>
        </w:rPr>
        <w:t xml:space="preserve"> </w:t>
      </w:r>
      <w:r w:rsidRPr="008C0449">
        <w:rPr>
          <w:rFonts w:ascii="Sylfaen" w:eastAsia="Calibri" w:hAnsi="Sylfaen" w:cs="Times New Roman"/>
          <w:i/>
        </w:rPr>
        <w:t>Intelligence</w:t>
      </w:r>
      <w:r>
        <w:rPr>
          <w:rFonts w:ascii="Sylfaen" w:eastAsia="Calibri" w:hAnsi="Sylfaen" w:cs="Times New Roman"/>
        </w:rPr>
        <w:t>, 18(</w:t>
      </w:r>
      <w:r w:rsidRPr="008C0449">
        <w:rPr>
          <w:rFonts w:ascii="Sylfaen" w:eastAsia="Calibri" w:hAnsi="Sylfaen" w:cs="Times New Roman"/>
        </w:rPr>
        <w:t>4</w:t>
      </w:r>
      <w:r>
        <w:rPr>
          <w:rFonts w:ascii="Sylfaen" w:eastAsia="Calibri" w:hAnsi="Sylfaen" w:cs="Times New Roman"/>
        </w:rPr>
        <w:t>)</w:t>
      </w:r>
      <w:r w:rsidRPr="008C0449">
        <w:rPr>
          <w:rFonts w:ascii="Sylfaen" w:eastAsia="Calibri" w:hAnsi="Sylfaen" w:cs="Times New Roman"/>
        </w:rPr>
        <w:t xml:space="preserve">, </w:t>
      </w:r>
      <w:r>
        <w:rPr>
          <w:rFonts w:ascii="Sylfaen" w:eastAsia="Calibri" w:hAnsi="Sylfaen" w:cs="Times New Roman"/>
        </w:rPr>
        <w:t xml:space="preserve">pp. 593-608. </w:t>
      </w:r>
      <w:proofErr w:type="gramStart"/>
      <w:r>
        <w:rPr>
          <w:rFonts w:ascii="Sylfaen" w:eastAsia="Calibri" w:hAnsi="Sylfaen" w:cs="Times New Roman"/>
        </w:rPr>
        <w:t>doi:</w:t>
      </w:r>
      <w:proofErr w:type="gramEnd"/>
      <w:r w:rsidRPr="008C0449">
        <w:rPr>
          <w:rFonts w:ascii="Sylfaen" w:eastAsia="Calibri" w:hAnsi="Sylfaen" w:cs="Times New Roman"/>
        </w:rPr>
        <w:t>10.1080/08850600500177101</w:t>
      </w:r>
      <w:r>
        <w:rPr>
          <w:rFonts w:ascii="Sylfaen" w:eastAsia="Calibri" w:hAnsi="Sylfaen" w:cs="Times New Roman"/>
        </w:rPr>
        <w:t xml:space="preserve">. </w:t>
      </w:r>
    </w:p>
    <w:p w14:paraId="398158A6" w14:textId="428BA8EE" w:rsidR="00AD37FD" w:rsidRPr="008C0449" w:rsidRDefault="008C0449" w:rsidP="008C0449">
      <w:pPr>
        <w:spacing w:after="160" w:line="360" w:lineRule="auto"/>
        <w:ind w:right="91"/>
        <w:rPr>
          <w:rFonts w:ascii="Sylfaen" w:eastAsia="Calibri" w:hAnsi="Sylfaen" w:cs="Times New Roman"/>
          <w:i/>
        </w:rPr>
      </w:pPr>
      <w:proofErr w:type="spellStart"/>
      <w:r>
        <w:rPr>
          <w:rFonts w:ascii="Sylfaen" w:eastAsia="Calibri" w:hAnsi="Sylfaen" w:cs="Times New Roman"/>
        </w:rPr>
        <w:t>Hulnick</w:t>
      </w:r>
      <w:proofErr w:type="spellEnd"/>
      <w:r>
        <w:rPr>
          <w:rFonts w:ascii="Sylfaen" w:eastAsia="Calibri" w:hAnsi="Sylfaen" w:cs="Times New Roman"/>
        </w:rPr>
        <w:t>, A. S. (2006)</w:t>
      </w:r>
      <w:r w:rsidR="00AD37FD" w:rsidRPr="00AD37FD">
        <w:rPr>
          <w:rFonts w:ascii="Sylfaen" w:eastAsia="Calibri" w:hAnsi="Sylfaen" w:cs="Times New Roman"/>
        </w:rPr>
        <w:t xml:space="preserve"> </w:t>
      </w:r>
      <w:r>
        <w:rPr>
          <w:rFonts w:ascii="Sylfaen" w:eastAsia="Calibri" w:hAnsi="Sylfaen" w:cs="Times New Roman"/>
        </w:rPr>
        <w:t>‘</w:t>
      </w:r>
      <w:r w:rsidR="00AD37FD" w:rsidRPr="00AD37FD">
        <w:rPr>
          <w:rFonts w:ascii="Sylfaen" w:eastAsia="Calibri" w:hAnsi="Sylfaen" w:cs="Times New Roman"/>
        </w:rPr>
        <w:t>What’s Wrong with the Intelligence Cycle?</w:t>
      </w:r>
      <w:proofErr w:type="gramStart"/>
      <w:r>
        <w:rPr>
          <w:rFonts w:ascii="Sylfaen" w:eastAsia="Calibri" w:hAnsi="Sylfaen" w:cs="Times New Roman"/>
        </w:rPr>
        <w:t>’,</w:t>
      </w:r>
      <w:proofErr w:type="gramEnd"/>
      <w:r w:rsidR="00AD37FD" w:rsidRPr="00AD37FD">
        <w:rPr>
          <w:rFonts w:ascii="Sylfaen" w:eastAsia="Calibri" w:hAnsi="Sylfaen" w:cs="Times New Roman"/>
        </w:rPr>
        <w:t xml:space="preserve"> </w:t>
      </w:r>
      <w:r w:rsidR="00AD37FD" w:rsidRPr="00AD37FD">
        <w:rPr>
          <w:rFonts w:ascii="Sylfaen" w:eastAsia="Calibri" w:hAnsi="Sylfaen" w:cs="Times New Roman"/>
          <w:i/>
        </w:rPr>
        <w:t>Int</w:t>
      </w:r>
      <w:r>
        <w:rPr>
          <w:rFonts w:ascii="Sylfaen" w:eastAsia="Calibri" w:hAnsi="Sylfaen" w:cs="Times New Roman"/>
          <w:i/>
        </w:rPr>
        <w:t xml:space="preserve">elligence and National Security, </w:t>
      </w:r>
      <w:r w:rsidR="00AD37FD" w:rsidRPr="00AD37FD">
        <w:rPr>
          <w:rFonts w:ascii="Sylfaen" w:eastAsia="Calibri" w:hAnsi="Sylfaen" w:cs="Times New Roman"/>
        </w:rPr>
        <w:t>21(6), pp. 959-979.</w:t>
      </w:r>
    </w:p>
    <w:p w14:paraId="5C22DB8C" w14:textId="2A580BBD" w:rsidR="00AD37FD" w:rsidRPr="008C0449" w:rsidRDefault="008C0449" w:rsidP="008C0449">
      <w:pPr>
        <w:spacing w:after="160" w:line="360" w:lineRule="auto"/>
        <w:ind w:right="91"/>
        <w:rPr>
          <w:rFonts w:ascii="Sylfaen" w:eastAsia="Calibri" w:hAnsi="Sylfaen" w:cs="Times New Roman"/>
          <w:i/>
        </w:rPr>
      </w:pPr>
      <w:r>
        <w:rPr>
          <w:rFonts w:ascii="Sylfaen" w:eastAsia="Calibri" w:hAnsi="Sylfaen" w:cs="Times New Roman"/>
        </w:rPr>
        <w:t>Janis, I. L. (1982)</w:t>
      </w:r>
      <w:r w:rsidR="00AD37FD" w:rsidRPr="00AD37FD">
        <w:rPr>
          <w:rFonts w:ascii="Sylfaen" w:eastAsia="Calibri" w:hAnsi="Sylfaen" w:cs="Times New Roman"/>
        </w:rPr>
        <w:t xml:space="preserve"> </w:t>
      </w:r>
      <w:r w:rsidR="00AD37FD" w:rsidRPr="00AD37FD">
        <w:rPr>
          <w:rFonts w:ascii="Sylfaen" w:eastAsia="Calibri" w:hAnsi="Sylfaen" w:cs="Times New Roman"/>
          <w:i/>
        </w:rPr>
        <w:t>Groupthink</w:t>
      </w:r>
      <w:r>
        <w:rPr>
          <w:rFonts w:ascii="Sylfaen" w:eastAsia="Calibri" w:hAnsi="Sylfaen" w:cs="Times New Roman"/>
          <w:i/>
        </w:rPr>
        <w:t>.</w:t>
      </w:r>
      <w:r w:rsidR="00AD37FD" w:rsidRPr="00AD37FD">
        <w:rPr>
          <w:rFonts w:ascii="Sylfaen" w:eastAsia="Calibri" w:hAnsi="Sylfaen" w:cs="Times New Roman"/>
          <w:i/>
        </w:rPr>
        <w:t xml:space="preserve"> </w:t>
      </w:r>
      <w:proofErr w:type="gramStart"/>
      <w:r w:rsidR="00AD37FD" w:rsidRPr="008C0449">
        <w:rPr>
          <w:rFonts w:ascii="Sylfaen" w:eastAsia="Calibri" w:hAnsi="Sylfaen" w:cs="Times New Roman"/>
        </w:rPr>
        <w:t>2</w:t>
      </w:r>
      <w:r w:rsidR="00AD37FD" w:rsidRPr="008C0449">
        <w:rPr>
          <w:rFonts w:ascii="Sylfaen" w:eastAsia="Calibri" w:hAnsi="Sylfaen" w:cs="Times New Roman"/>
          <w:vertAlign w:val="superscript"/>
        </w:rPr>
        <w:t>nd</w:t>
      </w:r>
      <w:proofErr w:type="gramEnd"/>
      <w:r w:rsidR="00AD37FD" w:rsidRPr="008C0449">
        <w:rPr>
          <w:rFonts w:ascii="Sylfaen" w:eastAsia="Calibri" w:hAnsi="Sylfaen" w:cs="Times New Roman"/>
          <w:vertAlign w:val="superscript"/>
        </w:rPr>
        <w:t xml:space="preserve"> </w:t>
      </w:r>
      <w:r>
        <w:rPr>
          <w:rFonts w:ascii="Sylfaen" w:eastAsia="Calibri" w:hAnsi="Sylfaen" w:cs="Times New Roman"/>
        </w:rPr>
        <w:t>ed</w:t>
      </w:r>
      <w:r w:rsidR="00AD37FD" w:rsidRPr="00AD37FD">
        <w:rPr>
          <w:rFonts w:ascii="Sylfaen" w:eastAsia="Calibri" w:hAnsi="Sylfaen" w:cs="Times New Roman"/>
          <w:i/>
        </w:rPr>
        <w:t xml:space="preserve">. </w:t>
      </w:r>
      <w:r w:rsidR="00AD37FD" w:rsidRPr="00AD37FD">
        <w:rPr>
          <w:rFonts w:ascii="Sylfaen" w:eastAsia="Calibri" w:hAnsi="Sylfaen" w:cs="Times New Roman"/>
        </w:rPr>
        <w:t>Boston:</w:t>
      </w:r>
      <w:r w:rsidR="00AD37FD" w:rsidRPr="00AD37FD">
        <w:rPr>
          <w:rFonts w:ascii="Sylfaen" w:eastAsia="Calibri" w:hAnsi="Sylfaen" w:cs="Times New Roman"/>
          <w:i/>
        </w:rPr>
        <w:t xml:space="preserve"> </w:t>
      </w:r>
      <w:r w:rsidR="00AD37FD" w:rsidRPr="00AD37FD">
        <w:rPr>
          <w:rFonts w:ascii="Sylfaen" w:eastAsia="Calibri" w:hAnsi="Sylfaen" w:cs="Times New Roman"/>
        </w:rPr>
        <w:t>Houghton Mifflin Company.</w:t>
      </w:r>
    </w:p>
    <w:p w14:paraId="73BD1E48" w14:textId="0167C325" w:rsidR="00AD37FD" w:rsidRPr="008C0449" w:rsidRDefault="008C0449" w:rsidP="008C0449">
      <w:pPr>
        <w:spacing w:after="160" w:line="360" w:lineRule="auto"/>
        <w:ind w:right="91"/>
        <w:rPr>
          <w:rFonts w:ascii="Sylfaen" w:eastAsia="Calibri" w:hAnsi="Sylfaen" w:cs="Times New Roman"/>
          <w:i/>
        </w:rPr>
      </w:pPr>
      <w:r>
        <w:rPr>
          <w:rFonts w:ascii="Sylfaen" w:eastAsia="Calibri" w:hAnsi="Sylfaen" w:cs="Times New Roman"/>
        </w:rPr>
        <w:t>Jervis, R. (2006)</w:t>
      </w:r>
      <w:r w:rsidR="00AD37FD" w:rsidRPr="00AD37FD">
        <w:rPr>
          <w:rFonts w:ascii="Sylfaen" w:eastAsia="Calibri" w:hAnsi="Sylfaen" w:cs="Times New Roman"/>
        </w:rPr>
        <w:t xml:space="preserve"> </w:t>
      </w:r>
      <w:r>
        <w:rPr>
          <w:rFonts w:ascii="Sylfaen" w:eastAsia="Calibri" w:hAnsi="Sylfaen" w:cs="Times New Roman"/>
        </w:rPr>
        <w:t>‘</w:t>
      </w:r>
      <w:r w:rsidR="00AD37FD" w:rsidRPr="00AD37FD">
        <w:rPr>
          <w:rFonts w:ascii="Sylfaen" w:eastAsia="Calibri" w:hAnsi="Sylfaen" w:cs="Times New Roman"/>
        </w:rPr>
        <w:t>Reports, Politics and Intelligence Failures: The Case of Iraq</w:t>
      </w:r>
      <w:r>
        <w:rPr>
          <w:rFonts w:ascii="Sylfaen" w:eastAsia="Calibri" w:hAnsi="Sylfaen" w:cs="Times New Roman"/>
        </w:rPr>
        <w:t>’</w:t>
      </w:r>
      <w:r w:rsidR="00AD37FD" w:rsidRPr="00AD37FD">
        <w:rPr>
          <w:rFonts w:ascii="Sylfaen" w:eastAsia="Calibri" w:hAnsi="Sylfaen" w:cs="Times New Roman"/>
        </w:rPr>
        <w:t xml:space="preserve">, </w:t>
      </w:r>
      <w:r w:rsidR="00AD37FD" w:rsidRPr="00AD37FD">
        <w:rPr>
          <w:rFonts w:ascii="Sylfaen" w:eastAsia="Calibri" w:hAnsi="Sylfaen" w:cs="Times New Roman"/>
          <w:i/>
        </w:rPr>
        <w:t>Journal of Strategic Studies</w:t>
      </w:r>
      <w:r w:rsidR="00AD37FD" w:rsidRPr="00AD37FD">
        <w:rPr>
          <w:rFonts w:ascii="Sylfaen" w:eastAsia="Calibri" w:hAnsi="Sylfaen" w:cs="Times New Roman"/>
        </w:rPr>
        <w:t xml:space="preserve"> </w:t>
      </w:r>
      <w:r>
        <w:rPr>
          <w:rFonts w:ascii="Sylfaen" w:eastAsia="Calibri" w:hAnsi="Sylfaen" w:cs="Times New Roman"/>
        </w:rPr>
        <w:t>29(</w:t>
      </w:r>
      <w:r w:rsidR="00AD37FD" w:rsidRPr="00AD37FD">
        <w:rPr>
          <w:rFonts w:ascii="Sylfaen" w:eastAsia="Calibri" w:hAnsi="Sylfaen" w:cs="Times New Roman"/>
        </w:rPr>
        <w:t>1), pp. 3-52.</w:t>
      </w:r>
      <w:r w:rsidR="00AD37FD" w:rsidRPr="00AD37FD">
        <w:rPr>
          <w:rFonts w:ascii="Sylfaen" w:eastAsia="Calibri" w:hAnsi="Sylfaen" w:cs="Times New Roman"/>
          <w:i/>
        </w:rPr>
        <w:t xml:space="preserve"> </w:t>
      </w:r>
    </w:p>
    <w:p w14:paraId="5C26C21D" w14:textId="2749C61E" w:rsidR="00AD37FD" w:rsidRPr="008C0449" w:rsidRDefault="008C0449" w:rsidP="008C0449">
      <w:pPr>
        <w:spacing w:after="160" w:line="360" w:lineRule="auto"/>
        <w:ind w:right="91"/>
        <w:rPr>
          <w:rFonts w:ascii="Sylfaen" w:eastAsia="Calibri" w:hAnsi="Sylfaen" w:cs="Times New Roman"/>
          <w:i/>
        </w:rPr>
      </w:pPr>
      <w:r>
        <w:rPr>
          <w:rFonts w:ascii="Sylfaen" w:eastAsia="Calibri" w:hAnsi="Sylfaen" w:cs="Times New Roman"/>
        </w:rPr>
        <w:t>Pythian, M. (2006)</w:t>
      </w:r>
      <w:r w:rsidR="00AD37FD" w:rsidRPr="00AD37FD">
        <w:rPr>
          <w:rFonts w:ascii="Sylfaen" w:eastAsia="Calibri" w:hAnsi="Sylfaen" w:cs="Times New Roman"/>
        </w:rPr>
        <w:t xml:space="preserve"> </w:t>
      </w:r>
      <w:r>
        <w:rPr>
          <w:rFonts w:ascii="Sylfaen" w:eastAsia="Calibri" w:hAnsi="Sylfaen" w:cs="Times New Roman"/>
        </w:rPr>
        <w:t>‘</w:t>
      </w:r>
      <w:r w:rsidR="00AD37FD" w:rsidRPr="00AD37FD">
        <w:rPr>
          <w:rFonts w:ascii="Sylfaen" w:eastAsia="Calibri" w:hAnsi="Sylfaen" w:cs="Times New Roman"/>
        </w:rPr>
        <w:t>The Perfect Intelligence Failure? U.S. Pre-War Intelligence of Iraqi Weapons of mass destruction</w:t>
      </w:r>
      <w:r>
        <w:rPr>
          <w:rFonts w:ascii="Sylfaen" w:eastAsia="Calibri" w:hAnsi="Sylfaen" w:cs="Times New Roman"/>
        </w:rPr>
        <w:t>’</w:t>
      </w:r>
      <w:r w:rsidR="00AD37FD" w:rsidRPr="00AD37FD">
        <w:rPr>
          <w:rFonts w:ascii="Sylfaen" w:eastAsia="Calibri" w:hAnsi="Sylfaen" w:cs="Times New Roman"/>
        </w:rPr>
        <w:t xml:space="preserve">, </w:t>
      </w:r>
      <w:r>
        <w:rPr>
          <w:rFonts w:ascii="Sylfaen" w:eastAsia="Calibri" w:hAnsi="Sylfaen" w:cs="Times New Roman"/>
          <w:i/>
        </w:rPr>
        <w:t xml:space="preserve">Politics and Policy, </w:t>
      </w:r>
      <w:r w:rsidRPr="008C0449">
        <w:rPr>
          <w:rFonts w:ascii="Sylfaen" w:eastAsia="Calibri" w:hAnsi="Sylfaen" w:cs="Times New Roman"/>
        </w:rPr>
        <w:t>34(</w:t>
      </w:r>
      <w:r w:rsidR="00AD37FD" w:rsidRPr="008C0449">
        <w:rPr>
          <w:rFonts w:ascii="Sylfaen" w:eastAsia="Calibri" w:hAnsi="Sylfaen" w:cs="Times New Roman"/>
        </w:rPr>
        <w:t>2</w:t>
      </w:r>
      <w:r w:rsidR="00AD37FD" w:rsidRPr="00AD37FD">
        <w:rPr>
          <w:rFonts w:ascii="Sylfaen" w:eastAsia="Calibri" w:hAnsi="Sylfaen" w:cs="Times New Roman"/>
        </w:rPr>
        <w:t>), pp. 400-424.</w:t>
      </w:r>
    </w:p>
    <w:p w14:paraId="372BE57B" w14:textId="3A9AC36A" w:rsidR="00AD37FD" w:rsidRPr="00AD37FD" w:rsidRDefault="008C0449" w:rsidP="008C0449">
      <w:pPr>
        <w:spacing w:after="160" w:line="360" w:lineRule="auto"/>
        <w:ind w:right="91"/>
        <w:rPr>
          <w:rFonts w:ascii="Sylfaen" w:eastAsia="Calibri" w:hAnsi="Sylfaen" w:cs="Times New Roman"/>
          <w:i/>
        </w:rPr>
      </w:pPr>
      <w:r>
        <w:rPr>
          <w:rFonts w:ascii="Sylfaen" w:eastAsia="Calibri" w:hAnsi="Sylfaen" w:cs="Times New Roman"/>
        </w:rPr>
        <w:t xml:space="preserve">Random, R. A. (1993) </w:t>
      </w:r>
      <w:r w:rsidR="00AD37FD" w:rsidRPr="00AD37FD">
        <w:rPr>
          <w:rFonts w:ascii="Sylfaen" w:eastAsia="Calibri" w:hAnsi="Sylfaen" w:cs="Times New Roman"/>
          <w:i/>
        </w:rPr>
        <w:t>Intelligence as a Science</w:t>
      </w:r>
      <w:r>
        <w:rPr>
          <w:rFonts w:ascii="Sylfaen" w:eastAsia="Calibri" w:hAnsi="Sylfaen" w:cs="Times New Roman"/>
        </w:rPr>
        <w:t xml:space="preserve">. Available at: </w:t>
      </w:r>
      <w:hyperlink r:id="rId12" w:history="1">
        <w:r w:rsidR="00AD37FD" w:rsidRPr="00AD37FD">
          <w:rPr>
            <w:rFonts w:ascii="Sylfaen" w:eastAsia="Calibri" w:hAnsi="Sylfaen" w:cs="Times New Roman"/>
            <w:color w:val="0563C1"/>
            <w:u w:val="single"/>
          </w:rPr>
          <w:t>https://www.cia.gov/library/center-for-the-study-of-intelligence/kent-csi/vol2no2/html/v02i2a09p_0001.htm</w:t>
        </w:r>
      </w:hyperlink>
      <w:r>
        <w:rPr>
          <w:rFonts w:ascii="Sylfaen" w:eastAsia="Calibri" w:hAnsi="Sylfaen" w:cs="Times New Roman"/>
        </w:rPr>
        <w:t xml:space="preserve"> (</w:t>
      </w:r>
      <w:r w:rsidR="00AD37FD" w:rsidRPr="00AD37FD">
        <w:rPr>
          <w:rFonts w:ascii="Sylfaen" w:eastAsia="Calibri" w:hAnsi="Sylfaen" w:cs="Times New Roman"/>
        </w:rPr>
        <w:t xml:space="preserve">Accessed </w:t>
      </w:r>
      <w:r>
        <w:rPr>
          <w:rFonts w:ascii="Sylfaen" w:eastAsia="Calibri" w:hAnsi="Sylfaen" w:cs="Times New Roman"/>
        </w:rPr>
        <w:t>25 November 2015)</w:t>
      </w:r>
      <w:r w:rsidR="00AD37FD" w:rsidRPr="00AD37FD">
        <w:rPr>
          <w:rFonts w:ascii="Sylfaen" w:eastAsia="Calibri" w:hAnsi="Sylfaen" w:cs="Times New Roman"/>
        </w:rPr>
        <w:t>.</w:t>
      </w:r>
      <w:r w:rsidR="00AD37FD" w:rsidRPr="00AD37FD">
        <w:rPr>
          <w:rFonts w:ascii="Sylfaen" w:eastAsia="Calibri" w:hAnsi="Sylfaen" w:cs="Times New Roman"/>
          <w:i/>
        </w:rPr>
        <w:t xml:space="preserve"> </w:t>
      </w:r>
    </w:p>
    <w:p w14:paraId="2FF4ECFF" w14:textId="5396F9E2" w:rsidR="00AD37FD" w:rsidRPr="00AD37FD" w:rsidRDefault="00AD37FD" w:rsidP="008C0449">
      <w:pPr>
        <w:spacing w:after="160" w:line="360" w:lineRule="auto"/>
        <w:ind w:right="91"/>
        <w:rPr>
          <w:rFonts w:ascii="Sylfaen" w:eastAsia="Times New Roman" w:hAnsi="Sylfaen" w:cs="Times New Roman"/>
        </w:rPr>
      </w:pPr>
      <w:r w:rsidRPr="00AD37FD">
        <w:rPr>
          <w:rFonts w:ascii="Sylfaen" w:eastAsia="Times New Roman" w:hAnsi="Sylfaen" w:cs="Times New Roman"/>
        </w:rPr>
        <w:t>Si</w:t>
      </w:r>
      <w:r w:rsidR="008C0449">
        <w:rPr>
          <w:rFonts w:ascii="Sylfaen" w:eastAsia="Times New Roman" w:hAnsi="Sylfaen" w:cs="Times New Roman"/>
        </w:rPr>
        <w:t>lberman-Robb Commission. (2005)</w:t>
      </w:r>
      <w:r w:rsidRPr="00AD37FD">
        <w:rPr>
          <w:rFonts w:ascii="Sylfaen" w:eastAsia="Times New Roman" w:hAnsi="Sylfaen" w:cs="Times New Roman"/>
        </w:rPr>
        <w:t xml:space="preserve"> </w:t>
      </w:r>
      <w:proofErr w:type="gramStart"/>
      <w:r w:rsidRPr="00AD37FD">
        <w:rPr>
          <w:rFonts w:ascii="Sylfaen" w:eastAsia="Times New Roman" w:hAnsi="Sylfaen" w:cs="Times New Roman"/>
          <w:i/>
        </w:rPr>
        <w:t>The</w:t>
      </w:r>
      <w:proofErr w:type="gramEnd"/>
      <w:r w:rsidRPr="00AD37FD">
        <w:rPr>
          <w:rFonts w:ascii="Sylfaen" w:eastAsia="Times New Roman" w:hAnsi="Sylfaen" w:cs="Times New Roman"/>
          <w:i/>
        </w:rPr>
        <w:t xml:space="preserve"> Commission on the Intelligence Capabilities of the United States Regarding Weapons of Mass Destruction</w:t>
      </w:r>
      <w:r w:rsidR="008C0449">
        <w:rPr>
          <w:rFonts w:ascii="Sylfaen" w:eastAsia="Times New Roman" w:hAnsi="Sylfaen" w:cs="Times New Roman"/>
        </w:rPr>
        <w:t xml:space="preserve">. Available at: </w:t>
      </w:r>
      <w:hyperlink r:id="rId13" w:history="1">
        <w:r w:rsidRPr="00AD37FD">
          <w:rPr>
            <w:rFonts w:ascii="Sylfaen" w:eastAsia="Times New Roman" w:hAnsi="Sylfaen" w:cs="Times New Roman"/>
            <w:color w:val="0563C1"/>
            <w:u w:val="single"/>
          </w:rPr>
          <w:t>https://fas.org/irp/offdocs/wmd_report.pdf</w:t>
        </w:r>
      </w:hyperlink>
      <w:r w:rsidR="008C0449">
        <w:rPr>
          <w:rFonts w:ascii="Sylfaen" w:eastAsia="Calibri" w:hAnsi="Sylfaen" w:cs="Times New Roman"/>
        </w:rPr>
        <w:t xml:space="preserve"> (Accessed 20 November 2015)</w:t>
      </w:r>
      <w:r w:rsidRPr="00AD37FD">
        <w:rPr>
          <w:rFonts w:ascii="Sylfaen" w:eastAsia="Calibri" w:hAnsi="Sylfaen" w:cs="Times New Roman"/>
        </w:rPr>
        <w:t>.</w:t>
      </w:r>
    </w:p>
    <w:p w14:paraId="1458D10F" w14:textId="03D3D50A" w:rsidR="00AD37FD" w:rsidRPr="008C0449" w:rsidRDefault="00AD37FD" w:rsidP="008C0449">
      <w:pPr>
        <w:spacing w:after="160" w:line="360" w:lineRule="auto"/>
        <w:ind w:right="91"/>
        <w:rPr>
          <w:rFonts w:ascii="Sylfaen" w:eastAsia="Times New Roman" w:hAnsi="Sylfaen" w:cs="Times New Roman"/>
        </w:rPr>
      </w:pPr>
      <w:r w:rsidRPr="00AD37FD">
        <w:rPr>
          <w:rFonts w:ascii="Sylfaen" w:eastAsia="Times New Roman" w:hAnsi="Sylfaen" w:cs="Times New Roman"/>
        </w:rPr>
        <w:t>U.S. Senate, Select Co</w:t>
      </w:r>
      <w:r w:rsidR="008C0449">
        <w:rPr>
          <w:rFonts w:ascii="Sylfaen" w:eastAsia="Times New Roman" w:hAnsi="Sylfaen" w:cs="Times New Roman"/>
        </w:rPr>
        <w:t>mmittee on Intelligence. (2004)</w:t>
      </w:r>
      <w:r w:rsidRPr="00AD37FD">
        <w:rPr>
          <w:rFonts w:ascii="Sylfaen" w:eastAsia="Times New Roman" w:hAnsi="Sylfaen" w:cs="Times New Roman"/>
        </w:rPr>
        <w:t xml:space="preserve"> </w:t>
      </w:r>
      <w:r w:rsidRPr="00AD37FD">
        <w:rPr>
          <w:rFonts w:ascii="Sylfaen" w:eastAsia="Times New Roman" w:hAnsi="Sylfaen" w:cs="Times New Roman"/>
          <w:i/>
        </w:rPr>
        <w:t xml:space="preserve">Report on the US Intelligence Community’s </w:t>
      </w:r>
      <w:proofErr w:type="spellStart"/>
      <w:r w:rsidRPr="00AD37FD">
        <w:rPr>
          <w:rFonts w:ascii="Sylfaen" w:eastAsia="Times New Roman" w:hAnsi="Sylfaen" w:cs="Times New Roman"/>
          <w:i/>
        </w:rPr>
        <w:t>Prewar</w:t>
      </w:r>
      <w:proofErr w:type="spellEnd"/>
      <w:r w:rsidRPr="00AD37FD">
        <w:rPr>
          <w:rFonts w:ascii="Sylfaen" w:eastAsia="Times New Roman" w:hAnsi="Sylfaen" w:cs="Times New Roman"/>
          <w:i/>
        </w:rPr>
        <w:t xml:space="preserve"> Intelligence Assessments on Iraq</w:t>
      </w:r>
      <w:r w:rsidRPr="00AD37FD">
        <w:rPr>
          <w:rFonts w:ascii="Sylfaen" w:eastAsia="Times New Roman" w:hAnsi="Sylfaen" w:cs="Times New Roman"/>
        </w:rPr>
        <w:t xml:space="preserve">. </w:t>
      </w:r>
      <w:r w:rsidR="008C0449">
        <w:rPr>
          <w:rFonts w:ascii="Sylfaen" w:eastAsia="Times New Roman" w:hAnsi="Sylfaen" w:cs="Times New Roman"/>
        </w:rPr>
        <w:t xml:space="preserve">Available at </w:t>
      </w:r>
      <w:hyperlink r:id="rId14" w:history="1">
        <w:r w:rsidRPr="00AD37FD">
          <w:rPr>
            <w:rFonts w:ascii="Sylfaen" w:eastAsia="Times New Roman" w:hAnsi="Sylfaen" w:cs="Times New Roman"/>
            <w:color w:val="0563C1"/>
            <w:u w:val="single"/>
          </w:rPr>
          <w:t>http://fas.org/irp/congress/2004_rpt/ssci_iraq.pdf</w:t>
        </w:r>
      </w:hyperlink>
      <w:r w:rsidR="008C0449">
        <w:rPr>
          <w:rFonts w:ascii="Sylfaen" w:eastAsia="Calibri" w:hAnsi="Sylfaen" w:cs="Times New Roman"/>
        </w:rPr>
        <w:t xml:space="preserve"> (Accessed 25 November 2015).</w:t>
      </w:r>
    </w:p>
    <w:p w14:paraId="22B0177A" w14:textId="54870227" w:rsidR="00AD37FD" w:rsidRPr="00AD37FD" w:rsidRDefault="00AD37FD" w:rsidP="008C0449">
      <w:pPr>
        <w:spacing w:after="160" w:line="360" w:lineRule="auto"/>
        <w:ind w:right="91"/>
        <w:rPr>
          <w:rFonts w:ascii="Sylfaen" w:eastAsia="Calibri" w:hAnsi="Sylfaen" w:cs="Times New Roman"/>
          <w:i/>
        </w:rPr>
      </w:pPr>
      <w:r w:rsidRPr="00AD37FD">
        <w:rPr>
          <w:rFonts w:ascii="Sylfaen" w:eastAsia="Calibri" w:hAnsi="Sylfaen" w:cs="Times New Roman"/>
        </w:rPr>
        <w:t xml:space="preserve">Whaley, B. (1973) </w:t>
      </w:r>
      <w:r w:rsidRPr="00AD37FD">
        <w:rPr>
          <w:rFonts w:ascii="Sylfaen" w:eastAsia="Calibri" w:hAnsi="Sylfaen" w:cs="Times New Roman"/>
          <w:i/>
        </w:rPr>
        <w:t>Codeword Barbarossa.</w:t>
      </w:r>
      <w:r w:rsidRPr="00AD37FD">
        <w:rPr>
          <w:rFonts w:ascii="Sylfaen" w:eastAsia="Calibri" w:hAnsi="Sylfaen" w:cs="Times New Roman"/>
        </w:rPr>
        <w:t xml:space="preserve"> Cambridge, MA: The MIT Press.</w:t>
      </w:r>
    </w:p>
    <w:p w14:paraId="33A41FC6" w14:textId="610681DE" w:rsidR="00EA7662" w:rsidRPr="00DF421D" w:rsidRDefault="00AD37FD" w:rsidP="008C0449">
      <w:pPr>
        <w:spacing w:after="160" w:line="360" w:lineRule="auto"/>
        <w:ind w:right="91"/>
        <w:rPr>
          <w:rFonts w:ascii="Sylfaen" w:eastAsia="Times New Roman" w:hAnsi="Sylfaen" w:cs="Times New Roman"/>
          <w:i/>
        </w:rPr>
      </w:pPr>
      <w:proofErr w:type="spellStart"/>
      <w:r w:rsidRPr="00AD37FD">
        <w:rPr>
          <w:rFonts w:ascii="Sylfaen" w:eastAsia="Calibri" w:hAnsi="Sylfaen" w:cs="Times New Roman"/>
        </w:rPr>
        <w:t>Wohlsetter</w:t>
      </w:r>
      <w:proofErr w:type="spellEnd"/>
      <w:r w:rsidRPr="00AD37FD">
        <w:rPr>
          <w:rFonts w:ascii="Sylfaen" w:eastAsia="Calibri" w:hAnsi="Sylfaen" w:cs="Times New Roman"/>
        </w:rPr>
        <w:t xml:space="preserve">, R. (1962) </w:t>
      </w:r>
      <w:r w:rsidRPr="00AD37FD">
        <w:rPr>
          <w:rFonts w:ascii="Sylfaen" w:eastAsia="Times New Roman" w:hAnsi="Sylfaen" w:cs="Times New Roman"/>
          <w:i/>
        </w:rPr>
        <w:t xml:space="preserve">Pearl </w:t>
      </w:r>
      <w:proofErr w:type="spellStart"/>
      <w:r w:rsidRPr="00AD37FD">
        <w:rPr>
          <w:rFonts w:ascii="Sylfaen" w:eastAsia="Times New Roman" w:hAnsi="Sylfaen" w:cs="Times New Roman"/>
          <w:i/>
        </w:rPr>
        <w:t>Harbor</w:t>
      </w:r>
      <w:proofErr w:type="spellEnd"/>
      <w:r w:rsidRPr="00AD37FD">
        <w:rPr>
          <w:rFonts w:ascii="Sylfaen" w:eastAsia="Times New Roman" w:hAnsi="Sylfaen" w:cs="Times New Roman"/>
          <w:i/>
        </w:rPr>
        <w:t>: Warning and Decision.</w:t>
      </w:r>
      <w:r w:rsidRPr="00AD37FD">
        <w:rPr>
          <w:rFonts w:ascii="Sylfaen" w:eastAsia="Times New Roman" w:hAnsi="Sylfaen" w:cs="Times New Roman"/>
        </w:rPr>
        <w:t xml:space="preserve"> California: Stanford University Press.</w:t>
      </w:r>
    </w:p>
    <w:sectPr w:rsidR="00EA7662" w:rsidRPr="00DF421D" w:rsidSect="00BE6334">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1854" w14:textId="77777777" w:rsidR="00C6129B" w:rsidRDefault="00C6129B" w:rsidP="002B247D">
      <w:pPr>
        <w:spacing w:after="0" w:line="240" w:lineRule="auto"/>
      </w:pPr>
      <w:r>
        <w:separator/>
      </w:r>
    </w:p>
  </w:endnote>
  <w:endnote w:type="continuationSeparator" w:id="0">
    <w:p w14:paraId="7D71167B" w14:textId="77777777" w:rsidR="00C6129B" w:rsidRDefault="00C6129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5B69B81F" w14:textId="77777777" w:rsidR="00E83D55" w:rsidRDefault="00E83D55">
        <w:pPr>
          <w:pStyle w:val="Footer"/>
          <w:jc w:val="center"/>
        </w:pPr>
      </w:p>
      <w:p w14:paraId="23E5D4B5" w14:textId="4A8DD003" w:rsidR="00E83D55" w:rsidRDefault="00C6129B">
        <w:pPr>
          <w:pStyle w:val="Footer"/>
          <w:jc w:val="center"/>
        </w:pPr>
        <w:r>
          <w:pict w14:anchorId="3EAE94C3">
            <v:rect id="_x0000_i1026" style="width:0;height:1.5pt" o:hralign="center" o:hrstd="t" o:hr="t" fillcolor="#a0a0a0" stroked="f"/>
          </w:pict>
        </w:r>
      </w:p>
      <w:p w14:paraId="3655714B" w14:textId="7FFDD15D" w:rsidR="00BE6334" w:rsidRPr="00E83D55" w:rsidRDefault="00BE6334">
        <w:pPr>
          <w:pStyle w:val="Footer"/>
          <w:jc w:val="center"/>
          <w:rPr>
            <w:rFonts w:ascii="Sylfaen" w:hAnsi="Sylfaen"/>
            <w:noProof/>
          </w:rPr>
        </w:pPr>
        <w:r w:rsidRPr="00E83D55">
          <w:rPr>
            <w:rFonts w:ascii="Sylfaen" w:hAnsi="Sylfaen"/>
          </w:rPr>
          <w:fldChar w:fldCharType="begin"/>
        </w:r>
        <w:r w:rsidRPr="00E83D55">
          <w:rPr>
            <w:rFonts w:ascii="Sylfaen" w:hAnsi="Sylfaen"/>
          </w:rPr>
          <w:instrText xml:space="preserve"> PAGE   \* MERGEFORMAT </w:instrText>
        </w:r>
        <w:r w:rsidRPr="00E83D55">
          <w:rPr>
            <w:rFonts w:ascii="Sylfaen" w:hAnsi="Sylfaen"/>
          </w:rPr>
          <w:fldChar w:fldCharType="separate"/>
        </w:r>
        <w:r w:rsidR="00271D50">
          <w:rPr>
            <w:rFonts w:ascii="Sylfaen" w:hAnsi="Sylfaen"/>
            <w:noProof/>
          </w:rPr>
          <w:t>6</w:t>
        </w:r>
        <w:r w:rsidRPr="00E83D55">
          <w:rPr>
            <w:rFonts w:ascii="Sylfaen" w:hAnsi="Sylfaen"/>
            <w:noProof/>
          </w:rPr>
          <w:fldChar w:fldCharType="end"/>
        </w:r>
      </w:p>
      <w:p w14:paraId="01B5BDD7" w14:textId="1990109E" w:rsidR="00BE6334" w:rsidRPr="00E83D55" w:rsidRDefault="00BE6334">
        <w:pPr>
          <w:pStyle w:val="Footer"/>
          <w:jc w:val="center"/>
          <w:rPr>
            <w:rFonts w:ascii="Sylfaen" w:hAnsi="Sylfaen"/>
            <w:sz w:val="20"/>
            <w:szCs w:val="20"/>
          </w:rPr>
        </w:pPr>
        <w:r w:rsidRPr="00E83D55">
          <w:rPr>
            <w:rFonts w:ascii="Sylfaen" w:hAnsi="Sylfaen"/>
            <w:noProof/>
            <w:sz w:val="20"/>
            <w:szCs w:val="20"/>
          </w:rPr>
          <w:t xml:space="preserve">This article is CC BY </w:t>
        </w:r>
        <w:r w:rsidR="00AD37FD" w:rsidRPr="00E83D55">
          <w:rPr>
            <w:rFonts w:ascii="Sylfaen" w:hAnsi="Sylfaen"/>
            <w:noProof/>
            <w:sz w:val="20"/>
            <w:szCs w:val="20"/>
          </w:rPr>
          <w:t>Marthe Kielland R</w:t>
        </w:r>
        <w:r w:rsidR="00AD37FD" w:rsidRPr="00E83D55">
          <w:rPr>
            <w:rFonts w:ascii="Sylfaen" w:hAnsi="Sylfaen" w:cstheme="minorHAnsi"/>
            <w:noProof/>
            <w:sz w:val="20"/>
            <w:szCs w:val="20"/>
          </w:rPr>
          <w:t>ø</w:t>
        </w:r>
        <w:r w:rsidR="00AD37FD" w:rsidRPr="00E83D55">
          <w:rPr>
            <w:rFonts w:ascii="Sylfaen" w:hAnsi="Sylfaen"/>
            <w:noProof/>
            <w:sz w:val="20"/>
            <w:szCs w:val="20"/>
          </w:rPr>
          <w:t>ssaak</w:t>
        </w:r>
        <w:r w:rsidRPr="00E83D55">
          <w:rPr>
            <w:rFonts w:ascii="Sylfaen" w:hAnsi="Sylfaen"/>
            <w:noProof/>
            <w:sz w:val="20"/>
            <w:szCs w:val="20"/>
          </w:rPr>
          <w:tab/>
        </w:r>
        <w:r w:rsidRPr="00E83D55">
          <w:rPr>
            <w:rFonts w:ascii="Sylfaen" w:hAnsi="Sylfaen"/>
            <w:noProof/>
            <w:sz w:val="20"/>
            <w:szCs w:val="20"/>
          </w:rPr>
          <w:tab/>
          <w:t>Essex Student Journal, 201</w:t>
        </w:r>
        <w:r w:rsidR="00D4284D" w:rsidRPr="00E83D55">
          <w:rPr>
            <w:rFonts w:ascii="Sylfaen" w:hAnsi="Sylfaen"/>
            <w:noProof/>
            <w:sz w:val="20"/>
            <w:szCs w:val="20"/>
          </w:rPr>
          <w:t>7</w:t>
        </w:r>
        <w:r w:rsidRPr="00E83D55">
          <w:rPr>
            <w:rFonts w:ascii="Sylfaen" w:hAnsi="Sylfaen"/>
            <w:noProof/>
            <w:sz w:val="20"/>
            <w:szCs w:val="20"/>
          </w:rPr>
          <w:t xml:space="preserve">, Vol </w:t>
        </w:r>
        <w:r w:rsidR="00D4284D" w:rsidRPr="00E83D55">
          <w:rPr>
            <w:rFonts w:ascii="Sylfaen" w:hAnsi="Sylfaen"/>
            <w:noProof/>
            <w:sz w:val="20"/>
            <w:szCs w:val="20"/>
          </w:rPr>
          <w:t>9</w:t>
        </w:r>
        <w:r w:rsidRPr="00E83D55">
          <w:rPr>
            <w:rFonts w:ascii="Sylfaen" w:hAnsi="Sylfaen"/>
            <w:noProof/>
            <w:sz w:val="20"/>
            <w:szCs w:val="20"/>
          </w:rPr>
          <w:t>.</w:t>
        </w:r>
      </w:p>
    </w:sdtContent>
  </w:sdt>
  <w:p w14:paraId="793C577F" w14:textId="2DAE2218" w:rsidR="00BE6334" w:rsidRPr="00E83D55" w:rsidRDefault="00BE6334">
    <w:pPr>
      <w:pStyle w:val="Footer"/>
      <w:rPr>
        <w:rFonts w:ascii="Sylfaen" w:hAnsi="Sylfaen"/>
        <w:sz w:val="20"/>
        <w:szCs w:val="20"/>
      </w:rPr>
    </w:pPr>
    <w:r w:rsidRPr="00E83D55">
      <w:rPr>
        <w:rFonts w:ascii="Sylfaen" w:hAnsi="Sylfaen"/>
        <w:sz w:val="20"/>
        <w:szCs w:val="20"/>
      </w:rPr>
      <w:t xml:space="preserve">DOI: </w:t>
    </w:r>
    <w:hyperlink r:id="rId1" w:history="1">
      <w:r w:rsidR="00AD37FD" w:rsidRPr="00E83D55">
        <w:rPr>
          <w:rStyle w:val="Hyperlink"/>
          <w:rFonts w:ascii="Sylfaen" w:hAnsi="Sylfaen"/>
          <w:sz w:val="20"/>
          <w:szCs w:val="20"/>
        </w:rPr>
        <w:t>https://doi.org/10.5526/esj24</w:t>
      </w:r>
    </w:hyperlink>
    <w:r w:rsidR="00AD37FD" w:rsidRPr="00E83D55">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6901FB7A" w14:textId="77777777" w:rsidR="00E83D55" w:rsidRDefault="00E83D55" w:rsidP="00BE6334">
        <w:pPr>
          <w:pStyle w:val="Footer"/>
          <w:jc w:val="center"/>
        </w:pPr>
      </w:p>
      <w:p w14:paraId="4439CD53" w14:textId="7886B042" w:rsidR="00E83D55" w:rsidRDefault="00C6129B" w:rsidP="00BE6334">
        <w:pPr>
          <w:pStyle w:val="Footer"/>
          <w:jc w:val="center"/>
        </w:pPr>
        <w:r>
          <w:pict w14:anchorId="6224BC46">
            <v:rect id="_x0000_i1027" style="width:0;height:1.5pt" o:hralign="center" o:hrstd="t" o:hr="t" fillcolor="#a0a0a0" stroked="f"/>
          </w:pict>
        </w:r>
      </w:p>
      <w:p w14:paraId="17E0F48F" w14:textId="01CBDAF0" w:rsidR="00BE6334" w:rsidRPr="00E83D55" w:rsidRDefault="00BE6334" w:rsidP="00BE6334">
        <w:pPr>
          <w:pStyle w:val="Footer"/>
          <w:jc w:val="center"/>
          <w:rPr>
            <w:rFonts w:ascii="Sylfaen" w:hAnsi="Sylfaen"/>
            <w:noProof/>
          </w:rPr>
        </w:pPr>
        <w:r w:rsidRPr="00E83D55">
          <w:rPr>
            <w:rFonts w:ascii="Sylfaen" w:hAnsi="Sylfaen"/>
          </w:rPr>
          <w:fldChar w:fldCharType="begin"/>
        </w:r>
        <w:r w:rsidRPr="00E83D55">
          <w:rPr>
            <w:rFonts w:ascii="Sylfaen" w:hAnsi="Sylfaen"/>
          </w:rPr>
          <w:instrText xml:space="preserve"> PAGE   \* MERGEFORMAT </w:instrText>
        </w:r>
        <w:r w:rsidRPr="00E83D55">
          <w:rPr>
            <w:rFonts w:ascii="Sylfaen" w:hAnsi="Sylfaen"/>
          </w:rPr>
          <w:fldChar w:fldCharType="separate"/>
        </w:r>
        <w:r w:rsidR="00271D50">
          <w:rPr>
            <w:rFonts w:ascii="Sylfaen" w:hAnsi="Sylfaen"/>
            <w:noProof/>
          </w:rPr>
          <w:t>1</w:t>
        </w:r>
        <w:r w:rsidRPr="00E83D55">
          <w:rPr>
            <w:rFonts w:ascii="Sylfaen" w:hAnsi="Sylfaen"/>
            <w:noProof/>
          </w:rPr>
          <w:fldChar w:fldCharType="end"/>
        </w:r>
      </w:p>
      <w:p w14:paraId="2C12D576" w14:textId="6B288D7F" w:rsidR="00BE6334" w:rsidRPr="00E83D55" w:rsidRDefault="00BE6334" w:rsidP="00BE6334">
        <w:pPr>
          <w:pStyle w:val="Footer"/>
          <w:jc w:val="center"/>
          <w:rPr>
            <w:rFonts w:ascii="Sylfaen" w:hAnsi="Sylfaen"/>
            <w:sz w:val="20"/>
            <w:szCs w:val="20"/>
          </w:rPr>
        </w:pPr>
        <w:r w:rsidRPr="00E83D55">
          <w:rPr>
            <w:rFonts w:ascii="Sylfaen" w:hAnsi="Sylfaen"/>
            <w:noProof/>
            <w:sz w:val="20"/>
            <w:szCs w:val="20"/>
          </w:rPr>
          <w:t>This article is CC BY</w:t>
        </w:r>
        <w:r w:rsidR="0020222F" w:rsidRPr="00E83D55">
          <w:rPr>
            <w:rFonts w:ascii="Sylfaen" w:hAnsi="Sylfaen"/>
            <w:noProof/>
            <w:sz w:val="20"/>
            <w:szCs w:val="20"/>
          </w:rPr>
          <w:t xml:space="preserve"> </w:t>
        </w:r>
        <w:r w:rsidR="00AD37FD" w:rsidRPr="00E83D55">
          <w:rPr>
            <w:rFonts w:ascii="Sylfaen" w:hAnsi="Sylfaen"/>
            <w:noProof/>
            <w:sz w:val="20"/>
            <w:szCs w:val="20"/>
          </w:rPr>
          <w:t>Marthe Kielland R</w:t>
        </w:r>
        <w:r w:rsidR="00AD37FD" w:rsidRPr="00E83D55">
          <w:rPr>
            <w:rFonts w:ascii="Sylfaen" w:hAnsi="Sylfaen" w:cstheme="minorHAnsi"/>
            <w:noProof/>
            <w:sz w:val="20"/>
            <w:szCs w:val="20"/>
          </w:rPr>
          <w:t>ø</w:t>
        </w:r>
        <w:r w:rsidR="00AD37FD" w:rsidRPr="00E83D55">
          <w:rPr>
            <w:rFonts w:ascii="Sylfaen" w:hAnsi="Sylfaen"/>
            <w:noProof/>
            <w:sz w:val="20"/>
            <w:szCs w:val="20"/>
          </w:rPr>
          <w:t xml:space="preserve">ssaak </w:t>
        </w:r>
        <w:r w:rsidRPr="00E83D55">
          <w:rPr>
            <w:rFonts w:ascii="Sylfaen" w:hAnsi="Sylfaen"/>
            <w:noProof/>
            <w:sz w:val="20"/>
            <w:szCs w:val="20"/>
          </w:rPr>
          <w:tab/>
        </w:r>
        <w:r w:rsidRPr="00E83D55">
          <w:rPr>
            <w:rFonts w:ascii="Sylfaen" w:hAnsi="Sylfaen"/>
            <w:noProof/>
            <w:sz w:val="20"/>
            <w:szCs w:val="20"/>
          </w:rPr>
          <w:tab/>
          <w:t>Essex Student Journal, 201</w:t>
        </w:r>
        <w:r w:rsidR="00D4284D" w:rsidRPr="00E83D55">
          <w:rPr>
            <w:rFonts w:ascii="Sylfaen" w:hAnsi="Sylfaen"/>
            <w:noProof/>
            <w:sz w:val="20"/>
            <w:szCs w:val="20"/>
          </w:rPr>
          <w:t>7</w:t>
        </w:r>
        <w:r w:rsidRPr="00E83D55">
          <w:rPr>
            <w:rFonts w:ascii="Sylfaen" w:hAnsi="Sylfaen"/>
            <w:noProof/>
            <w:sz w:val="20"/>
            <w:szCs w:val="20"/>
          </w:rPr>
          <w:t>, Vol</w:t>
        </w:r>
        <w:r w:rsidR="00D4284D" w:rsidRPr="00E83D55">
          <w:rPr>
            <w:rFonts w:ascii="Sylfaen" w:hAnsi="Sylfaen"/>
            <w:noProof/>
            <w:sz w:val="20"/>
            <w:szCs w:val="20"/>
          </w:rPr>
          <w:t xml:space="preserve"> 9</w:t>
        </w:r>
        <w:r w:rsidRPr="00E83D55">
          <w:rPr>
            <w:rFonts w:ascii="Sylfaen" w:hAnsi="Sylfaen"/>
            <w:noProof/>
            <w:sz w:val="20"/>
            <w:szCs w:val="20"/>
          </w:rPr>
          <w:t>.</w:t>
        </w:r>
      </w:p>
    </w:sdtContent>
  </w:sdt>
  <w:p w14:paraId="6519B2B9" w14:textId="18B5506B" w:rsidR="001E5540" w:rsidRPr="00E83D55" w:rsidRDefault="00BE6334">
    <w:pPr>
      <w:pStyle w:val="Footer"/>
      <w:rPr>
        <w:rFonts w:ascii="Sylfaen" w:hAnsi="Sylfaen"/>
        <w:sz w:val="20"/>
        <w:szCs w:val="20"/>
      </w:rPr>
    </w:pPr>
    <w:r w:rsidRPr="00E83D55">
      <w:rPr>
        <w:rFonts w:ascii="Sylfaen" w:hAnsi="Sylfaen"/>
        <w:sz w:val="20"/>
        <w:szCs w:val="20"/>
      </w:rPr>
      <w:t xml:space="preserve">DOI: </w:t>
    </w:r>
    <w:hyperlink r:id="rId1" w:history="1">
      <w:r w:rsidR="00AD37FD" w:rsidRPr="00E83D55">
        <w:rPr>
          <w:rStyle w:val="Hyperlink"/>
          <w:rFonts w:ascii="Sylfaen" w:hAnsi="Sylfaen"/>
          <w:sz w:val="20"/>
          <w:szCs w:val="20"/>
        </w:rPr>
        <w:t>https://doi.org/10.5526/esj24</w:t>
      </w:r>
    </w:hyperlink>
    <w:r w:rsidR="00AD37FD" w:rsidRPr="00E83D55">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5912" w14:textId="77777777" w:rsidR="00C6129B" w:rsidRDefault="00C6129B" w:rsidP="002B247D">
      <w:pPr>
        <w:spacing w:after="0" w:line="240" w:lineRule="auto"/>
      </w:pPr>
      <w:r>
        <w:separator/>
      </w:r>
    </w:p>
  </w:footnote>
  <w:footnote w:type="continuationSeparator" w:id="0">
    <w:p w14:paraId="5816746C" w14:textId="77777777" w:rsidR="00C6129B" w:rsidRDefault="00C6129B"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0BF4F81" w:rsidR="002B247D" w:rsidRPr="00E83D55" w:rsidRDefault="00AD37FD">
    <w:pPr>
      <w:pStyle w:val="Header"/>
      <w:rPr>
        <w:rFonts w:ascii="Sylfaen" w:hAnsi="Sylfaen"/>
      </w:rPr>
    </w:pPr>
    <w:r w:rsidRPr="00E83D55">
      <w:rPr>
        <w:rFonts w:ascii="Sylfaen" w:hAnsi="Sylfaen"/>
      </w:rPr>
      <w:t>Searching for Weapons of Mass Destruction: US Intelligence Failure in the 2003 Invasion of Iraq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2"/>
  </w:num>
  <w:num w:numId="7">
    <w:abstractNumId w:val="1"/>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917BF"/>
    <w:rsid w:val="001E5540"/>
    <w:rsid w:val="0020222F"/>
    <w:rsid w:val="00240FC1"/>
    <w:rsid w:val="00271D50"/>
    <w:rsid w:val="002B247D"/>
    <w:rsid w:val="00331418"/>
    <w:rsid w:val="00355BD8"/>
    <w:rsid w:val="00374289"/>
    <w:rsid w:val="00396A37"/>
    <w:rsid w:val="003D7268"/>
    <w:rsid w:val="00435FEC"/>
    <w:rsid w:val="00480ACF"/>
    <w:rsid w:val="004A1B0B"/>
    <w:rsid w:val="004E77C0"/>
    <w:rsid w:val="004F04C9"/>
    <w:rsid w:val="005364B0"/>
    <w:rsid w:val="005D15F2"/>
    <w:rsid w:val="005D3746"/>
    <w:rsid w:val="006653FE"/>
    <w:rsid w:val="006B45AF"/>
    <w:rsid w:val="006D67F4"/>
    <w:rsid w:val="00724819"/>
    <w:rsid w:val="008C0449"/>
    <w:rsid w:val="008D7050"/>
    <w:rsid w:val="009A0883"/>
    <w:rsid w:val="009F4888"/>
    <w:rsid w:val="00A10993"/>
    <w:rsid w:val="00A24878"/>
    <w:rsid w:val="00A538B5"/>
    <w:rsid w:val="00AD37FD"/>
    <w:rsid w:val="00AE7E62"/>
    <w:rsid w:val="00B322FB"/>
    <w:rsid w:val="00B77266"/>
    <w:rsid w:val="00BA4AF7"/>
    <w:rsid w:val="00BC0C64"/>
    <w:rsid w:val="00BE6334"/>
    <w:rsid w:val="00C2271C"/>
    <w:rsid w:val="00C34E81"/>
    <w:rsid w:val="00C4128C"/>
    <w:rsid w:val="00C6129B"/>
    <w:rsid w:val="00C71792"/>
    <w:rsid w:val="00C73221"/>
    <w:rsid w:val="00CC529E"/>
    <w:rsid w:val="00D4284D"/>
    <w:rsid w:val="00DF421D"/>
    <w:rsid w:val="00E355F6"/>
    <w:rsid w:val="00E837BC"/>
    <w:rsid w:val="00E83D55"/>
    <w:rsid w:val="00EA7662"/>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offices-of-cia/intelligence-analysis/what-we-do.html" TargetMode="External"/><Relationship Id="rId13" Type="http://schemas.openxmlformats.org/officeDocument/2006/relationships/hyperlink" Target="https://fas.org/irp/offdocs/wmd_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a.gov/library/center-for-the-study-of-intelligence/kent-csi/vol2no2/html/v02i2a09p_0001.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wp-dyn/content/article/2004/03/20/AR200504020623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ybooks.com/articles/2005/06/09/the-secret-way-to-w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rnegieendowment.org/files/Iraq3FullText.pdf" TargetMode="External"/><Relationship Id="rId14" Type="http://schemas.openxmlformats.org/officeDocument/2006/relationships/hyperlink" Target="http://fas.org/irp/congress/2004_rpt/ssci_iraq.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38646C92-BB02-48C9-90C2-57E3B9A7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for Weapons of Mass Destruction: US Intelligence Failure in the 2003 Invasion of Iraq</dc:title>
  <dc:subject/>
  <dc:creator>Sundsbo, Katrine</dc:creator>
  <cp:keywords/>
  <dc:description/>
  <cp:lastModifiedBy>Pyman, Hannah R</cp:lastModifiedBy>
  <cp:revision>7</cp:revision>
  <cp:lastPrinted>2020-04-06T11:03:00Z</cp:lastPrinted>
  <dcterms:created xsi:type="dcterms:W3CDTF">2020-03-19T12:19:00Z</dcterms:created>
  <dcterms:modified xsi:type="dcterms:W3CDTF">2020-04-06T11:04:00Z</dcterms:modified>
</cp:coreProperties>
</file>