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3896D435" w:rsidR="00A538B5" w:rsidRPr="008D471A" w:rsidRDefault="0036695E" w:rsidP="008D471A">
      <w:pPr>
        <w:pBdr>
          <w:bottom w:val="single" w:sz="4" w:space="1" w:color="auto"/>
        </w:pBdr>
        <w:tabs>
          <w:tab w:val="right" w:pos="9026"/>
        </w:tabs>
        <w:spacing w:before="120" w:after="120" w:line="360" w:lineRule="auto"/>
        <w:jc w:val="both"/>
        <w:rPr>
          <w:rFonts w:ascii="Sylfaen" w:hAnsi="Sylfaen"/>
          <w:i/>
          <w:color w:val="000000" w:themeColor="text1"/>
        </w:rPr>
      </w:pPr>
      <w:r w:rsidRPr="008D471A">
        <w:rPr>
          <w:rFonts w:ascii="Sylfaen" w:hAnsi="Sylfaen"/>
          <w:i/>
          <w:color w:val="000000" w:themeColor="text1"/>
        </w:rPr>
        <w:t>Essay</w:t>
      </w:r>
      <w:r w:rsidR="00990D5E" w:rsidRPr="008D471A">
        <w:rPr>
          <w:rFonts w:ascii="Sylfaen" w:hAnsi="Sylfaen"/>
          <w:i/>
          <w:color w:val="000000" w:themeColor="text1"/>
        </w:rPr>
        <w:t xml:space="preserve"> </w:t>
      </w:r>
      <w:r w:rsidR="00A538B5" w:rsidRPr="008D471A">
        <w:rPr>
          <w:rFonts w:ascii="Sylfaen" w:hAnsi="Sylfaen"/>
          <w:i/>
          <w:color w:val="000000" w:themeColor="text1"/>
        </w:rPr>
        <w:tab/>
      </w:r>
    </w:p>
    <w:p w14:paraId="367D7289" w14:textId="77777777" w:rsidR="00FD48CB" w:rsidRPr="00FD48CB" w:rsidRDefault="00FD48CB" w:rsidP="00FD48CB">
      <w:pPr>
        <w:spacing w:after="0"/>
        <w:rPr>
          <w:rFonts w:ascii="Sylfaen" w:hAnsi="Sylfaen" w:cs="Times New Roman"/>
          <w:sz w:val="48"/>
          <w:szCs w:val="48"/>
        </w:rPr>
      </w:pPr>
      <w:r w:rsidRPr="00FD48CB">
        <w:rPr>
          <w:rFonts w:ascii="Sylfaen" w:hAnsi="Sylfaen" w:cs="Times New Roman"/>
          <w:sz w:val="48"/>
          <w:szCs w:val="48"/>
        </w:rPr>
        <w:t xml:space="preserve">Captain Bush and the White Whale of Mass Destruction: </w:t>
      </w:r>
      <w:r w:rsidRPr="00FD48CB">
        <w:rPr>
          <w:rFonts w:ascii="Sylfaen" w:hAnsi="Sylfaen" w:cs="Times New Roman"/>
          <w:i/>
          <w:iCs/>
          <w:sz w:val="48"/>
          <w:szCs w:val="48"/>
        </w:rPr>
        <w:t>Moby-Dick</w:t>
      </w:r>
      <w:r w:rsidRPr="00FD48CB">
        <w:rPr>
          <w:rFonts w:ascii="Sylfaen" w:hAnsi="Sylfaen" w:cs="Times New Roman"/>
          <w:sz w:val="48"/>
          <w:szCs w:val="48"/>
        </w:rPr>
        <w:t xml:space="preserve"> as a Meditation on America</w:t>
      </w:r>
    </w:p>
    <w:p w14:paraId="20FD54AB" w14:textId="30117685" w:rsidR="002B25F7" w:rsidRPr="00FD48CB" w:rsidRDefault="00FD48CB" w:rsidP="008D471A">
      <w:pPr>
        <w:spacing w:before="120" w:after="120" w:line="360" w:lineRule="auto"/>
        <w:jc w:val="both"/>
        <w:rPr>
          <w:rFonts w:ascii="Sylfaen" w:hAnsi="Sylfaen"/>
          <w:noProof/>
          <w:sz w:val="20"/>
          <w:szCs w:val="20"/>
        </w:rPr>
      </w:pPr>
      <w:r>
        <w:rPr>
          <w:rFonts w:ascii="Sylfaen" w:hAnsi="Sylfaen"/>
          <w:noProof/>
          <w:sz w:val="20"/>
          <w:szCs w:val="20"/>
        </w:rPr>
        <w:t>Frazer Merritt</w:t>
      </w:r>
    </w:p>
    <w:p w14:paraId="2A35EB5D" w14:textId="0E92636F" w:rsidR="002B247D" w:rsidRPr="008D471A" w:rsidRDefault="002B247D" w:rsidP="008D471A">
      <w:pPr>
        <w:spacing w:before="120" w:after="120" w:line="360" w:lineRule="auto"/>
        <w:jc w:val="both"/>
        <w:rPr>
          <w:rFonts w:ascii="Sylfaen" w:hAnsi="Sylfaen"/>
          <w:color w:val="000000" w:themeColor="text1"/>
        </w:rPr>
      </w:pPr>
      <w:r w:rsidRPr="008D471A">
        <w:rPr>
          <w:rFonts w:ascii="Sylfaen" w:hAnsi="Sylfaen"/>
          <w:color w:val="000000" w:themeColor="text1"/>
        </w:rPr>
        <w:t>University of Essex</w:t>
      </w:r>
      <w:r w:rsidR="00944D28">
        <w:rPr>
          <w:rFonts w:ascii="Sylfaen" w:hAnsi="Sylfaen"/>
          <w:noProof/>
          <w:color w:val="000000" w:themeColor="text1"/>
        </w:rPr>
        <w:pict w14:anchorId="03B1286F">
          <v:rect id="_x0000_i1025" alt="" style="width:451.3pt;height:.05pt;mso-width-percent:0;mso-height-percent:0;mso-width-percent:0;mso-height-percent:0" o:hralign="center" o:hrstd="t" o:hr="t" fillcolor="#a0a0a0" stroked="f"/>
        </w:pict>
      </w:r>
    </w:p>
    <w:p w14:paraId="42AE1F70" w14:textId="44BF30BC" w:rsidR="00240FC1" w:rsidRPr="008D471A" w:rsidRDefault="00331418" w:rsidP="008D471A">
      <w:pPr>
        <w:pStyle w:val="Heading1"/>
        <w:spacing w:before="120" w:after="120" w:line="360" w:lineRule="auto"/>
        <w:jc w:val="both"/>
        <w:rPr>
          <w:rFonts w:ascii="Sylfaen" w:hAnsi="Sylfaen"/>
          <w:b/>
          <w:color w:val="000000" w:themeColor="text1"/>
          <w:sz w:val="22"/>
          <w:szCs w:val="22"/>
        </w:rPr>
      </w:pPr>
      <w:r w:rsidRPr="008D471A">
        <w:rPr>
          <w:rFonts w:ascii="Sylfaen" w:hAnsi="Sylfaen"/>
          <w:b/>
          <w:color w:val="000000" w:themeColor="text1"/>
          <w:sz w:val="22"/>
          <w:szCs w:val="22"/>
        </w:rPr>
        <w:t>Abstract</w:t>
      </w:r>
    </w:p>
    <w:p w14:paraId="6A6BEC95" w14:textId="77777777" w:rsidR="00242733" w:rsidRPr="00242733" w:rsidRDefault="00242733" w:rsidP="00242733">
      <w:pPr>
        <w:spacing w:after="0" w:line="360" w:lineRule="auto"/>
        <w:ind w:right="-46"/>
        <w:jc w:val="both"/>
        <w:rPr>
          <w:rFonts w:ascii="Sylfaen" w:hAnsi="Sylfaen"/>
        </w:rPr>
      </w:pPr>
      <w:r w:rsidRPr="00242733">
        <w:rPr>
          <w:rFonts w:ascii="Sylfaen" w:hAnsi="Sylfaen"/>
        </w:rPr>
        <w:t xml:space="preserve">Since its publication 160 years ago, Herman Melville’s </w:t>
      </w:r>
      <w:r w:rsidRPr="00242733">
        <w:rPr>
          <w:rFonts w:ascii="Sylfaen" w:hAnsi="Sylfaen"/>
          <w:i/>
          <w:iCs/>
        </w:rPr>
        <w:t>Moby-Dick</w:t>
      </w:r>
      <w:r w:rsidRPr="00242733">
        <w:rPr>
          <w:rFonts w:ascii="Sylfaen" w:hAnsi="Sylfaen"/>
        </w:rPr>
        <w:t xml:space="preserve"> has had an ever-evolving relationship with the American people, particularly at key moments in history. When first published, the novel encountered total rejection, as the populace could not yet understand its profound message. However, with the advent of World War II and Hitler’s monomaniacal quest against the </w:t>
      </w:r>
      <w:r w:rsidRPr="00242733">
        <w:rPr>
          <w:rFonts w:ascii="Sylfaen" w:hAnsi="Sylfaen"/>
          <w:i/>
        </w:rPr>
        <w:t>other</w:t>
      </w:r>
      <w:r w:rsidRPr="00242733">
        <w:rPr>
          <w:rFonts w:ascii="Sylfaen" w:hAnsi="Sylfaen"/>
        </w:rPr>
        <w:t xml:space="preserve"> </w:t>
      </w:r>
      <w:r w:rsidRPr="00242733">
        <w:rPr>
          <w:rFonts w:ascii="Sylfaen" w:hAnsi="Sylfaen" w:cs="Times New Roman"/>
        </w:rPr>
        <w:t>–Jews, communists, homosexuals and so on–</w:t>
      </w:r>
      <w:r w:rsidRPr="00242733">
        <w:rPr>
          <w:rFonts w:ascii="Sylfaen" w:hAnsi="Sylfaen"/>
        </w:rPr>
        <w:t>, the American people saw parallels with Captain Ahab. They also saw themselves as the White Whale, illegitimately attacked. The novel’s symbolism resonated with the collective psyche and its popularity soared.</w:t>
      </w:r>
    </w:p>
    <w:p w14:paraId="49601125" w14:textId="1D2EC47F" w:rsidR="00242733" w:rsidRPr="00242733" w:rsidRDefault="00242733" w:rsidP="00242733">
      <w:pPr>
        <w:spacing w:after="0" w:line="360" w:lineRule="auto"/>
        <w:ind w:right="-46"/>
        <w:jc w:val="both"/>
        <w:rPr>
          <w:rFonts w:ascii="Sylfaen" w:hAnsi="Sylfaen"/>
        </w:rPr>
      </w:pPr>
      <w:r w:rsidRPr="00242733">
        <w:rPr>
          <w:rFonts w:ascii="Sylfaen" w:hAnsi="Sylfaen"/>
        </w:rPr>
        <w:t xml:space="preserve"> There was also a </w:t>
      </w:r>
      <w:r w:rsidRPr="00242733">
        <w:rPr>
          <w:rFonts w:ascii="Sylfaen" w:hAnsi="Sylfaen"/>
          <w:i/>
          <w:iCs/>
        </w:rPr>
        <w:t>Moby-Dick</w:t>
      </w:r>
      <w:r w:rsidRPr="00242733">
        <w:rPr>
          <w:rFonts w:ascii="Sylfaen" w:hAnsi="Sylfaen"/>
        </w:rPr>
        <w:t xml:space="preserve"> revival after 9/11. The American people were again attacked by a man in the thrall of his own projections, Osama bin Laden. Like Ahab, though, President George Bush became obsessed with his own whale, Iraq. Bush wanted to wage war against evil itself –the “axis of Evil”– and projected the nation’s shadow onto Saddam Hussein. Manipulation and lies misled the American people into a disastrous war that arguably crippled the nation, much like Ahab manipulated his crewmates and destroyed the </w:t>
      </w:r>
      <w:r w:rsidRPr="00242733">
        <w:rPr>
          <w:rFonts w:ascii="Sylfaen" w:hAnsi="Sylfaen"/>
          <w:i/>
          <w:iCs/>
        </w:rPr>
        <w:t>Pequod</w:t>
      </w:r>
      <w:r w:rsidRPr="00242733">
        <w:rPr>
          <w:rFonts w:ascii="Sylfaen" w:hAnsi="Sylfaen"/>
        </w:rPr>
        <w:t>. Melville’s nightmare about America finally became reality.</w:t>
      </w:r>
    </w:p>
    <w:p w14:paraId="541922F3" w14:textId="030A8D6B" w:rsidR="008630EA" w:rsidRPr="008D471A" w:rsidRDefault="00240FC1" w:rsidP="008D471A">
      <w:pPr>
        <w:spacing w:before="120" w:after="120" w:line="360" w:lineRule="auto"/>
        <w:jc w:val="both"/>
        <w:rPr>
          <w:rFonts w:ascii="Sylfaen" w:hAnsi="Sylfaen"/>
          <w:color w:val="000000" w:themeColor="text1"/>
        </w:rPr>
      </w:pPr>
      <w:r w:rsidRPr="008D471A">
        <w:rPr>
          <w:rStyle w:val="Heading1Char"/>
          <w:rFonts w:ascii="Sylfaen" w:hAnsi="Sylfaen"/>
          <w:b/>
          <w:color w:val="000000" w:themeColor="text1"/>
          <w:sz w:val="22"/>
          <w:szCs w:val="22"/>
        </w:rPr>
        <w:t>Keywords:</w:t>
      </w:r>
      <w:r w:rsidRPr="008D471A">
        <w:rPr>
          <w:rFonts w:ascii="Sylfaen" w:hAnsi="Sylfaen"/>
          <w:color w:val="000000" w:themeColor="text1"/>
        </w:rPr>
        <w:t xml:space="preserve">  </w:t>
      </w:r>
      <w:r w:rsidR="00B97E4D">
        <w:rPr>
          <w:rFonts w:ascii="Sylfaen" w:hAnsi="Sylfaen"/>
        </w:rPr>
        <w:t xml:space="preserve">Moby-Dick, analogy, USA, Bush. </w:t>
      </w:r>
    </w:p>
    <w:p w14:paraId="71404EB8" w14:textId="77777777" w:rsidR="003D43B9" w:rsidRPr="008D471A" w:rsidRDefault="003D43B9" w:rsidP="008D471A">
      <w:pPr>
        <w:spacing w:before="120" w:after="120" w:line="360" w:lineRule="auto"/>
        <w:jc w:val="both"/>
        <w:rPr>
          <w:rFonts w:ascii="Sylfaen" w:hAnsi="Sylfaen"/>
          <w:color w:val="000000" w:themeColor="text1"/>
        </w:rPr>
      </w:pPr>
    </w:p>
    <w:p w14:paraId="5833A003" w14:textId="1B16843F" w:rsidR="00E636BE" w:rsidRPr="00290C19" w:rsidRDefault="00F76E5E" w:rsidP="00290C19">
      <w:pPr>
        <w:pStyle w:val="Heading1"/>
        <w:spacing w:before="120" w:after="120" w:line="360" w:lineRule="auto"/>
        <w:rPr>
          <w:rFonts w:ascii="Sylfaen" w:hAnsi="Sylfaen" w:cs="Times New Roman"/>
          <w:color w:val="000000" w:themeColor="text1"/>
          <w:sz w:val="22"/>
          <w:szCs w:val="22"/>
        </w:rPr>
      </w:pPr>
      <w:r w:rsidRPr="00290C19">
        <w:rPr>
          <w:rFonts w:ascii="Sylfaen" w:hAnsi="Sylfaen"/>
          <w:b/>
          <w:bCs/>
          <w:color w:val="000000" w:themeColor="text1"/>
          <w:sz w:val="22"/>
          <w:szCs w:val="22"/>
        </w:rPr>
        <w:t>Introduction</w:t>
      </w:r>
    </w:p>
    <w:p w14:paraId="577C86D7" w14:textId="211FC68A" w:rsidR="00F6406E" w:rsidRPr="00290C19" w:rsidRDefault="00F6406E" w:rsidP="00290C19">
      <w:pPr>
        <w:spacing w:before="120" w:after="120" w:line="360" w:lineRule="auto"/>
        <w:jc w:val="both"/>
        <w:rPr>
          <w:rFonts w:ascii="Sylfaen" w:hAnsi="Sylfaen"/>
          <w:color w:val="000000" w:themeColor="text1"/>
        </w:rPr>
      </w:pPr>
      <w:r w:rsidRPr="00290C19">
        <w:rPr>
          <w:rFonts w:ascii="Sylfaen" w:hAnsi="Sylfaen"/>
          <w:color w:val="000000" w:themeColor="text1"/>
        </w:rPr>
        <w:t>Pertussis, commonly known as whooping cough, is caused by the bacterium Bordetella Pertussis (Faulkner et al., 2011), which was first isolated at the beginning of the 20</w:t>
      </w:r>
      <w:r w:rsidRPr="00290C19">
        <w:rPr>
          <w:rFonts w:ascii="Sylfaen" w:hAnsi="Sylfaen"/>
          <w:color w:val="000000" w:themeColor="text1"/>
          <w:vertAlign w:val="superscript"/>
        </w:rPr>
        <w:t>th</w:t>
      </w:r>
      <w:r w:rsidRPr="00290C19">
        <w:rPr>
          <w:rFonts w:ascii="Sylfaen" w:hAnsi="Sylfaen"/>
          <w:color w:val="000000" w:themeColor="text1"/>
        </w:rPr>
        <w:t xml:space="preserve"> century (Brooks and </w:t>
      </w:r>
      <w:r w:rsidRPr="00290C19">
        <w:rPr>
          <w:rFonts w:ascii="Sylfaen" w:hAnsi="Sylfaen"/>
          <w:color w:val="000000" w:themeColor="text1"/>
        </w:rPr>
        <w:lastRenderedPageBreak/>
        <w:t xml:space="preserve">Clover, 2005). Bordetella Pertussis (B. Pertussis) is an exclusively human pathogen which can affect people of all ages. Transmission of the organism occurs as a result of close direct contact with an infected person (Dodhia et al., 2002). It is a highly contagious disease of the respiratory tract, with up to 90% of household contacts developing the disease (Hodder et al., 1992; WHO, 2013). </w:t>
      </w:r>
    </w:p>
    <w:p w14:paraId="5F4DDBE4" w14:textId="77777777" w:rsidR="00F6406E" w:rsidRPr="00290C19" w:rsidRDefault="00F6406E" w:rsidP="00290C19">
      <w:pPr>
        <w:spacing w:before="120" w:after="120" w:line="360" w:lineRule="auto"/>
        <w:jc w:val="both"/>
        <w:rPr>
          <w:rFonts w:ascii="Sylfaen" w:hAnsi="Sylfaen"/>
          <w:color w:val="000000" w:themeColor="text1"/>
        </w:rPr>
      </w:pPr>
      <w:r w:rsidRPr="00290C19">
        <w:rPr>
          <w:rFonts w:ascii="Sylfaen" w:hAnsi="Sylfaen"/>
          <w:color w:val="000000" w:themeColor="text1"/>
        </w:rPr>
        <w:t xml:space="preserve">Pertussis is an endemic disease with an estimated 16 million cases world-wide: there were around 195,000 pertussis-related deaths in 2008 alone, with 95% of cases occurring in developing countries (Halpering 2001; WHO, 2010). Recently however, there have also been outbreaks of pertussis in some developed countries. In England and Wales there were 1,614 laboratory-confirmed cases of whooping cough in October 2012, bringing the total number of cases in the regions to 7,728 (HPA, 2012a). Pertussis, although a vaccine-preventable infection, is still an endemic disease in the US (Wendelboe et al., 2005; Hewlett et al., 2005; and Klein et al., 2012) but the prevalence of the disease had reportedly been under control since the 2005 outbreak (Rohani and Drake, 2011). </w:t>
      </w:r>
    </w:p>
    <w:p w14:paraId="0CE8939B" w14:textId="46290AE7" w:rsidR="00F6406E" w:rsidRPr="00290C19" w:rsidRDefault="00F6406E" w:rsidP="00290C19">
      <w:pPr>
        <w:spacing w:before="120" w:after="120" w:line="360" w:lineRule="auto"/>
        <w:jc w:val="both"/>
        <w:rPr>
          <w:rFonts w:ascii="Sylfaen" w:hAnsi="Sylfaen"/>
          <w:color w:val="000000" w:themeColor="text1"/>
        </w:rPr>
      </w:pPr>
      <w:r w:rsidRPr="00290C19">
        <w:rPr>
          <w:rFonts w:ascii="Sylfaen" w:hAnsi="Sylfaen"/>
          <w:color w:val="000000" w:themeColor="text1"/>
        </w:rPr>
        <w:t>The Centre for Disease Control and Prevention (CDC) reported that the overall incidence of pertussis peaked at 27,550 cases in 2010 but stabilised at 18,719 cases in 2011 (CDC, 2012). However, increased cases of pertussis were reported in the majority of states, with  49 states reporting an increase in whooping cough in 2012 compared to 2011 (CDC, 2013a). The United States is currently experiencing what may turn out to be the largest outbreak of reported pertussis in recent times (CDC, 2012). Provisional counts from the pertussis surveillance system put the number at more than 41,000 including 18 pertussis-related deaths (CDC, 2013a). The outbreaks were recorded despite rates of immunization at more than 80% among the population (Hewlett et al., 2005). Receipt of five doses of diphtheria, tetanus and acellular pertussis (DTaP) is mandatory for children in the US (Klein et al., 2012). As demonstrated, the US continues to record increases in incidence of pertussis despite it being a vaccine preventable disease (HPA, 2013; CDC, 2013b). This essay will argue that pertussis outbreak in the US is due to declining immunity and therefore vaccination schedules need to be redefined. The epidemiological triangle will be used to demonstrate the implications of this decline.</w:t>
      </w:r>
    </w:p>
    <w:p w14:paraId="51735D2D" w14:textId="77777777" w:rsidR="00F6406E" w:rsidRPr="00290C19" w:rsidRDefault="00F6406E" w:rsidP="00290C19">
      <w:pPr>
        <w:spacing w:before="120" w:after="120" w:line="360" w:lineRule="auto"/>
        <w:jc w:val="both"/>
        <w:rPr>
          <w:rFonts w:ascii="Sylfaen" w:hAnsi="Sylfaen"/>
          <w:color w:val="000000" w:themeColor="text1"/>
        </w:rPr>
      </w:pPr>
    </w:p>
    <w:p w14:paraId="5CBFD771" w14:textId="5B106D47" w:rsidR="00F6406E" w:rsidRPr="0025429F" w:rsidRDefault="00F6406E" w:rsidP="0025429F">
      <w:pPr>
        <w:pStyle w:val="Heading1"/>
        <w:spacing w:before="120" w:after="120" w:line="360" w:lineRule="auto"/>
        <w:rPr>
          <w:rFonts w:ascii="Sylfaen" w:hAnsi="Sylfaen"/>
          <w:b/>
          <w:bCs/>
          <w:color w:val="000000" w:themeColor="text1"/>
          <w:sz w:val="22"/>
          <w:szCs w:val="22"/>
        </w:rPr>
      </w:pPr>
      <w:r w:rsidRPr="00290C19">
        <w:rPr>
          <w:rFonts w:ascii="Sylfaen" w:hAnsi="Sylfaen"/>
          <w:b/>
          <w:bCs/>
          <w:color w:val="000000" w:themeColor="text1"/>
          <w:sz w:val="22"/>
          <w:szCs w:val="22"/>
        </w:rPr>
        <w:t>Discussion</w:t>
      </w:r>
    </w:p>
    <w:p w14:paraId="46B9023C" w14:textId="77777777" w:rsidR="00F6406E" w:rsidRPr="00290C19" w:rsidRDefault="00F6406E" w:rsidP="00290C19">
      <w:pPr>
        <w:spacing w:before="120" w:after="120" w:line="360" w:lineRule="auto"/>
        <w:jc w:val="both"/>
        <w:rPr>
          <w:rFonts w:ascii="Sylfaen" w:hAnsi="Sylfaen"/>
          <w:color w:val="000000" w:themeColor="text1"/>
        </w:rPr>
      </w:pPr>
      <w:r w:rsidRPr="00290C19">
        <w:rPr>
          <w:rFonts w:ascii="Sylfaen" w:hAnsi="Sylfaen"/>
          <w:color w:val="000000" w:themeColor="text1"/>
        </w:rPr>
        <w:t xml:space="preserve">While adolescents and adults tend to display mild symptoms of pertussis, young unimmunised infants especially under six months of age are the most vulnerable group with the highest rates of </w:t>
      </w:r>
      <w:r w:rsidRPr="00290C19">
        <w:rPr>
          <w:rFonts w:ascii="Sylfaen" w:hAnsi="Sylfaen"/>
          <w:color w:val="000000" w:themeColor="text1"/>
        </w:rPr>
        <w:lastRenderedPageBreak/>
        <w:t>complication and death occurring in this age bracket (Altamirano et al., 2012; Health Protection Agency 2012). Also, while pertussis vaccines are highly recommended to children under seven years of age (Ward et al., 2005), the disease is also frequent among adults. Because pertussis continues to circulate among older persons, this creates a source of contagion through respiratory secretion for young children, with parents identified as the most common source of transmission (Birsgard et al., 2004; de Greeff et al., 2010; Jardine et al., 2010; CDC, 2013b). As will be discussed further, evidence suggests that the transmission of pertussis may result from declining immunity (Forsyth et al., 2004). This may be due to modest decrease in vaccine effectiveness although the results on long-term vaccine protection are not fully available yet (CDC, 2013c).</w:t>
      </w:r>
    </w:p>
    <w:p w14:paraId="4DC0549C" w14:textId="77777777" w:rsidR="00F6406E" w:rsidRPr="00290C19" w:rsidRDefault="00F6406E" w:rsidP="00290C19">
      <w:pPr>
        <w:spacing w:before="120" w:after="120" w:line="360" w:lineRule="auto"/>
        <w:jc w:val="both"/>
        <w:rPr>
          <w:rFonts w:ascii="Sylfaen" w:hAnsi="Sylfaen"/>
          <w:color w:val="000000" w:themeColor="text1"/>
        </w:rPr>
      </w:pPr>
      <w:r w:rsidRPr="00290C19">
        <w:rPr>
          <w:rFonts w:ascii="Sylfaen" w:hAnsi="Sylfaen"/>
          <w:color w:val="000000" w:themeColor="text1"/>
        </w:rPr>
        <w:t>In 2010, California experienced its highest incidence of pertussis in more than 60 years (Klein et al., 2012; Misegades et al., 2012). The disease was found to be highly prevalent in the 8 to 11 year old age group despite high vaccination coverage (Klein et al., 2012). A study of association between childhood pertussis and vaccination (receipt of all five dose of DTaP) conducted by Misegades et al. (2012) concluded that, as the time elapsed since the last DTaP dose increased, so did the chances of contracting pertussis. This therefore demonstrates that routine childhood immunisations are successful in reducing incidence levels of pertussis.</w:t>
      </w:r>
    </w:p>
    <w:p w14:paraId="0BEBD049" w14:textId="77777777" w:rsidR="00F6406E" w:rsidRPr="00290C19" w:rsidRDefault="00F6406E" w:rsidP="00290C19">
      <w:pPr>
        <w:spacing w:before="120" w:after="120" w:line="360" w:lineRule="auto"/>
        <w:jc w:val="both"/>
        <w:rPr>
          <w:rFonts w:ascii="Sylfaen" w:hAnsi="Sylfaen"/>
          <w:color w:val="000000" w:themeColor="text1"/>
        </w:rPr>
      </w:pPr>
      <w:r w:rsidRPr="00290C19">
        <w:rPr>
          <w:rFonts w:ascii="Sylfaen" w:hAnsi="Sylfaen"/>
          <w:color w:val="000000" w:themeColor="text1"/>
        </w:rPr>
        <w:t xml:space="preserve">Another study was conducted by Klein et al. (2012), the aim of which was to assess and quantify the waning of DTaP protection against pertussis over time in a highly vaccinated child population, who received DTaP rather than a whole-cell pertussis vaccine between the ages of 3 and 7 years. The waning immunity after DTaP was assessed using two analyses. The primary analysis compared Polymerase Chain Reaction (PCR) -positive case patients with PCR-negative controls; while the secondary analysis compared PCR-positive case patients with a matched control. The first and secondary analyses revealed similar result: there was a 42% increase each year in the odds of acquiring pertussis after the fifth dose of DTaP (Klein et al., 2012). This suggests that immunity against pertussis wanes as the time interval after the DTaP increases. A very recent study assessing the risk of pertussis by time since vaccination in the two states of Minnesota and Oregon was conducted by Tartof et al. (2013). The study identified an increase in incidence rates and risk ratios of reported pertussis in the six years after receipt of the fifth DTaP dose. This also strongly suggests waning of immunity against pertussis in the US (Tartof et al., 2013). </w:t>
      </w:r>
    </w:p>
    <w:p w14:paraId="1A528812" w14:textId="77777777" w:rsidR="00F6406E" w:rsidRPr="00290C19" w:rsidRDefault="00F6406E" w:rsidP="00290C19">
      <w:pPr>
        <w:spacing w:before="120" w:after="120" w:line="360" w:lineRule="auto"/>
        <w:jc w:val="both"/>
        <w:rPr>
          <w:rFonts w:ascii="Sylfaen" w:hAnsi="Sylfaen"/>
          <w:color w:val="000000" w:themeColor="text1"/>
        </w:rPr>
      </w:pPr>
      <w:r w:rsidRPr="00290C19">
        <w:rPr>
          <w:rFonts w:ascii="Sylfaen" w:hAnsi="Sylfaen"/>
          <w:color w:val="000000" w:themeColor="text1"/>
        </w:rPr>
        <w:lastRenderedPageBreak/>
        <w:t xml:space="preserve">A similar study was carried out in Norway, a country with relatively high immunisation levels. The study showed that immunity against pertussis has declined with time, a decline more evident in recent years despite a considerable variance of waning immunity among the studied population (Lavine et al., 2012). Previous outbreaks of pertussis necessitated change within many countries -including Canada, the US and Norway- from the use of the whole-cell pertussis vaccine to a multi-component acellular pertussis (DTaP) (Vickers et al., 2006). </w:t>
      </w:r>
    </w:p>
    <w:p w14:paraId="49DBC2AD" w14:textId="77777777" w:rsidR="00F6406E" w:rsidRPr="00290C19" w:rsidRDefault="00F6406E" w:rsidP="00290C19">
      <w:pPr>
        <w:spacing w:before="120" w:after="120" w:line="360" w:lineRule="auto"/>
        <w:jc w:val="both"/>
        <w:rPr>
          <w:rFonts w:ascii="Sylfaen" w:hAnsi="Sylfaen"/>
          <w:color w:val="000000" w:themeColor="text1"/>
        </w:rPr>
      </w:pPr>
      <w:r w:rsidRPr="00290C19">
        <w:rPr>
          <w:rFonts w:ascii="Sylfaen" w:hAnsi="Sylfaen"/>
          <w:color w:val="000000" w:themeColor="text1"/>
        </w:rPr>
        <w:t xml:space="preserve">Although DTaP has proven to be effective in the prevention of confirmed cases of pertussis infections and is associated with fewer adverse effects than whole-cell pertussis (Romina and Edwards, 2012), this effectiveness has not been profound given the recent pertussis outbreaks in the US (Klein, 2012), Norway (Lavine et al., 2012) and UK (HPA, 2012a). This is despite the high nation-wide coverage of the multi-component acellular pertussis vaccine in these countries. </w:t>
      </w:r>
    </w:p>
    <w:p w14:paraId="35045EFD" w14:textId="77777777" w:rsidR="00F6406E" w:rsidRPr="00290C19" w:rsidRDefault="00F6406E" w:rsidP="00290C19">
      <w:pPr>
        <w:spacing w:before="120" w:after="120" w:line="360" w:lineRule="auto"/>
        <w:jc w:val="both"/>
        <w:rPr>
          <w:rFonts w:ascii="Sylfaen" w:hAnsi="Sylfaen"/>
          <w:color w:val="000000" w:themeColor="text1"/>
        </w:rPr>
      </w:pPr>
      <w:r w:rsidRPr="00290C19">
        <w:rPr>
          <w:rFonts w:ascii="Sylfaen" w:hAnsi="Sylfaen"/>
          <w:color w:val="000000" w:themeColor="text1"/>
        </w:rPr>
        <w:t>The three mentioned studies (Misegades et al., 2012; Klein et al., 2012; Tartof et al., 2013) thereby assert that declining immunity after the fifth dose of DTaP among children played a key a role in fuelling the recent pertussis outbreak in the US. Also, there is consistency in the position of the three studies which demonstrate that there is a progressive decrease in estimated vaccine effectiveness each year after the final dose of vaccination of pertussis vaccination. Vaccine effectiveness may not, then, be the only factor fuelling outbreak of pertussis.</w:t>
      </w:r>
    </w:p>
    <w:p w14:paraId="7E9D1C3C" w14:textId="77777777" w:rsidR="00F6406E" w:rsidRPr="00290C19" w:rsidRDefault="00F6406E" w:rsidP="00290C19">
      <w:pPr>
        <w:spacing w:before="120" w:after="120" w:line="360" w:lineRule="auto"/>
        <w:jc w:val="both"/>
        <w:rPr>
          <w:rFonts w:ascii="Sylfaen" w:hAnsi="Sylfaen"/>
          <w:color w:val="000000" w:themeColor="text1"/>
        </w:rPr>
      </w:pPr>
      <w:r w:rsidRPr="00290C19">
        <w:rPr>
          <w:rFonts w:ascii="Sylfaen" w:hAnsi="Sylfaen"/>
          <w:color w:val="000000" w:themeColor="text1"/>
        </w:rPr>
        <w:t xml:space="preserve">Since the eradication of vaccine-preventable communicable diseases such as pertussis remains an important international public health goal, various studies have asserted that waning immunity is a contributory factor to the rising incidence of pertussis globally. It is therefore pertinent to assess the implications of this factor on public health. One such study was carried out in the Netherlands in the year 2000 which, using a mathematical model, investigated the role of sub-clinical infection and waning immunity in the transmission force of B. Pertussis (van Boven et al., 2000). Analysis of the model reveals that waning immunity tends to increase the prevalence of susceptibility in the population, and thus tends to decrease the dynamics of infection. </w:t>
      </w:r>
    </w:p>
    <w:p w14:paraId="7D66BA8B" w14:textId="77777777" w:rsidR="00F6406E" w:rsidRPr="00290C19" w:rsidRDefault="00F6406E" w:rsidP="00290C19">
      <w:pPr>
        <w:spacing w:before="120" w:after="120" w:line="360" w:lineRule="auto"/>
        <w:jc w:val="both"/>
        <w:rPr>
          <w:rFonts w:ascii="Sylfaen" w:hAnsi="Sylfaen"/>
          <w:color w:val="000000" w:themeColor="text1"/>
        </w:rPr>
      </w:pPr>
      <w:r w:rsidRPr="00290C19">
        <w:rPr>
          <w:rFonts w:ascii="Sylfaen" w:hAnsi="Sylfaen"/>
          <w:color w:val="000000" w:themeColor="text1"/>
        </w:rPr>
        <w:t xml:space="preserve">On the other hand, the study also states that if most infections are sub-clinical, the true incidence of pertussis will be higher than the observed incidence, hence increasing the force of infection (van Boven et al., 2000). The results of this study are contingent on two factors: the rate at which immunity is lost, and the percentage of infections that are sub-clinical (van Boven et al. 2000). Since vaccination remains a major preventive measure against pertussis, this also has implication(s) for </w:t>
      </w:r>
      <w:r w:rsidRPr="00290C19">
        <w:rPr>
          <w:rFonts w:ascii="Sylfaen" w:hAnsi="Sylfaen"/>
          <w:color w:val="000000" w:themeColor="text1"/>
        </w:rPr>
        <w:lastRenderedPageBreak/>
        <w:t>public health. Based on empirical data from 64 countries across the five continents, frequent outbreaks of pertussis are associated with vaccine coverage (Broutin et al., 2010).  A mathematical model of the analysis posits that if there is herd immunity, inter-epidemic periods of pertussis are expected to increase (Broutin et al., 2010).  Does this then imply that pertussis is no longer vaccine-preventable?</w:t>
      </w:r>
    </w:p>
    <w:p w14:paraId="0B6E5A9C" w14:textId="77777777" w:rsidR="00F6406E" w:rsidRPr="00290C19" w:rsidRDefault="00F6406E" w:rsidP="00290C19">
      <w:pPr>
        <w:spacing w:before="120" w:after="120" w:line="360" w:lineRule="auto"/>
        <w:jc w:val="both"/>
        <w:rPr>
          <w:rFonts w:ascii="Sylfaen" w:hAnsi="Sylfaen"/>
          <w:color w:val="000000" w:themeColor="text1"/>
        </w:rPr>
      </w:pPr>
      <w:r w:rsidRPr="00290C19">
        <w:rPr>
          <w:rFonts w:ascii="Sylfaen" w:hAnsi="Sylfaen"/>
          <w:color w:val="000000" w:themeColor="text1"/>
        </w:rPr>
        <w:t>While it could be argued that declining immunity is a contributory factor to the increase in the incidence of pertussis, the recent increase cannot be attributed to declining immunity alone. As the study by Klein et al. (2012) reveals, there is a sharp increase in the incidence of pertussis among children 8 to 11 years in California, followed by a sharp decrease among children aged 12 to 15 years. The study further states that the result is not characteristic of the epidemiology of pertussis in previous outbreaks (Klein et al., 2012). This may confirm the assertion of Cherry et al. (2012) that the infection rate burden of pertussis is unknown. This could partly be due to other pathogens which cause symptoms similar to pertussis (Faulkner et al., 2011; CDC, 2013a); hence, determining who has pertussis and who does not is difficult to ascertain. Due to different diagnoses across different areas, there is also no standardised laboratory diagnosis for B. Pertussis (Kretsinger et al., 2006; von Konig et al., 2002) and cultural studies which are the main standard have been superseded by the speed of PCR (Mandal et al., 2012). The study, while investigating the laboratory contamination responsible for pseudo-outbreak in the US in 2009, suggests that lack of PCR cut-offs for detecting weakly contaminant DNA is a contributory factor for the outbreak (Mandal et al., 2012).</w:t>
      </w:r>
    </w:p>
    <w:p w14:paraId="6BB50088" w14:textId="77777777" w:rsidR="00F6406E" w:rsidRPr="00290C19" w:rsidRDefault="00F6406E" w:rsidP="00290C19">
      <w:pPr>
        <w:spacing w:before="120" w:after="120" w:line="360" w:lineRule="auto"/>
        <w:jc w:val="both"/>
        <w:rPr>
          <w:rFonts w:ascii="Sylfaen" w:hAnsi="Sylfaen"/>
          <w:color w:val="000000" w:themeColor="text1"/>
        </w:rPr>
      </w:pPr>
      <w:r w:rsidRPr="00290C19">
        <w:rPr>
          <w:rFonts w:ascii="Sylfaen" w:hAnsi="Sylfaen"/>
          <w:color w:val="000000" w:themeColor="text1"/>
        </w:rPr>
        <w:t>However, a recent clinical case definition has been designed to increase sensitivity for detecting pertussis cases when a confirmatory laboratory test is negative (Faulkner et al., 2011). The increase in the incidence of pertussis therefore could also be due to improved detection as well as increased awareness in the reporting and better diagnosis of the disease (Forsyth et al., 2004; Faulkner et al., 2011). A similar study based on the data collected in England and Wales posits that loss of natural immunity may not be the primary driver of the rising incidence of pertussis (Wearing and Rohani, 2009). The study suggests that attention should instead be focussed on pathogen evolution and perturbations in vaccine manufacture, uptake and efficiency (Wearing and Rohani 2009).</w:t>
      </w:r>
    </w:p>
    <w:p w14:paraId="1C4BD4E8" w14:textId="77777777" w:rsidR="00F6406E" w:rsidRPr="00290C19" w:rsidRDefault="00F6406E" w:rsidP="00290C19">
      <w:pPr>
        <w:spacing w:before="120" w:after="120" w:line="360" w:lineRule="auto"/>
        <w:jc w:val="both"/>
        <w:rPr>
          <w:rFonts w:ascii="Sylfaen" w:hAnsi="Sylfaen"/>
          <w:color w:val="000000" w:themeColor="text1"/>
        </w:rPr>
      </w:pPr>
      <w:r w:rsidRPr="00290C19">
        <w:rPr>
          <w:rFonts w:ascii="Sylfaen" w:hAnsi="Sylfaen"/>
          <w:color w:val="000000" w:themeColor="text1"/>
        </w:rPr>
        <w:t xml:space="preserve">Similarly, a recent study in Sweden suggested that waning immunity appears to be a less important factor for high incidence of pertussis.  The study asserts that age-specific contact patterns, with high </w:t>
      </w:r>
      <w:r w:rsidRPr="00290C19">
        <w:rPr>
          <w:rFonts w:ascii="Sylfaen" w:hAnsi="Sylfaen"/>
          <w:color w:val="000000" w:themeColor="text1"/>
        </w:rPr>
        <w:lastRenderedPageBreak/>
        <w:t>levels within certain age-groups and between parents and children, are all that is necessary to explain the epidemiology of prevalence of pertussis (Rohani et al., 2010).</w:t>
      </w:r>
    </w:p>
    <w:p w14:paraId="5BE79630" w14:textId="0DB5CBCB" w:rsidR="00F6406E" w:rsidRPr="00290C19" w:rsidRDefault="00F6406E" w:rsidP="00290C19">
      <w:pPr>
        <w:spacing w:before="120" w:after="120" w:line="360" w:lineRule="auto"/>
        <w:jc w:val="both"/>
        <w:rPr>
          <w:rFonts w:ascii="Sylfaen" w:hAnsi="Sylfaen"/>
          <w:color w:val="000000" w:themeColor="text1"/>
        </w:rPr>
      </w:pPr>
      <w:r w:rsidRPr="00290C19">
        <w:rPr>
          <w:rFonts w:ascii="Sylfaen" w:hAnsi="Sylfaen"/>
          <w:color w:val="000000" w:themeColor="text1"/>
        </w:rPr>
        <w:t>Another recent study in the US revealed that the rising incidence of pertussis can be explained beyond age-specific contact patterns and declined immunity (Schmidtke et al., 2012). The study divided 661 B. Pertussis isolates collected in the US between 1935 and 2009 into eight periods relating to introduction of novel vaccines or change in vaccination schedule. It found a degree of variation in B. Pertussis population in period three -1970s and 1980s- and also further suggested that, given the fact that it has no non-human hosts or environmental niches, vaccine-mediated immunity is the most likely factor for the selective pressure against B. Pertussis. The study concludes that vaccine-induced virulence evolution may be a factor responsible for the variation in B. Pertussis population (Schmidtke et al., 2012). This conclusion is similar to the evidence found in World Health Organisation’s (WHO) position paper, stating that B. Pertussis may alter their phenotypic state, thereby showing different expressions of virulence factors (WHO, 2010). This virulence evolution may therefore be responsible for the high incidence in pertussis.</w:t>
      </w:r>
    </w:p>
    <w:p w14:paraId="5E79A573" w14:textId="08F64B79" w:rsidR="00F6406E" w:rsidRPr="00290C19" w:rsidRDefault="00F6406E" w:rsidP="00290C19">
      <w:pPr>
        <w:spacing w:before="120" w:after="120" w:line="360" w:lineRule="auto"/>
        <w:jc w:val="both"/>
        <w:rPr>
          <w:rFonts w:ascii="Sylfaen" w:hAnsi="Sylfaen"/>
          <w:color w:val="000000" w:themeColor="text1"/>
        </w:rPr>
      </w:pPr>
      <w:r w:rsidRPr="00290C19">
        <w:rPr>
          <w:rFonts w:ascii="Sylfaen" w:hAnsi="Sylfaen"/>
          <w:color w:val="000000" w:themeColor="text1"/>
        </w:rPr>
        <w:t xml:space="preserve">As evidenced above, the high incidence of pertussis in the US goes beyond the issue of declining immunity and is therefore multi-factorial, including dramatic shifts in age distribution during large epidemics (Klein et al., 2012). In line with this, the control measures for pertussis have to be modified or vaccination schedules changed to reflect the current reality. The existing control measures in the US recommend that the first three shots of DTaP are given to infants at 2, 4 and 6 months of age. The fourth and fifth shots are given at 15 through 18 months and 4 through 6 years respectively (CDC, 2013b). Preteens in the US, who missed the earlier vaccinations and adults, are to be given a single dose of Tdap booster vaccine (Kretsinger et al., 2006). </w:t>
      </w:r>
    </w:p>
    <w:p w14:paraId="03FF4783" w14:textId="77777777" w:rsidR="00F6406E" w:rsidRPr="00290C19" w:rsidRDefault="00F6406E" w:rsidP="00290C19">
      <w:pPr>
        <w:spacing w:before="120" w:after="120" w:line="360" w:lineRule="auto"/>
        <w:jc w:val="both"/>
        <w:rPr>
          <w:rFonts w:ascii="Sylfaen" w:hAnsi="Sylfaen"/>
          <w:color w:val="000000" w:themeColor="text1"/>
        </w:rPr>
      </w:pPr>
      <w:r w:rsidRPr="00290C19">
        <w:rPr>
          <w:rFonts w:ascii="Sylfaen" w:hAnsi="Sylfaen"/>
          <w:color w:val="000000" w:themeColor="text1"/>
        </w:rPr>
        <w:t xml:space="preserve">Several positions have been put forward for mass vaccination of the population (Forsyth et al., 2004; Lavine et al., 2012). With parents and close family members serving as sources of contagion to young infants, vaccination of adults with Tdap has been recommended, especially for those who have close contact with infants (de Greeff et al., 2010; Jardine et al., 2010). Tdap as a booster immunization was licensed in the US for persons aged 11 – 64 years (Kretsinger et al., 2006). It has been proven to be effective and safe, particularly if the recipients have received tetanus diphtheria or tetanus toxoid immunization (Td/TT) more than 2 years earlier (Kretsinger et al., 2006, Talbot et al. 2010). As part of the control measure and in addition to adult booster immunization (Tdap), </w:t>
      </w:r>
      <w:r w:rsidRPr="00290C19">
        <w:rPr>
          <w:rFonts w:ascii="Sylfaen" w:hAnsi="Sylfaen"/>
          <w:color w:val="000000" w:themeColor="text1"/>
        </w:rPr>
        <w:lastRenderedPageBreak/>
        <w:t xml:space="preserve">the Advisory Committee on Immunization Practice (ACIP) of the CDC also recommended cocooning of infants (Kretsinger et al., 2006). </w:t>
      </w:r>
    </w:p>
    <w:p w14:paraId="58682546" w14:textId="77777777" w:rsidR="00F6406E" w:rsidRPr="00290C19" w:rsidRDefault="00F6406E" w:rsidP="00290C19">
      <w:pPr>
        <w:spacing w:before="120" w:after="120" w:line="360" w:lineRule="auto"/>
        <w:jc w:val="both"/>
        <w:rPr>
          <w:rFonts w:ascii="Sylfaen" w:hAnsi="Sylfaen"/>
          <w:color w:val="000000" w:themeColor="text1"/>
        </w:rPr>
      </w:pPr>
      <w:r w:rsidRPr="00290C19">
        <w:rPr>
          <w:rFonts w:ascii="Sylfaen" w:hAnsi="Sylfaen"/>
          <w:color w:val="000000" w:themeColor="text1"/>
        </w:rPr>
        <w:t xml:space="preserve">Cocooning is the targeted immunization of post-partum women and all contacts of their infants during the first year of life, before their birth or during hospital discharge (Healy and Baker 2012). The ACIP recommendation is based on similar proposal from other countries and is in line with the recommendation from Global Pertussis Initiative (GPI) (Forsyth et al., 2007). However, as Healy and Baker (2012) posit, cocooning is cost-effective but it has some fundamental constraints. It is limited in its ability to prevent infant pertussis in the first few weeks of life because the disease may be circulating in a household at the time of birth. </w:t>
      </w:r>
    </w:p>
    <w:p w14:paraId="636C2BAF" w14:textId="1257F60D" w:rsidR="00F6406E" w:rsidRPr="00290C19" w:rsidRDefault="00F6406E" w:rsidP="00290C19">
      <w:pPr>
        <w:spacing w:before="120" w:after="120" w:line="360" w:lineRule="auto"/>
        <w:jc w:val="both"/>
        <w:rPr>
          <w:rFonts w:ascii="Sylfaen" w:hAnsi="Sylfaen"/>
          <w:color w:val="000000" w:themeColor="text1"/>
        </w:rPr>
      </w:pPr>
      <w:r w:rsidRPr="00290C19">
        <w:rPr>
          <w:rFonts w:ascii="Sylfaen" w:hAnsi="Sylfaen"/>
          <w:color w:val="000000" w:themeColor="text1"/>
        </w:rPr>
        <w:t xml:space="preserve">Secondly, cocooning is a logistically difficult measure to implement (Healy and Baker, 2012), a position supported by a similar study conducted in Canada by Skowronski et al. (2012). The study revealed that pertussis related morbidity is uncommon; hence the clinical course typically includes full recovery without residual disability. Therefore, the number needed to vaccinate (NNV) estimates that parental pertussis cocoon immunization can be used to produce some estimate costs. </w:t>
      </w:r>
    </w:p>
    <w:p w14:paraId="47D4C8F7" w14:textId="77777777" w:rsidR="00F6406E" w:rsidRPr="00290C19" w:rsidRDefault="00F6406E" w:rsidP="00290C19">
      <w:pPr>
        <w:spacing w:before="120" w:after="120" w:line="360" w:lineRule="auto"/>
        <w:jc w:val="both"/>
        <w:rPr>
          <w:rFonts w:ascii="Sylfaen" w:hAnsi="Sylfaen"/>
          <w:color w:val="000000" w:themeColor="text1"/>
        </w:rPr>
      </w:pPr>
      <w:r w:rsidRPr="00290C19">
        <w:rPr>
          <w:rFonts w:ascii="Sylfaen" w:hAnsi="Sylfaen"/>
          <w:color w:val="000000" w:themeColor="text1"/>
        </w:rPr>
        <w:t>Multiplying the NNV by immunization costs (vaccine + administration &gt; $20 [Canadian Dollars]) shows that the cost per infant hospitalization (</w:t>
      </w:r>
      <w:r w:rsidRPr="00290C19">
        <w:rPr>
          <w:rFonts w:ascii="Cambria Math" w:hAnsi="Cambria Math" w:cs="Cambria Math"/>
          <w:color w:val="000000" w:themeColor="text1"/>
        </w:rPr>
        <w:t>∼</w:t>
      </w:r>
      <w:r w:rsidRPr="00290C19">
        <w:rPr>
          <w:rFonts w:ascii="Sylfaen" w:hAnsi="Sylfaen"/>
          <w:color w:val="000000" w:themeColor="text1"/>
        </w:rPr>
        <w:t xml:space="preserve">$200,000), intensive care unit (ICU) admission (&gt;$2 million), or death (&gt;$20 million) prevented through parental pertussis immunization seems to be significantly high (Skowronske et al., 2012). However, evidence shows that even if mass pertussis vaccination including cocooning is embarked upon, some constraints still exist. The fact that pertussis susceptibility increases as the interval from the last scheduled vaccination increases, will lead to a reduced level of herd immunity, resulting in greater risk of acquisition (Witt et al., 2012). </w:t>
      </w:r>
    </w:p>
    <w:p w14:paraId="1B6D6531" w14:textId="77777777" w:rsidR="00F6406E" w:rsidRPr="00290C19" w:rsidRDefault="00F6406E" w:rsidP="00290C19">
      <w:pPr>
        <w:spacing w:before="120" w:after="120" w:line="360" w:lineRule="auto"/>
        <w:jc w:val="both"/>
        <w:rPr>
          <w:rFonts w:ascii="Sylfaen" w:hAnsi="Sylfaen"/>
          <w:color w:val="000000" w:themeColor="text1"/>
        </w:rPr>
      </w:pPr>
      <w:r w:rsidRPr="00290C19">
        <w:rPr>
          <w:rFonts w:ascii="Sylfaen" w:hAnsi="Sylfaen"/>
          <w:color w:val="000000" w:themeColor="text1"/>
        </w:rPr>
        <w:t xml:space="preserve">According to Romina and Edwards (2012), it is not entirely clear what the implication of widespread uptake of the booster doses (Tdap) in the recommended age groups in the US will be, but data from Australia asserts that Tdap could have an impact on the total disease burden. A study by Witt et al. (2012) further suggests that the current pertussis vaccine doses seem not to be sufficient enough to prevent outbreaks of pertussis. This is similar to the conclusion reached by Romina and Edwards (2012) that it is not evident that a single booster dose of Tdap in adolescents and adults can confer lifelong immunity. The question now is, how best can we protect the populace from high incidence of pertussis? </w:t>
      </w:r>
    </w:p>
    <w:p w14:paraId="161FD74F" w14:textId="77777777" w:rsidR="00F6406E" w:rsidRPr="00290C19" w:rsidRDefault="00F6406E" w:rsidP="00290C19">
      <w:pPr>
        <w:spacing w:before="120" w:after="120" w:line="360" w:lineRule="auto"/>
        <w:jc w:val="both"/>
        <w:rPr>
          <w:rFonts w:ascii="Sylfaen" w:hAnsi="Sylfaen"/>
          <w:color w:val="000000" w:themeColor="text1"/>
        </w:rPr>
      </w:pPr>
      <w:r w:rsidRPr="00290C19">
        <w:rPr>
          <w:rFonts w:ascii="Sylfaen" w:hAnsi="Sylfaen"/>
          <w:color w:val="000000" w:themeColor="text1"/>
        </w:rPr>
        <w:lastRenderedPageBreak/>
        <w:t>Witt et al. (2012) and Romina and Edwards (2012) state that consideration should be given to the possibility of earlier or numerous doses -initial vaccination and booster vaccination- of acellular vaccine for both infants and adults as part of the routine immunization scheduled. Additionally, since evidence portends that pertussis is most severe among young infants (Altamirano  et al., 2012; HPA, 2012b), the current vaccination schedule, which administers the first dose of pertussis vaccine no earlier than six weeks, leaves some windows of susceptibility. This reinforces the conclusion of Romina and Edwards (2012) that the possibility of clinical administration of pertussis vaccination to infants younger than six weeks should be explored.</w:t>
      </w:r>
    </w:p>
    <w:p w14:paraId="5E93A3F9" w14:textId="77777777" w:rsidR="00F6406E" w:rsidRPr="00290C19" w:rsidRDefault="00F6406E" w:rsidP="00290C19">
      <w:pPr>
        <w:spacing w:before="120" w:after="120" w:line="360" w:lineRule="auto"/>
        <w:jc w:val="both"/>
        <w:rPr>
          <w:rFonts w:ascii="Sylfaen" w:hAnsi="Sylfaen"/>
          <w:color w:val="000000" w:themeColor="text1"/>
        </w:rPr>
      </w:pPr>
    </w:p>
    <w:p w14:paraId="51DFD7F4" w14:textId="53871941" w:rsidR="00F6406E" w:rsidRPr="0025429F" w:rsidRDefault="00F6406E" w:rsidP="0025429F">
      <w:pPr>
        <w:pStyle w:val="Heading1"/>
        <w:spacing w:before="120" w:after="120" w:line="360" w:lineRule="auto"/>
        <w:rPr>
          <w:rFonts w:ascii="Sylfaen" w:hAnsi="Sylfaen"/>
          <w:b/>
          <w:bCs/>
          <w:color w:val="000000" w:themeColor="text1"/>
          <w:sz w:val="22"/>
          <w:szCs w:val="22"/>
        </w:rPr>
      </w:pPr>
      <w:r w:rsidRPr="00290C19">
        <w:rPr>
          <w:rFonts w:ascii="Sylfaen" w:hAnsi="Sylfaen"/>
          <w:b/>
          <w:bCs/>
          <w:color w:val="000000" w:themeColor="text1"/>
          <w:sz w:val="22"/>
          <w:szCs w:val="22"/>
        </w:rPr>
        <w:t>Conclusion</w:t>
      </w:r>
    </w:p>
    <w:p w14:paraId="136C9A3D" w14:textId="77777777" w:rsidR="00F6406E" w:rsidRPr="00290C19" w:rsidRDefault="00F6406E" w:rsidP="00290C19">
      <w:pPr>
        <w:spacing w:before="120" w:after="120" w:line="360" w:lineRule="auto"/>
        <w:jc w:val="both"/>
        <w:rPr>
          <w:rFonts w:ascii="Sylfaen" w:hAnsi="Sylfaen"/>
          <w:color w:val="000000" w:themeColor="text1"/>
        </w:rPr>
      </w:pPr>
      <w:r w:rsidRPr="00290C19">
        <w:rPr>
          <w:rFonts w:ascii="Sylfaen" w:hAnsi="Sylfaen"/>
          <w:color w:val="000000" w:themeColor="text1"/>
        </w:rPr>
        <w:t>Pertussis, despite being a vaccine-preventable disease, continues to exert a considerable burden on public health, with significant morbidity in highly vaccinated populations. While evidence that declining immunity is responsible for increased incidence of pertussis in the US is not conclusive, there is a strong indication that declining immunity plays some role in influencing the rising incidence of the disease.  To this extent, vaccination remains an effective global measure against pertussis. In the meantime, efforts should be geared towards assessing long-term immunogenicity of the booster vaccine. This will help in determining whether there is a need for repeated doses or not. If the immunogenicity is found to be relatively short, a pertussis containing vaccine providing long-lasting immunity should be advocated. However, because the development of a new vaccine remains in the distant future, the need to intensify on-going assessments of the determinants of declining immunity with acellular vaccine is of immediate importance.</w:t>
      </w:r>
    </w:p>
    <w:p w14:paraId="4865CD88" w14:textId="77777777" w:rsidR="00F6406E" w:rsidRPr="00290C19" w:rsidRDefault="00F6406E" w:rsidP="00290C19">
      <w:pPr>
        <w:spacing w:before="120" w:after="120" w:line="360" w:lineRule="auto"/>
        <w:jc w:val="both"/>
        <w:rPr>
          <w:rFonts w:ascii="Sylfaen" w:hAnsi="Sylfaen"/>
          <w:b/>
          <w:color w:val="000000" w:themeColor="text1"/>
        </w:rPr>
      </w:pPr>
    </w:p>
    <w:p w14:paraId="5987B72B" w14:textId="00E0A5DD" w:rsidR="00F6406E" w:rsidRPr="0025429F" w:rsidRDefault="00290C19" w:rsidP="0025429F">
      <w:pPr>
        <w:pStyle w:val="Heading1"/>
        <w:spacing w:before="120" w:after="120" w:line="360" w:lineRule="auto"/>
        <w:rPr>
          <w:rFonts w:ascii="Sylfaen" w:hAnsi="Sylfaen"/>
          <w:b/>
          <w:bCs/>
          <w:color w:val="000000" w:themeColor="text1"/>
          <w:sz w:val="22"/>
          <w:szCs w:val="22"/>
          <w:lang w:val="nl-BE"/>
        </w:rPr>
      </w:pPr>
      <w:r w:rsidRPr="00290C19">
        <w:rPr>
          <w:rFonts w:ascii="Sylfaen" w:hAnsi="Sylfaen"/>
          <w:b/>
          <w:bCs/>
          <w:color w:val="000000" w:themeColor="text1"/>
          <w:sz w:val="22"/>
          <w:szCs w:val="22"/>
          <w:lang w:val="nl-BE"/>
        </w:rPr>
        <w:t>References</w:t>
      </w:r>
    </w:p>
    <w:p w14:paraId="468ACE54"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lang w:val="nl-BE"/>
        </w:rPr>
        <w:t xml:space="preserve">Altamirano, C.M., et al. </w:t>
      </w:r>
      <w:r w:rsidRPr="00290C19">
        <w:rPr>
          <w:rFonts w:ascii="Sylfaen" w:hAnsi="Sylfaen"/>
          <w:color w:val="000000" w:themeColor="text1"/>
        </w:rPr>
        <w:t>(2012). Booster Vaccination against Bordetella Pertussis during Pregnancy.</w:t>
      </w:r>
      <w:r w:rsidRPr="00290C19">
        <w:rPr>
          <w:rFonts w:ascii="Sylfaen" w:hAnsi="Sylfaen"/>
          <w:i/>
          <w:color w:val="000000" w:themeColor="text1"/>
        </w:rPr>
        <w:t xml:space="preserve"> Gineco Obstet Mex,</w:t>
      </w:r>
      <w:r w:rsidRPr="00290C19">
        <w:rPr>
          <w:rFonts w:ascii="Sylfaen" w:hAnsi="Sylfaen"/>
          <w:color w:val="000000" w:themeColor="text1"/>
        </w:rPr>
        <w:t xml:space="preserve"> 80(5), pp. 341-347.</w:t>
      </w:r>
    </w:p>
    <w:p w14:paraId="483AEC0B"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lang w:val="nl-BE"/>
        </w:rPr>
        <w:t xml:space="preserve">Bisgard, K.M., et al. </w:t>
      </w:r>
      <w:r w:rsidRPr="00290C19">
        <w:rPr>
          <w:rFonts w:ascii="Sylfaen" w:hAnsi="Sylfaen"/>
          <w:color w:val="000000" w:themeColor="text1"/>
        </w:rPr>
        <w:t>(2004). Infant Pertussis: Who Was the Source? </w:t>
      </w:r>
      <w:r w:rsidRPr="00290C19">
        <w:rPr>
          <w:rFonts w:ascii="Sylfaen" w:hAnsi="Sylfaen"/>
          <w:i/>
          <w:color w:val="000000" w:themeColor="text1"/>
        </w:rPr>
        <w:t>Pediatric Infectious Disease Journal,</w:t>
      </w:r>
      <w:r w:rsidRPr="00290C19">
        <w:rPr>
          <w:rFonts w:ascii="Sylfaen" w:hAnsi="Sylfaen"/>
          <w:color w:val="000000" w:themeColor="text1"/>
        </w:rPr>
        <w:t xml:space="preserve"> 23(11), pp. 985–989.</w:t>
      </w:r>
    </w:p>
    <w:p w14:paraId="5F3224C7"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lastRenderedPageBreak/>
        <w:t xml:space="preserve">Brooks, D.A., and Clover, R. (2005). Pertussis Infection in the United States: Role for Vaccination of Adolescents and Adults. </w:t>
      </w:r>
      <w:r w:rsidRPr="00290C19">
        <w:rPr>
          <w:rFonts w:ascii="Sylfaen" w:hAnsi="Sylfaen"/>
          <w:i/>
          <w:color w:val="000000" w:themeColor="text1"/>
        </w:rPr>
        <w:t>Journal of the American Board of Family Medicine</w:t>
      </w:r>
      <w:r w:rsidRPr="00290C19">
        <w:rPr>
          <w:rFonts w:ascii="Sylfaen" w:hAnsi="Sylfaen"/>
          <w:color w:val="000000" w:themeColor="text1"/>
        </w:rPr>
        <w:t>, 19(6), pp. 603-611. [Online] Available at: &lt;</w:t>
      </w:r>
      <w:hyperlink r:id="rId8" w:history="1">
        <w:r w:rsidRPr="00290C19">
          <w:rPr>
            <w:rStyle w:val="Hyperlink"/>
            <w:rFonts w:ascii="Sylfaen" w:hAnsi="Sylfaen"/>
            <w:color w:val="000000" w:themeColor="text1"/>
          </w:rPr>
          <w:t>http://www.jabfm.org/content/19/6/603.full</w:t>
        </w:r>
      </w:hyperlink>
      <w:r w:rsidRPr="00290C19">
        <w:rPr>
          <w:rStyle w:val="Hyperlink"/>
          <w:rFonts w:ascii="Sylfaen" w:hAnsi="Sylfaen"/>
          <w:color w:val="000000" w:themeColor="text1"/>
        </w:rPr>
        <w:t>&gt;</w:t>
      </w:r>
      <w:r w:rsidRPr="00290C19">
        <w:rPr>
          <w:rFonts w:ascii="Sylfaen" w:hAnsi="Sylfaen"/>
          <w:color w:val="000000" w:themeColor="text1"/>
        </w:rPr>
        <w:t xml:space="preserve"> [Accessed: 22 April 2013].</w:t>
      </w:r>
    </w:p>
    <w:p w14:paraId="6F7119FC"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t xml:space="preserve">Broutin, H., et al. (2010). Impact of Vaccination and Birth Rate on the Epidemiology of Pertussis: a Comparative Study in 64 Countries. </w:t>
      </w:r>
      <w:r w:rsidRPr="00290C19">
        <w:rPr>
          <w:rFonts w:ascii="Sylfaen" w:hAnsi="Sylfaen"/>
          <w:i/>
          <w:color w:val="000000" w:themeColor="text1"/>
        </w:rPr>
        <w:t>Proceedings of the Royal Society of Biological Science,</w:t>
      </w:r>
      <w:r w:rsidRPr="00290C19">
        <w:rPr>
          <w:rFonts w:ascii="Sylfaen" w:hAnsi="Sylfaen"/>
          <w:color w:val="000000" w:themeColor="text1"/>
        </w:rPr>
        <w:t xml:space="preserve"> 277(1698), pp. 3239-3245. [Online] Available at: &lt;</w:t>
      </w:r>
      <w:hyperlink r:id="rId9" w:history="1">
        <w:r w:rsidRPr="00290C19">
          <w:rPr>
            <w:rStyle w:val="Hyperlink"/>
            <w:rFonts w:ascii="Sylfaen" w:hAnsi="Sylfaen"/>
            <w:color w:val="000000" w:themeColor="text1"/>
          </w:rPr>
          <w:t>http://www.ncbi.nlm.nih.gov/pmc/articles/PMC2981935/</w:t>
        </w:r>
      </w:hyperlink>
      <w:r w:rsidRPr="00290C19">
        <w:rPr>
          <w:rFonts w:ascii="Sylfaen" w:hAnsi="Sylfaen"/>
          <w:color w:val="000000" w:themeColor="text1"/>
        </w:rPr>
        <w:t>&gt; [Accessed: 25 April 2013].</w:t>
      </w:r>
    </w:p>
    <w:p w14:paraId="29E5657C"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t xml:space="preserve">Centres for Disease Control and Prevention (CDC) (2012). </w:t>
      </w:r>
      <w:r w:rsidRPr="00290C19">
        <w:rPr>
          <w:rFonts w:ascii="Sylfaen" w:hAnsi="Sylfaen"/>
          <w:i/>
          <w:color w:val="000000" w:themeColor="text1"/>
        </w:rPr>
        <w:t>Surveillance and Reporting</w:t>
      </w:r>
      <w:r w:rsidRPr="00290C19">
        <w:rPr>
          <w:rFonts w:ascii="Sylfaen" w:hAnsi="Sylfaen"/>
          <w:color w:val="000000" w:themeColor="text1"/>
        </w:rPr>
        <w:t>. [Online] Available at: &lt;</w:t>
      </w:r>
      <w:hyperlink r:id="rId10" w:history="1">
        <w:r w:rsidRPr="00290C19">
          <w:rPr>
            <w:rStyle w:val="Hyperlink"/>
            <w:rFonts w:ascii="Sylfaen" w:hAnsi="Sylfaen"/>
            <w:color w:val="000000" w:themeColor="text1"/>
          </w:rPr>
          <w:t>http://www.cdc.gov/pertussis’/surv-reporting.html</w:t>
        </w:r>
      </w:hyperlink>
      <w:r w:rsidRPr="00290C19">
        <w:rPr>
          <w:rStyle w:val="Hyperlink"/>
          <w:rFonts w:ascii="Sylfaen" w:hAnsi="Sylfaen"/>
          <w:color w:val="000000" w:themeColor="text1"/>
        </w:rPr>
        <w:t>&gt;</w:t>
      </w:r>
      <w:r w:rsidRPr="00290C19">
        <w:rPr>
          <w:rFonts w:ascii="Sylfaen" w:hAnsi="Sylfaen"/>
          <w:color w:val="000000" w:themeColor="text1"/>
        </w:rPr>
        <w:t xml:space="preserve"> [Accessed: 19 March 2013].</w:t>
      </w:r>
    </w:p>
    <w:p w14:paraId="38569EC5"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t xml:space="preserve">Centres for Disease Control and Prevention (CDC) (2013a). </w:t>
      </w:r>
      <w:r w:rsidRPr="00290C19">
        <w:rPr>
          <w:rFonts w:ascii="Sylfaen" w:hAnsi="Sylfaen"/>
          <w:i/>
          <w:color w:val="000000" w:themeColor="text1"/>
        </w:rPr>
        <w:t>Pertussis (Whooping Cough)</w:t>
      </w:r>
      <w:r w:rsidRPr="00290C19">
        <w:rPr>
          <w:rFonts w:ascii="Sylfaen" w:hAnsi="Sylfaen"/>
          <w:color w:val="000000" w:themeColor="text1"/>
        </w:rPr>
        <w:t>. [Online] Available at: &lt;</w:t>
      </w:r>
      <w:hyperlink r:id="rId11" w:history="1">
        <w:r w:rsidRPr="00290C19">
          <w:rPr>
            <w:rStyle w:val="Hyperlink"/>
            <w:rFonts w:ascii="Sylfaen" w:hAnsi="Sylfaen"/>
            <w:color w:val="000000" w:themeColor="text1"/>
          </w:rPr>
          <w:t>http://www.cdc.gov/pertussis/outbreaks.html</w:t>
        </w:r>
      </w:hyperlink>
      <w:r w:rsidRPr="00290C19">
        <w:rPr>
          <w:rStyle w:val="Hyperlink"/>
          <w:rFonts w:ascii="Sylfaen" w:hAnsi="Sylfaen"/>
          <w:color w:val="000000" w:themeColor="text1"/>
        </w:rPr>
        <w:t>&gt;</w:t>
      </w:r>
      <w:r w:rsidRPr="00290C19">
        <w:rPr>
          <w:rFonts w:ascii="Sylfaen" w:hAnsi="Sylfaen"/>
          <w:color w:val="000000" w:themeColor="text1"/>
        </w:rPr>
        <w:t xml:space="preserve"> [Accessed: 19 March 2013].</w:t>
      </w:r>
    </w:p>
    <w:p w14:paraId="55B00807"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t>Centres for Disease Control and Prevention</w:t>
      </w:r>
      <w:r w:rsidRPr="00290C19">
        <w:rPr>
          <w:rFonts w:ascii="Sylfaen" w:hAnsi="Sylfaen"/>
          <w:i/>
          <w:color w:val="000000" w:themeColor="text1"/>
        </w:rPr>
        <w:t xml:space="preserve"> </w:t>
      </w:r>
      <w:r w:rsidRPr="00290C19">
        <w:rPr>
          <w:rFonts w:ascii="Sylfaen" w:hAnsi="Sylfaen"/>
          <w:color w:val="000000" w:themeColor="text1"/>
        </w:rPr>
        <w:t>(CDC)</w:t>
      </w:r>
      <w:r w:rsidRPr="00290C19">
        <w:rPr>
          <w:rFonts w:ascii="Sylfaen" w:hAnsi="Sylfaen"/>
          <w:i/>
          <w:color w:val="000000" w:themeColor="text1"/>
        </w:rPr>
        <w:t xml:space="preserve"> </w:t>
      </w:r>
      <w:r w:rsidRPr="00290C19">
        <w:rPr>
          <w:rFonts w:ascii="Sylfaen" w:hAnsi="Sylfaen"/>
          <w:color w:val="000000" w:themeColor="text1"/>
        </w:rPr>
        <w:t xml:space="preserve">(2013b). </w:t>
      </w:r>
      <w:r w:rsidRPr="00290C19">
        <w:rPr>
          <w:rFonts w:ascii="Sylfaen" w:hAnsi="Sylfaen"/>
          <w:i/>
          <w:color w:val="000000" w:themeColor="text1"/>
        </w:rPr>
        <w:t>Pertussis (Whooping Cough) – What You Need to Know</w:t>
      </w:r>
      <w:r w:rsidRPr="00290C19">
        <w:rPr>
          <w:rFonts w:ascii="Sylfaen" w:hAnsi="Sylfaen"/>
          <w:color w:val="000000" w:themeColor="text1"/>
        </w:rPr>
        <w:t>. [Online] Available at: &lt;</w:t>
      </w:r>
      <w:hyperlink r:id="rId12" w:history="1">
        <w:r w:rsidRPr="00290C19">
          <w:rPr>
            <w:rStyle w:val="Hyperlink"/>
            <w:rFonts w:ascii="Sylfaen" w:hAnsi="Sylfaen"/>
            <w:color w:val="000000" w:themeColor="text1"/>
          </w:rPr>
          <w:t>http://www.cdc.gov/Features/Pertussis/</w:t>
        </w:r>
      </w:hyperlink>
      <w:r w:rsidRPr="00290C19">
        <w:rPr>
          <w:rStyle w:val="Hyperlink"/>
          <w:rFonts w:ascii="Sylfaen" w:hAnsi="Sylfaen"/>
          <w:color w:val="000000" w:themeColor="text1"/>
        </w:rPr>
        <w:t>&gt;</w:t>
      </w:r>
      <w:r w:rsidRPr="00290C19">
        <w:rPr>
          <w:rFonts w:ascii="Sylfaen" w:hAnsi="Sylfaen"/>
          <w:color w:val="000000" w:themeColor="text1"/>
        </w:rPr>
        <w:t xml:space="preserve"> [Accessed: 20 March 2013].</w:t>
      </w:r>
    </w:p>
    <w:p w14:paraId="366A0041"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t xml:space="preserve">Cherry, J.D., et al. (1988). Pertussis Immunization. </w:t>
      </w:r>
      <w:r w:rsidRPr="00290C19">
        <w:rPr>
          <w:rFonts w:ascii="Sylfaen" w:hAnsi="Sylfaen"/>
          <w:i/>
          <w:color w:val="000000" w:themeColor="text1"/>
        </w:rPr>
        <w:t>Pediatrics,</w:t>
      </w:r>
      <w:r w:rsidRPr="00290C19">
        <w:rPr>
          <w:rFonts w:ascii="Sylfaen" w:hAnsi="Sylfaen"/>
          <w:color w:val="000000" w:themeColor="text1"/>
        </w:rPr>
        <w:t xml:space="preserve"> 81(6), pp. 933-984.</w:t>
      </w:r>
    </w:p>
    <w:p w14:paraId="4733979B"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t xml:space="preserve">Cherry, J.D., et al. (2012). Clinical Definitions of Pertussis: Summary of a Global Pertussis Initiative Roundtable Meeting, February 2011. </w:t>
      </w:r>
      <w:r w:rsidRPr="00290C19">
        <w:rPr>
          <w:rFonts w:ascii="Sylfaen" w:hAnsi="Sylfaen"/>
          <w:i/>
          <w:color w:val="000000" w:themeColor="text1"/>
        </w:rPr>
        <w:t>Clinical Infectious Diseases,</w:t>
      </w:r>
      <w:r w:rsidRPr="00290C19">
        <w:rPr>
          <w:rFonts w:ascii="Sylfaen" w:hAnsi="Sylfaen"/>
          <w:color w:val="000000" w:themeColor="text1"/>
        </w:rPr>
        <w:t xml:space="preserve"> 54(12), pp. 1756-1764. [Online] Available at: &lt;</w:t>
      </w:r>
      <w:hyperlink r:id="rId13" w:history="1">
        <w:r w:rsidRPr="00290C19">
          <w:rPr>
            <w:rStyle w:val="Hyperlink"/>
            <w:rFonts w:ascii="Sylfaen" w:hAnsi="Sylfaen"/>
            <w:color w:val="000000" w:themeColor="text1"/>
          </w:rPr>
          <w:t>http://www.ncbi.nlm.nih.gov/pmc/articles/PMC3357482/</w:t>
        </w:r>
      </w:hyperlink>
      <w:r w:rsidRPr="00290C19">
        <w:rPr>
          <w:rFonts w:ascii="Sylfaen" w:hAnsi="Sylfaen"/>
          <w:color w:val="000000" w:themeColor="text1"/>
        </w:rPr>
        <w:t>&gt; [Accessed: April 2013].</w:t>
      </w:r>
    </w:p>
    <w:p w14:paraId="529E6B4F" w14:textId="4547BB31"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t xml:space="preserve">Dodhia, H., et al. (2002). UK Guidelines for Use of Erythromycin Chemoprophylaxis in Persons Exposed To Pertussis. </w:t>
      </w:r>
      <w:r w:rsidRPr="00290C19">
        <w:rPr>
          <w:rFonts w:ascii="Sylfaen" w:hAnsi="Sylfaen"/>
          <w:i/>
          <w:color w:val="000000" w:themeColor="text1"/>
        </w:rPr>
        <w:t>Journal of Public Health Medicine,</w:t>
      </w:r>
      <w:r w:rsidRPr="00290C19">
        <w:rPr>
          <w:rFonts w:ascii="Sylfaen" w:hAnsi="Sylfaen"/>
          <w:color w:val="000000" w:themeColor="text1"/>
        </w:rPr>
        <w:t xml:space="preserve"> 24(3), pp. 200-206.</w:t>
      </w:r>
    </w:p>
    <w:p w14:paraId="228795D6" w14:textId="77777777" w:rsidR="00F6406E" w:rsidRPr="00290C19" w:rsidRDefault="00F6406E" w:rsidP="00290C19">
      <w:pPr>
        <w:spacing w:before="120" w:after="120" w:line="360" w:lineRule="auto"/>
        <w:rPr>
          <w:rFonts w:ascii="Sylfaen" w:hAnsi="Sylfaen"/>
          <w:i/>
          <w:color w:val="000000" w:themeColor="text1"/>
        </w:rPr>
      </w:pPr>
      <w:r w:rsidRPr="00290C19">
        <w:rPr>
          <w:rFonts w:ascii="Sylfaen" w:hAnsi="Sylfaen"/>
          <w:color w:val="000000" w:themeColor="text1"/>
        </w:rPr>
        <w:t xml:space="preserve">Faulkner, A., et al. (2011). Pertussis. </w:t>
      </w:r>
      <w:r w:rsidRPr="00290C19">
        <w:rPr>
          <w:rFonts w:ascii="Sylfaen" w:hAnsi="Sylfaen"/>
          <w:i/>
          <w:color w:val="000000" w:themeColor="text1"/>
        </w:rPr>
        <w:t xml:space="preserve">VPD Surveillance Manual , </w:t>
      </w:r>
      <w:r w:rsidRPr="00290C19">
        <w:rPr>
          <w:rFonts w:ascii="Sylfaen" w:hAnsi="Sylfaen"/>
          <w:color w:val="000000" w:themeColor="text1"/>
        </w:rPr>
        <w:t>5</w:t>
      </w:r>
      <w:r w:rsidRPr="00290C19">
        <w:rPr>
          <w:rFonts w:ascii="Sylfaen" w:hAnsi="Sylfaen"/>
          <w:color w:val="000000" w:themeColor="text1"/>
          <w:vertAlign w:val="superscript"/>
        </w:rPr>
        <w:t>th</w:t>
      </w:r>
      <w:r w:rsidRPr="00290C19">
        <w:rPr>
          <w:rFonts w:ascii="Sylfaen" w:hAnsi="Sylfaen"/>
          <w:color w:val="000000" w:themeColor="text1"/>
        </w:rPr>
        <w:t xml:space="preserve"> ed., Chapter 10. [Online] Available at: &lt;</w:t>
      </w:r>
      <w:hyperlink r:id="rId14" w:history="1">
        <w:r w:rsidRPr="00290C19">
          <w:rPr>
            <w:rStyle w:val="Hyperlink"/>
            <w:rFonts w:ascii="Sylfaen" w:hAnsi="Sylfaen"/>
            <w:color w:val="000000" w:themeColor="text1"/>
          </w:rPr>
          <w:t>http://www.cdc.gov/vaccines/pubs/surv-manual/index.html</w:t>
        </w:r>
      </w:hyperlink>
      <w:r w:rsidRPr="00290C19">
        <w:rPr>
          <w:rFonts w:ascii="Sylfaen" w:hAnsi="Sylfaen"/>
          <w:color w:val="000000" w:themeColor="text1"/>
        </w:rPr>
        <w:t>&gt; [Accessed: 19 May 2014].</w:t>
      </w:r>
    </w:p>
    <w:p w14:paraId="004DE10C"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lang w:val="nl-BE"/>
        </w:rPr>
        <w:t xml:space="preserve">Forsyth, K.D., et al. </w:t>
      </w:r>
      <w:r w:rsidRPr="00290C19">
        <w:rPr>
          <w:rFonts w:ascii="Sylfaen" w:hAnsi="Sylfaen"/>
          <w:color w:val="000000" w:themeColor="text1"/>
        </w:rPr>
        <w:t xml:space="preserve">(2004). New Pertussis Vaccination Strategies beyond Infancy: Recommendations by the Global Pertussis Initiative. </w:t>
      </w:r>
      <w:r w:rsidRPr="00290C19">
        <w:rPr>
          <w:rFonts w:ascii="Sylfaen" w:hAnsi="Sylfaen"/>
          <w:i/>
          <w:color w:val="000000" w:themeColor="text1"/>
        </w:rPr>
        <w:t>Clinical Infectious Diseases,</w:t>
      </w:r>
      <w:r w:rsidRPr="00290C19">
        <w:rPr>
          <w:rFonts w:ascii="Sylfaen" w:hAnsi="Sylfaen"/>
          <w:color w:val="000000" w:themeColor="text1"/>
        </w:rPr>
        <w:t xml:space="preserve"> 39, pp. 1802-1809.</w:t>
      </w:r>
    </w:p>
    <w:p w14:paraId="2EC7AF5C"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lastRenderedPageBreak/>
        <w:t xml:space="preserve">Forsyth, K.D., et al. (2007). Prevention of Pertussis: Recommendations Derived from the Second Global Pertussis Initiative Roundtable Meeting. </w:t>
      </w:r>
      <w:r w:rsidRPr="00290C19">
        <w:rPr>
          <w:rFonts w:ascii="Sylfaen" w:hAnsi="Sylfaen"/>
          <w:i/>
          <w:color w:val="000000" w:themeColor="text1"/>
        </w:rPr>
        <w:t>Vaccine,</w:t>
      </w:r>
      <w:r w:rsidRPr="00290C19">
        <w:rPr>
          <w:rFonts w:ascii="Sylfaen" w:hAnsi="Sylfaen"/>
          <w:color w:val="000000" w:themeColor="text1"/>
        </w:rPr>
        <w:t xml:space="preserve"> 25(14), pp. 2634-2642.</w:t>
      </w:r>
    </w:p>
    <w:p w14:paraId="1F5920DE"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lang w:val="es-ES_tradnl"/>
        </w:rPr>
        <w:t xml:space="preserve">De Greeff, S.C., et al. </w:t>
      </w:r>
      <w:r w:rsidRPr="00290C19">
        <w:rPr>
          <w:rFonts w:ascii="Sylfaen" w:hAnsi="Sylfaen"/>
          <w:color w:val="000000" w:themeColor="text1"/>
        </w:rPr>
        <w:t>(2010). Pertussis Disease Burden in the Household: How to Protect Young Infants. </w:t>
      </w:r>
      <w:r w:rsidRPr="00290C19">
        <w:rPr>
          <w:rFonts w:ascii="Sylfaen" w:hAnsi="Sylfaen"/>
          <w:i/>
          <w:color w:val="000000" w:themeColor="text1"/>
        </w:rPr>
        <w:t xml:space="preserve">Clinical Infectious Diseases, </w:t>
      </w:r>
      <w:r w:rsidRPr="00290C19">
        <w:rPr>
          <w:rFonts w:ascii="Sylfaen" w:hAnsi="Sylfaen"/>
          <w:color w:val="000000" w:themeColor="text1"/>
        </w:rPr>
        <w:t>50(10), pp.1339–1345.</w:t>
      </w:r>
    </w:p>
    <w:p w14:paraId="1B1A082A"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t xml:space="preserve">Jardine, A., et al. (2010). Who Gives Pertussis to Infants? Source of Infection for Laboratory Confirmed Cases Less than 12 Months of Age during an Epidemic Sydney, 2009. </w:t>
      </w:r>
      <w:r w:rsidRPr="00290C19">
        <w:rPr>
          <w:rFonts w:ascii="Sylfaen" w:hAnsi="Sylfaen"/>
          <w:i/>
          <w:color w:val="000000" w:themeColor="text1"/>
        </w:rPr>
        <w:t>Clinical and Developmental Immunology,</w:t>
      </w:r>
      <w:r w:rsidRPr="00290C19">
        <w:rPr>
          <w:rFonts w:ascii="Sylfaen" w:hAnsi="Sylfaen"/>
          <w:color w:val="000000" w:themeColor="text1"/>
        </w:rPr>
        <w:t xml:space="preserve"> 34(2). [Online] Available at: &lt;</w:t>
      </w:r>
      <w:hyperlink r:id="rId15" w:history="1">
        <w:r w:rsidRPr="00290C19">
          <w:rPr>
            <w:rStyle w:val="Hyperlink"/>
            <w:rFonts w:ascii="Sylfaen" w:hAnsi="Sylfaen"/>
            <w:color w:val="000000" w:themeColor="text1"/>
          </w:rPr>
          <w:t>http://www.health.gov.au/internet/main/publishing.nsf/content/cda-cdi3402-pdf-cnt.htm/$FILE/cdi3402e.pdf</w:t>
        </w:r>
      </w:hyperlink>
      <w:r w:rsidRPr="00290C19">
        <w:rPr>
          <w:rFonts w:ascii="Sylfaen" w:hAnsi="Sylfaen"/>
          <w:color w:val="000000" w:themeColor="text1"/>
        </w:rPr>
        <w:t>&gt; [Accessed: 22 April 2013].</w:t>
      </w:r>
    </w:p>
    <w:p w14:paraId="3CF88AFE"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t xml:space="preserve">Halperin, S.A., (2001). Pertussis Immunization for Adolescents: What Are We Waiting for? </w:t>
      </w:r>
      <w:r w:rsidRPr="00290C19">
        <w:rPr>
          <w:rFonts w:ascii="Sylfaen" w:hAnsi="Sylfaen"/>
          <w:i/>
          <w:color w:val="000000" w:themeColor="text1"/>
        </w:rPr>
        <w:t>Canadian Journal of Infectious Diseases,</w:t>
      </w:r>
      <w:r w:rsidRPr="00290C19">
        <w:rPr>
          <w:rFonts w:ascii="Sylfaen" w:hAnsi="Sylfaen"/>
          <w:color w:val="000000" w:themeColor="text1"/>
        </w:rPr>
        <w:t xml:space="preserve"> 12(2), pp. 74-76. [Online] Available at: &lt;</w:t>
      </w:r>
      <w:hyperlink r:id="rId16" w:history="1">
        <w:r w:rsidRPr="00290C19">
          <w:rPr>
            <w:rStyle w:val="Hyperlink"/>
            <w:rFonts w:ascii="Sylfaen" w:hAnsi="Sylfaen"/>
            <w:color w:val="000000" w:themeColor="text1"/>
          </w:rPr>
          <w:t>http://www.ncbi.nlm.nih.gov/pmc/articles/PMC2094806/pdf/JID12074.pdf</w:t>
        </w:r>
      </w:hyperlink>
      <w:r w:rsidRPr="00290C19">
        <w:rPr>
          <w:rStyle w:val="Hyperlink"/>
          <w:rFonts w:ascii="Sylfaen" w:hAnsi="Sylfaen"/>
          <w:color w:val="000000" w:themeColor="text1"/>
        </w:rPr>
        <w:t>&gt;</w:t>
      </w:r>
      <w:r w:rsidRPr="00290C19">
        <w:rPr>
          <w:rFonts w:ascii="Sylfaen" w:hAnsi="Sylfaen"/>
          <w:color w:val="000000" w:themeColor="text1"/>
        </w:rPr>
        <w:t xml:space="preserve"> [Accessed: 20 March 2013].</w:t>
      </w:r>
    </w:p>
    <w:p w14:paraId="5BFF80FA"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t xml:space="preserve">Health Protection Agency (HPA) (2012a). </w:t>
      </w:r>
      <w:r w:rsidRPr="00290C19">
        <w:rPr>
          <w:rFonts w:ascii="Sylfaen" w:hAnsi="Sylfaen"/>
          <w:i/>
          <w:color w:val="000000" w:themeColor="text1"/>
        </w:rPr>
        <w:t>Whooping Cough Cases Continue to Increase</w:t>
      </w:r>
      <w:r w:rsidRPr="00290C19">
        <w:rPr>
          <w:rFonts w:ascii="Sylfaen" w:hAnsi="Sylfaen"/>
          <w:color w:val="000000" w:themeColor="text1"/>
        </w:rPr>
        <w:t>. [Online] Available at: &lt;</w:t>
      </w:r>
      <w:hyperlink r:id="rId17" w:history="1">
        <w:r w:rsidRPr="00290C19">
          <w:rPr>
            <w:rStyle w:val="Hyperlink"/>
            <w:rFonts w:ascii="Sylfaen" w:hAnsi="Sylfaen"/>
            <w:color w:val="000000" w:themeColor="text1"/>
          </w:rPr>
          <w:t>http://www.hpa.org.uk/webw/HPAwebandHPA webStandard/HPAweb_C/1317137240199</w:t>
        </w:r>
      </w:hyperlink>
      <w:r w:rsidRPr="00290C19">
        <w:rPr>
          <w:rStyle w:val="Hyperlink"/>
          <w:rFonts w:ascii="Sylfaen" w:hAnsi="Sylfaen"/>
          <w:color w:val="000000" w:themeColor="text1"/>
        </w:rPr>
        <w:t>&gt;</w:t>
      </w:r>
      <w:r w:rsidRPr="00290C19">
        <w:rPr>
          <w:rFonts w:ascii="Sylfaen" w:hAnsi="Sylfaen"/>
          <w:color w:val="000000" w:themeColor="text1"/>
        </w:rPr>
        <w:t xml:space="preserve"> [Accessed: 19 March 2013].</w:t>
      </w:r>
    </w:p>
    <w:p w14:paraId="52B34631"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t xml:space="preserve">Health Protection Agency (HPA) (2012b). </w:t>
      </w:r>
      <w:r w:rsidRPr="00290C19">
        <w:rPr>
          <w:rFonts w:ascii="Sylfaen" w:hAnsi="Sylfaen"/>
          <w:i/>
          <w:color w:val="000000" w:themeColor="text1"/>
        </w:rPr>
        <w:t>HPA Guidelines for the Public Health Management of Pertussis</w:t>
      </w:r>
      <w:r w:rsidRPr="00290C19">
        <w:rPr>
          <w:rFonts w:ascii="Sylfaen" w:hAnsi="Sylfaen"/>
          <w:color w:val="000000" w:themeColor="text1"/>
        </w:rPr>
        <w:t>. [Online] Available at: &lt;</w:t>
      </w:r>
      <w:hyperlink r:id="rId18" w:history="1">
        <w:r w:rsidRPr="00290C19">
          <w:rPr>
            <w:rStyle w:val="Hyperlink"/>
            <w:rFonts w:ascii="Sylfaen" w:hAnsi="Sylfaen"/>
            <w:color w:val="000000" w:themeColor="text1"/>
          </w:rPr>
          <w:t>http://www.hpa.org.uk/webc/HPAwebFile/HPAweb_C/1287142671506</w:t>
        </w:r>
      </w:hyperlink>
      <w:r w:rsidRPr="00290C19">
        <w:rPr>
          <w:rStyle w:val="Hyperlink"/>
          <w:rFonts w:ascii="Sylfaen" w:hAnsi="Sylfaen"/>
          <w:color w:val="000000" w:themeColor="text1"/>
        </w:rPr>
        <w:t>&gt;</w:t>
      </w:r>
      <w:r w:rsidRPr="00290C19">
        <w:rPr>
          <w:rFonts w:ascii="Sylfaen" w:hAnsi="Sylfaen"/>
          <w:color w:val="000000" w:themeColor="text1"/>
        </w:rPr>
        <w:t xml:space="preserve"> [Accessed: 18 March 2013].</w:t>
      </w:r>
    </w:p>
    <w:p w14:paraId="77DA3E16"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t xml:space="preserve">Health Protection Agency (HPA) (2013). </w:t>
      </w:r>
      <w:r w:rsidRPr="00290C19">
        <w:rPr>
          <w:rFonts w:ascii="Sylfaen" w:hAnsi="Sylfaen"/>
          <w:i/>
          <w:color w:val="000000" w:themeColor="text1"/>
        </w:rPr>
        <w:t>Cases of Whooping Cough Continue to Decrease</w:t>
      </w:r>
      <w:r w:rsidRPr="00290C19">
        <w:rPr>
          <w:rFonts w:ascii="Sylfaen" w:hAnsi="Sylfaen"/>
          <w:color w:val="000000" w:themeColor="text1"/>
        </w:rPr>
        <w:t>.  [Online] Available at: &lt;</w:t>
      </w:r>
      <w:hyperlink r:id="rId19" w:history="1">
        <w:r w:rsidRPr="00290C19">
          <w:rPr>
            <w:rStyle w:val="Hyperlink"/>
            <w:rFonts w:ascii="Sylfaen" w:hAnsi="Sylfaen"/>
            <w:color w:val="000000" w:themeColor="text1"/>
          </w:rPr>
          <w:t>http://www.hpa.org.uk/NewsCentre/NationalPressReleases/2013PressReleases/130301Casesofwhoopingcoughcontinuetodecrease/</w:t>
        </w:r>
      </w:hyperlink>
      <w:r w:rsidRPr="00290C19">
        <w:rPr>
          <w:rStyle w:val="Hyperlink"/>
          <w:rFonts w:ascii="Sylfaen" w:hAnsi="Sylfaen"/>
          <w:color w:val="000000" w:themeColor="text1"/>
        </w:rPr>
        <w:t>&gt;</w:t>
      </w:r>
      <w:r w:rsidRPr="00290C19">
        <w:rPr>
          <w:rFonts w:ascii="Sylfaen" w:hAnsi="Sylfaen"/>
          <w:color w:val="000000" w:themeColor="text1"/>
        </w:rPr>
        <w:t xml:space="preserve"> [Accessed: 20 March 2013].</w:t>
      </w:r>
    </w:p>
    <w:p w14:paraId="573A9BFB"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t xml:space="preserve">Healy, C.M., and Baker, C.J. (2012). Infant Pertussis: What to Do Next? </w:t>
      </w:r>
      <w:r w:rsidRPr="00290C19">
        <w:rPr>
          <w:rFonts w:ascii="Sylfaen" w:hAnsi="Sylfaen"/>
          <w:i/>
          <w:color w:val="000000" w:themeColor="text1"/>
        </w:rPr>
        <w:t>Clinical Infectious Diseases,</w:t>
      </w:r>
      <w:r w:rsidRPr="00290C19">
        <w:rPr>
          <w:rFonts w:ascii="Sylfaen" w:hAnsi="Sylfaen"/>
          <w:color w:val="000000" w:themeColor="text1"/>
        </w:rPr>
        <w:t xml:space="preserve"> 54(3), pp. 328-330.</w:t>
      </w:r>
    </w:p>
    <w:p w14:paraId="5FDBCD39"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t xml:space="preserve">Hewlett, E.L., and Edwards, K.M. (2005). Pertussis -Not Just for Kids. </w:t>
      </w:r>
      <w:r w:rsidRPr="00290C19">
        <w:rPr>
          <w:rFonts w:ascii="Sylfaen" w:hAnsi="Sylfaen"/>
          <w:i/>
          <w:color w:val="000000" w:themeColor="text1"/>
        </w:rPr>
        <w:t>The New England Journal of Medicine,</w:t>
      </w:r>
      <w:r w:rsidRPr="00290C19">
        <w:rPr>
          <w:rFonts w:ascii="Sylfaen" w:hAnsi="Sylfaen"/>
          <w:color w:val="000000" w:themeColor="text1"/>
        </w:rPr>
        <w:t xml:space="preserve"> 352</w:t>
      </w:r>
      <w:r w:rsidRPr="00290C19">
        <w:rPr>
          <w:rFonts w:ascii="Sylfaen" w:hAnsi="Sylfaen"/>
          <w:b/>
          <w:color w:val="000000" w:themeColor="text1"/>
        </w:rPr>
        <w:t>,</w:t>
      </w:r>
      <w:r w:rsidRPr="00290C19">
        <w:rPr>
          <w:rFonts w:ascii="Sylfaen" w:hAnsi="Sylfaen"/>
          <w:color w:val="000000" w:themeColor="text1"/>
        </w:rPr>
        <w:t xml:space="preserve"> pp.1215-1222.</w:t>
      </w:r>
    </w:p>
    <w:p w14:paraId="3B9FB559" w14:textId="77777777" w:rsidR="0025429F"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lastRenderedPageBreak/>
        <w:t xml:space="preserve">Hodder, S.L., and Mortimer, E.A. (1992). Epidemiology of Pertussis and Reactions to Pertussis Vaccine. </w:t>
      </w:r>
      <w:r w:rsidRPr="00290C19">
        <w:rPr>
          <w:rFonts w:ascii="Sylfaen" w:hAnsi="Sylfaen"/>
          <w:i/>
          <w:color w:val="000000" w:themeColor="text1"/>
        </w:rPr>
        <w:t>Epidemiological Review,</w:t>
      </w:r>
      <w:r w:rsidRPr="00290C19">
        <w:rPr>
          <w:rFonts w:ascii="Sylfaen" w:hAnsi="Sylfaen"/>
          <w:color w:val="000000" w:themeColor="text1"/>
        </w:rPr>
        <w:t xml:space="preserve"> 14, pp. 243-267</w:t>
      </w:r>
      <w:r w:rsidR="0025429F">
        <w:rPr>
          <w:rFonts w:ascii="Sylfaen" w:hAnsi="Sylfaen"/>
          <w:color w:val="000000" w:themeColor="text1"/>
        </w:rPr>
        <w:t>.</w:t>
      </w:r>
    </w:p>
    <w:p w14:paraId="14C11B19" w14:textId="6DE66AE5"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t xml:space="preserve">Klein, N.P., et al. (2012). Waning Protection after Fifth Dose of Acellular Pertussis Vaccine in Children. </w:t>
      </w:r>
      <w:r w:rsidRPr="00290C19">
        <w:rPr>
          <w:rFonts w:ascii="Sylfaen" w:hAnsi="Sylfaen"/>
          <w:i/>
          <w:color w:val="000000" w:themeColor="text1"/>
        </w:rPr>
        <w:t>The New England Journal of Medicine,</w:t>
      </w:r>
      <w:r w:rsidRPr="00290C19">
        <w:rPr>
          <w:rFonts w:ascii="Sylfaen" w:hAnsi="Sylfaen"/>
          <w:color w:val="000000" w:themeColor="text1"/>
        </w:rPr>
        <w:t xml:space="preserve"> 367(11), pp. 1012-1019. [Online] Available at: &lt;</w:t>
      </w:r>
      <w:hyperlink r:id="rId20" w:history="1">
        <w:r w:rsidRPr="00290C19">
          <w:rPr>
            <w:rStyle w:val="Hyperlink"/>
            <w:rFonts w:ascii="Sylfaen" w:hAnsi="Sylfaen"/>
            <w:color w:val="000000" w:themeColor="text1"/>
          </w:rPr>
          <w:t>http://idahoimmune.org/pdfs/NEJMoa1200850.pdf</w:t>
        </w:r>
      </w:hyperlink>
      <w:r w:rsidRPr="00290C19">
        <w:rPr>
          <w:rStyle w:val="Hyperlink"/>
          <w:rFonts w:ascii="Sylfaen" w:hAnsi="Sylfaen"/>
          <w:color w:val="000000" w:themeColor="text1"/>
        </w:rPr>
        <w:t>&gt;</w:t>
      </w:r>
      <w:r w:rsidRPr="00290C19">
        <w:rPr>
          <w:rFonts w:ascii="Sylfaen" w:hAnsi="Sylfaen"/>
          <w:color w:val="000000" w:themeColor="text1"/>
        </w:rPr>
        <w:t xml:space="preserve"> [Accessed: 23 April 2013]</w:t>
      </w:r>
    </w:p>
    <w:p w14:paraId="645B0830"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t xml:space="preserve">Kretsinger, K., et al. (2006). Preventing Tetanus, Diphtheria and Pertussis Among Adults: Use of Tetanus Toxoid, Reduced Diphtheria Toxoid and Acellular Pertussis Vaccine Recommendations of the Advisory Committee on Immunization Practices (ACIP) and Recommendation of ACIP, Supported by the Healthcare Infection Control Practices Advisory Committee (HICPAC), for Use of Tdap among Health-Care Personnel. </w:t>
      </w:r>
      <w:r w:rsidRPr="00290C19">
        <w:rPr>
          <w:rFonts w:ascii="Sylfaen" w:hAnsi="Sylfaen"/>
          <w:i/>
          <w:color w:val="000000" w:themeColor="text1"/>
        </w:rPr>
        <w:t>Morbidity and Mortality Weekly Report,</w:t>
      </w:r>
      <w:r w:rsidRPr="00290C19">
        <w:rPr>
          <w:rFonts w:ascii="Sylfaen" w:hAnsi="Sylfaen"/>
          <w:color w:val="000000" w:themeColor="text1"/>
        </w:rPr>
        <w:t xml:space="preserve"> 55(RR-17), pp. 1-37. [Online] Available at: &lt;</w:t>
      </w:r>
      <w:hyperlink r:id="rId21" w:history="1">
        <w:r w:rsidRPr="00290C19">
          <w:rPr>
            <w:rStyle w:val="Hyperlink"/>
            <w:rFonts w:ascii="Sylfaen" w:hAnsi="Sylfaen"/>
            <w:color w:val="000000" w:themeColor="text1"/>
          </w:rPr>
          <w:t>http://www.cdc.gov/mmwr/preview/mmwrhtml/rr5517a1.htm</w:t>
        </w:r>
      </w:hyperlink>
      <w:r w:rsidRPr="00290C19">
        <w:rPr>
          <w:rStyle w:val="Hyperlink"/>
          <w:rFonts w:ascii="Sylfaen" w:hAnsi="Sylfaen"/>
          <w:color w:val="000000" w:themeColor="text1"/>
        </w:rPr>
        <w:t>&gt;</w:t>
      </w:r>
      <w:r w:rsidRPr="00290C19">
        <w:rPr>
          <w:rFonts w:ascii="Sylfaen" w:hAnsi="Sylfaen"/>
          <w:color w:val="000000" w:themeColor="text1"/>
        </w:rPr>
        <w:t xml:space="preserve"> [Accessed: 24 April 2013].</w:t>
      </w:r>
    </w:p>
    <w:p w14:paraId="6379BB6E"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t xml:space="preserve">Lavine, J., et al. (2012) Short-Lived Immunity against Pertussis, Age-Specific Routes of Transmission and the Utility of a Teenage Booster Vaccine. </w:t>
      </w:r>
      <w:r w:rsidRPr="00290C19">
        <w:rPr>
          <w:rFonts w:ascii="Sylfaen" w:hAnsi="Sylfaen"/>
          <w:i/>
          <w:color w:val="000000" w:themeColor="text1"/>
        </w:rPr>
        <w:t>Vaccine,</w:t>
      </w:r>
      <w:r w:rsidRPr="00290C19">
        <w:rPr>
          <w:rFonts w:ascii="Sylfaen" w:hAnsi="Sylfaen"/>
          <w:color w:val="000000" w:themeColor="text1"/>
        </w:rPr>
        <w:t xml:space="preserve"> 30(3), pp. 544-551 Online at: &lt;</w:t>
      </w:r>
      <w:hyperlink r:id="rId22" w:history="1">
        <w:r w:rsidRPr="00290C19">
          <w:rPr>
            <w:rStyle w:val="Hyperlink"/>
            <w:rFonts w:ascii="Sylfaen" w:hAnsi="Sylfaen"/>
            <w:color w:val="000000" w:themeColor="text1"/>
          </w:rPr>
          <w:t>http://www.ncbi.nlm.nih.gov/pmc/articles/PMC3246080/pdf/nihms340699.pdf</w:t>
        </w:r>
      </w:hyperlink>
      <w:r w:rsidRPr="00290C19">
        <w:rPr>
          <w:rStyle w:val="Hyperlink"/>
          <w:rFonts w:ascii="Sylfaen" w:hAnsi="Sylfaen"/>
          <w:color w:val="000000" w:themeColor="text1"/>
        </w:rPr>
        <w:t>&gt;</w:t>
      </w:r>
      <w:r w:rsidRPr="00290C19">
        <w:rPr>
          <w:rFonts w:ascii="Sylfaen" w:hAnsi="Sylfaen"/>
          <w:color w:val="000000" w:themeColor="text1"/>
        </w:rPr>
        <w:t xml:space="preserve"> [Accessed: on: 23 April 2012].</w:t>
      </w:r>
    </w:p>
    <w:p w14:paraId="4ED1F59C"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t xml:space="preserve">Mandal, S., et al. (2012). Pertussis Pseudo-Outbreak Linked to Specimens Contaminated by Bordetella Pertussis DNA from Clinic Surfaces. </w:t>
      </w:r>
      <w:r w:rsidRPr="00290C19">
        <w:rPr>
          <w:rFonts w:ascii="Sylfaen" w:hAnsi="Sylfaen"/>
          <w:i/>
          <w:color w:val="000000" w:themeColor="text1"/>
        </w:rPr>
        <w:t>Pediatrics,</w:t>
      </w:r>
      <w:r w:rsidRPr="00290C19">
        <w:rPr>
          <w:rFonts w:ascii="Sylfaen" w:hAnsi="Sylfaen"/>
          <w:color w:val="000000" w:themeColor="text1"/>
        </w:rPr>
        <w:t xml:space="preserve"> 129, pp. e424-e430. [Online] Available at: &lt;</w:t>
      </w:r>
      <w:hyperlink r:id="rId23" w:history="1">
        <w:r w:rsidRPr="00290C19">
          <w:rPr>
            <w:rStyle w:val="Hyperlink"/>
            <w:rFonts w:ascii="Sylfaen" w:hAnsi="Sylfaen"/>
            <w:color w:val="000000" w:themeColor="text1"/>
          </w:rPr>
          <w:t>http://www.pediatricsdigest.mobi/content/129/2/e424.full.pdf+html</w:t>
        </w:r>
      </w:hyperlink>
      <w:r w:rsidRPr="00290C19">
        <w:rPr>
          <w:rStyle w:val="Hyperlink"/>
          <w:rFonts w:ascii="Sylfaen" w:hAnsi="Sylfaen"/>
          <w:color w:val="000000" w:themeColor="text1"/>
        </w:rPr>
        <w:t>&gt;</w:t>
      </w:r>
      <w:r w:rsidRPr="00290C19">
        <w:rPr>
          <w:rFonts w:ascii="Sylfaen" w:hAnsi="Sylfaen"/>
          <w:color w:val="000000" w:themeColor="text1"/>
        </w:rPr>
        <w:t xml:space="preserve"> [Accessed: 24 April 2013].</w:t>
      </w:r>
    </w:p>
    <w:p w14:paraId="070A68FE"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lang w:val="nl-BE"/>
        </w:rPr>
        <w:t xml:space="preserve">Misegades, L.K., et al. (2012). </w:t>
      </w:r>
      <w:r w:rsidRPr="00290C19">
        <w:rPr>
          <w:rFonts w:ascii="Sylfaen" w:hAnsi="Sylfaen"/>
          <w:color w:val="000000" w:themeColor="text1"/>
        </w:rPr>
        <w:t xml:space="preserve">Association of Childhood Pertussis with Receipt of 5 Doses of Pertussis Vaccine by Time since Last Vaccine Dose, California, 2010. </w:t>
      </w:r>
      <w:r w:rsidRPr="00290C19">
        <w:rPr>
          <w:rFonts w:ascii="Sylfaen" w:hAnsi="Sylfaen"/>
          <w:i/>
          <w:color w:val="000000" w:themeColor="text1"/>
        </w:rPr>
        <w:t>The Journal of American Medical Association</w:t>
      </w:r>
      <w:r w:rsidRPr="00290C19">
        <w:rPr>
          <w:rFonts w:ascii="Sylfaen" w:hAnsi="Sylfaen"/>
          <w:color w:val="000000" w:themeColor="text1"/>
        </w:rPr>
        <w:t>, 308(20), pp. 2126-2132.</w:t>
      </w:r>
    </w:p>
    <w:p w14:paraId="510D729D"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t>Rohani, P., and Drake, J.M. (2011). The Decline and Resurgence of Pertussis in the US. </w:t>
      </w:r>
      <w:r w:rsidRPr="00290C19">
        <w:rPr>
          <w:rFonts w:ascii="Sylfaen" w:hAnsi="Sylfaen"/>
          <w:i/>
          <w:iCs/>
          <w:color w:val="000000" w:themeColor="text1"/>
        </w:rPr>
        <w:t>Epidemics</w:t>
      </w:r>
      <w:r w:rsidRPr="00290C19">
        <w:rPr>
          <w:rFonts w:ascii="Sylfaen" w:hAnsi="Sylfaen"/>
          <w:color w:val="000000" w:themeColor="text1"/>
        </w:rPr>
        <w:t>, </w:t>
      </w:r>
      <w:r w:rsidRPr="00290C19">
        <w:rPr>
          <w:rFonts w:ascii="Sylfaen" w:hAnsi="Sylfaen"/>
          <w:iCs/>
          <w:color w:val="000000" w:themeColor="text1"/>
        </w:rPr>
        <w:t>3</w:t>
      </w:r>
      <w:r w:rsidRPr="00290C19">
        <w:rPr>
          <w:rFonts w:ascii="Sylfaen" w:hAnsi="Sylfaen"/>
          <w:color w:val="000000" w:themeColor="text1"/>
        </w:rPr>
        <w:t>(3), pp. 183-188.</w:t>
      </w:r>
    </w:p>
    <w:p w14:paraId="7EB3AA25"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t>Rohani, P., Zhong, X., and King, A.A. (2010). Contact Network Structure Explains the Changing Epidemiology of Pertussis. </w:t>
      </w:r>
      <w:r w:rsidRPr="00290C19">
        <w:rPr>
          <w:rFonts w:ascii="Sylfaen" w:hAnsi="Sylfaen"/>
          <w:i/>
          <w:color w:val="000000" w:themeColor="text1"/>
        </w:rPr>
        <w:t>Science,</w:t>
      </w:r>
      <w:r w:rsidRPr="00290C19">
        <w:rPr>
          <w:rFonts w:ascii="Sylfaen" w:hAnsi="Sylfaen"/>
          <w:color w:val="000000" w:themeColor="text1"/>
        </w:rPr>
        <w:t> 330(600), pp. 982–985.</w:t>
      </w:r>
    </w:p>
    <w:p w14:paraId="250B5C3A"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lastRenderedPageBreak/>
        <w:t xml:space="preserve">Romina, L., and Edwards, K.M. (2012). Re-Emergence of Pertussis: What Are the Solutions? </w:t>
      </w:r>
      <w:r w:rsidRPr="00290C19">
        <w:rPr>
          <w:rFonts w:ascii="Sylfaen" w:hAnsi="Sylfaen"/>
          <w:i/>
          <w:color w:val="000000" w:themeColor="text1"/>
        </w:rPr>
        <w:t>Vaccines,</w:t>
      </w:r>
      <w:r w:rsidRPr="00290C19">
        <w:rPr>
          <w:rFonts w:ascii="Sylfaen" w:hAnsi="Sylfaen"/>
          <w:color w:val="000000" w:themeColor="text1"/>
        </w:rPr>
        <w:t xml:space="preserve"> 11(11), pp. 1331-1346. [Online] Available at: &lt;</w:t>
      </w:r>
      <w:hyperlink r:id="rId24" w:history="1">
        <w:r w:rsidRPr="00290C19">
          <w:rPr>
            <w:rStyle w:val="Hyperlink"/>
            <w:rFonts w:ascii="Sylfaen" w:hAnsi="Sylfaen"/>
            <w:color w:val="000000" w:themeColor="text1"/>
          </w:rPr>
          <w:t>http://www.medscape.com/viewarticle/777012_6</w:t>
        </w:r>
      </w:hyperlink>
      <w:r w:rsidRPr="00290C19">
        <w:rPr>
          <w:rStyle w:val="Hyperlink"/>
          <w:rFonts w:ascii="Sylfaen" w:hAnsi="Sylfaen"/>
          <w:color w:val="000000" w:themeColor="text1"/>
        </w:rPr>
        <w:t>&gt;</w:t>
      </w:r>
      <w:r w:rsidRPr="00290C19">
        <w:rPr>
          <w:rFonts w:ascii="Sylfaen" w:hAnsi="Sylfaen"/>
          <w:color w:val="000000" w:themeColor="text1"/>
        </w:rPr>
        <w:t xml:space="preserve"> [Accessed: 24 April 2013].</w:t>
      </w:r>
    </w:p>
    <w:p w14:paraId="3FBB0CCF"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lang w:val="nl-BE"/>
        </w:rPr>
        <w:t xml:space="preserve">Schmidtke, A.J., et al. (2012). </w:t>
      </w:r>
      <w:r w:rsidRPr="00290C19">
        <w:rPr>
          <w:rFonts w:ascii="Sylfaen" w:hAnsi="Sylfaen"/>
          <w:color w:val="000000" w:themeColor="text1"/>
        </w:rPr>
        <w:t xml:space="preserve">Population Diversity among Bordetella Pertussis Isolates United States 1935-2009. </w:t>
      </w:r>
      <w:r w:rsidRPr="00290C19">
        <w:rPr>
          <w:rFonts w:ascii="Sylfaen" w:hAnsi="Sylfaen"/>
          <w:i/>
          <w:color w:val="000000" w:themeColor="text1"/>
        </w:rPr>
        <w:t xml:space="preserve">Emerging Infectious Diseases, </w:t>
      </w:r>
      <w:r w:rsidRPr="00290C19">
        <w:rPr>
          <w:rFonts w:ascii="Sylfaen" w:hAnsi="Sylfaen"/>
          <w:color w:val="000000" w:themeColor="text1"/>
        </w:rPr>
        <w:t>18(8), pp. 1248-1255.  [Online] Available at: &lt;</w:t>
      </w:r>
      <w:hyperlink r:id="rId25" w:history="1">
        <w:r w:rsidRPr="00290C19">
          <w:rPr>
            <w:rStyle w:val="Hyperlink"/>
            <w:rFonts w:ascii="Sylfaen" w:hAnsi="Sylfaen"/>
            <w:color w:val="000000" w:themeColor="text1"/>
          </w:rPr>
          <w:t>http://www.ncbi.nlm.nih.gov/pmc/articles/PMC3414039/</w:t>
        </w:r>
      </w:hyperlink>
      <w:r w:rsidRPr="00290C19">
        <w:rPr>
          <w:rStyle w:val="Hyperlink"/>
          <w:rFonts w:ascii="Sylfaen" w:hAnsi="Sylfaen"/>
          <w:color w:val="000000" w:themeColor="text1"/>
        </w:rPr>
        <w:t>&gt;</w:t>
      </w:r>
      <w:r w:rsidRPr="00290C19">
        <w:rPr>
          <w:rFonts w:ascii="Sylfaen" w:hAnsi="Sylfaen"/>
          <w:color w:val="000000" w:themeColor="text1"/>
        </w:rPr>
        <w:t xml:space="preserve"> [Accessed: 24 April 2013].</w:t>
      </w:r>
    </w:p>
    <w:p w14:paraId="14D34929"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lang w:val="nl-BE"/>
        </w:rPr>
        <w:t xml:space="preserve">Skowronski, D.M., et al. </w:t>
      </w:r>
      <w:r w:rsidRPr="00290C19">
        <w:rPr>
          <w:rFonts w:ascii="Sylfaen" w:hAnsi="Sylfaen"/>
          <w:color w:val="000000" w:themeColor="text1"/>
        </w:rPr>
        <w:t xml:space="preserve">(2012). The Number Needed to Vaccinate to Prevent Infant Pertussis Hospitalization and Death through Parent Cocoon Immunization. </w:t>
      </w:r>
      <w:r w:rsidRPr="00290C19">
        <w:rPr>
          <w:rFonts w:ascii="Sylfaen" w:hAnsi="Sylfaen"/>
          <w:i/>
          <w:color w:val="000000" w:themeColor="text1"/>
        </w:rPr>
        <w:t>Centre for Infectious Diseases,</w:t>
      </w:r>
      <w:r w:rsidRPr="00290C19">
        <w:rPr>
          <w:rFonts w:ascii="Sylfaen" w:hAnsi="Sylfaen"/>
          <w:color w:val="000000" w:themeColor="text1"/>
        </w:rPr>
        <w:t xml:space="preserve"> 54(3), pp. 318-327 [Online] Available at: &lt;</w:t>
      </w:r>
      <w:hyperlink r:id="rId26" w:history="1">
        <w:r w:rsidRPr="00290C19">
          <w:rPr>
            <w:rStyle w:val="Hyperlink"/>
            <w:rFonts w:ascii="Sylfaen" w:hAnsi="Sylfaen"/>
            <w:color w:val="000000" w:themeColor="text1"/>
          </w:rPr>
          <w:t>http://cid.oxfordjournals.org/content/54/3/318.full.pdf+html</w:t>
        </w:r>
      </w:hyperlink>
      <w:r w:rsidRPr="00290C19">
        <w:rPr>
          <w:rStyle w:val="Hyperlink"/>
          <w:rFonts w:ascii="Sylfaen" w:hAnsi="Sylfaen"/>
          <w:color w:val="000000" w:themeColor="text1"/>
        </w:rPr>
        <w:t>&gt;</w:t>
      </w:r>
      <w:r w:rsidRPr="00290C19">
        <w:rPr>
          <w:rFonts w:ascii="Sylfaen" w:hAnsi="Sylfaen"/>
          <w:color w:val="000000" w:themeColor="text1"/>
        </w:rPr>
        <w:t xml:space="preserve"> [Accessed: on: 25 April 2013].</w:t>
      </w:r>
    </w:p>
    <w:p w14:paraId="096B4718"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lang w:val="nl-BE"/>
        </w:rPr>
        <w:t xml:space="preserve">Talbot, E.A., et al. (2010). </w:t>
      </w:r>
      <w:r w:rsidRPr="00290C19">
        <w:rPr>
          <w:rFonts w:ascii="Sylfaen" w:hAnsi="Sylfaen"/>
          <w:color w:val="000000" w:themeColor="text1"/>
        </w:rPr>
        <w:t xml:space="preserve">The Safety of Immunizing with Tetanus-Diphteria-Acellular Pertussis Vaccine (Tdap) Less than 2 Years Following Tetanus Vaccination: Experience during a Mass Vaccination Campaign of Healthcare Personnel during a Respiratory Illness Outbreak. </w:t>
      </w:r>
      <w:r w:rsidRPr="00290C19">
        <w:rPr>
          <w:rFonts w:ascii="Sylfaen" w:hAnsi="Sylfaen"/>
          <w:i/>
          <w:color w:val="000000" w:themeColor="text1"/>
        </w:rPr>
        <w:t>Vaccine,</w:t>
      </w:r>
      <w:r w:rsidRPr="00290C19">
        <w:rPr>
          <w:rFonts w:ascii="Sylfaen" w:hAnsi="Sylfaen"/>
          <w:color w:val="000000" w:themeColor="text1"/>
        </w:rPr>
        <w:t xml:space="preserve"> 28(50), pp. 8001-8007.</w:t>
      </w:r>
    </w:p>
    <w:p w14:paraId="6E15BD83"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t xml:space="preserve">Tartof, S.Y., et al. (2013). Waning Immunity to Pertussis following 5 Doses of DTap. </w:t>
      </w:r>
      <w:r w:rsidRPr="00290C19">
        <w:rPr>
          <w:rFonts w:ascii="Sylfaen" w:hAnsi="Sylfaen"/>
          <w:i/>
          <w:color w:val="000000" w:themeColor="text1"/>
        </w:rPr>
        <w:t>Pediatrics,</w:t>
      </w:r>
      <w:r w:rsidRPr="00290C19">
        <w:rPr>
          <w:rFonts w:ascii="Sylfaen" w:hAnsi="Sylfaen"/>
          <w:color w:val="000000" w:themeColor="text1"/>
        </w:rPr>
        <w:t xml:space="preserve"> 131(4). [Online] Available at: &lt;</w:t>
      </w:r>
      <w:hyperlink r:id="rId27" w:history="1">
        <w:r w:rsidRPr="00290C19">
          <w:rPr>
            <w:rStyle w:val="Hyperlink"/>
            <w:rFonts w:ascii="Sylfaen" w:hAnsi="Sylfaen"/>
            <w:color w:val="000000" w:themeColor="text1"/>
          </w:rPr>
          <w:t>http://files.sld.cu/inmunologia/files/2013/03/2013-03-17-para-files-sld.pdf</w:t>
        </w:r>
      </w:hyperlink>
      <w:r w:rsidRPr="00290C19">
        <w:rPr>
          <w:rStyle w:val="Hyperlink"/>
          <w:rFonts w:ascii="Sylfaen" w:hAnsi="Sylfaen"/>
          <w:color w:val="000000" w:themeColor="text1"/>
        </w:rPr>
        <w:t>&gt;</w:t>
      </w:r>
      <w:r w:rsidRPr="00290C19">
        <w:rPr>
          <w:rFonts w:ascii="Sylfaen" w:hAnsi="Sylfaen"/>
          <w:color w:val="000000" w:themeColor="text1"/>
        </w:rPr>
        <w:t xml:space="preserve"> [Accessed: 24 April 2013].</w:t>
      </w:r>
    </w:p>
    <w:p w14:paraId="4C18E468"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lang w:val="nl-BE"/>
        </w:rPr>
        <w:t xml:space="preserve">Van Boven, M., et al. </w:t>
      </w:r>
      <w:r w:rsidRPr="00290C19">
        <w:rPr>
          <w:rFonts w:ascii="Sylfaen" w:hAnsi="Sylfaen"/>
          <w:color w:val="000000" w:themeColor="text1"/>
        </w:rPr>
        <w:t xml:space="preserve">(2000). Waning Immunity and Sub-Clinical Infection in an Epidemic Model: Implication for Pertussis in the Netherlands. </w:t>
      </w:r>
      <w:r w:rsidRPr="00290C19">
        <w:rPr>
          <w:rFonts w:ascii="Sylfaen" w:hAnsi="Sylfaen"/>
          <w:i/>
          <w:color w:val="000000" w:themeColor="text1"/>
        </w:rPr>
        <w:t>Mathematical Biosciences,</w:t>
      </w:r>
      <w:r w:rsidRPr="00290C19">
        <w:rPr>
          <w:rFonts w:ascii="Sylfaen" w:hAnsi="Sylfaen"/>
          <w:color w:val="000000" w:themeColor="text1"/>
        </w:rPr>
        <w:t xml:space="preserve"> 164, pp. 161-182. [Online] Available at: &lt;</w:t>
      </w:r>
      <w:hyperlink r:id="rId28" w:history="1">
        <w:r w:rsidRPr="00290C19">
          <w:rPr>
            <w:rStyle w:val="Hyperlink"/>
            <w:rFonts w:ascii="Sylfaen" w:hAnsi="Sylfaen"/>
            <w:color w:val="000000" w:themeColor="text1"/>
          </w:rPr>
          <w:t>http://elmu.umm.ac.id/file.php/1/jurnal/M/Mathematical%20Biosciences/Vol164.Issue2.Apr2000/6181.pdf</w:t>
        </w:r>
      </w:hyperlink>
      <w:r w:rsidRPr="00290C19">
        <w:rPr>
          <w:rStyle w:val="Hyperlink"/>
          <w:rFonts w:ascii="Sylfaen" w:hAnsi="Sylfaen"/>
          <w:color w:val="000000" w:themeColor="text1"/>
        </w:rPr>
        <w:t>&gt;</w:t>
      </w:r>
      <w:r w:rsidRPr="00290C19">
        <w:rPr>
          <w:rFonts w:ascii="Sylfaen" w:hAnsi="Sylfaen"/>
          <w:color w:val="000000" w:themeColor="text1"/>
        </w:rPr>
        <w:t xml:space="preserve"> [Accessed: 24 April 2013].</w:t>
      </w:r>
    </w:p>
    <w:p w14:paraId="6A44CBC0"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t xml:space="preserve">Vickers, D., et al. (2006). Whole-Cell and Acellular Pertussis Vaccination Programs and Rates of Pertussis among Infants and Young Children. </w:t>
      </w:r>
      <w:r w:rsidRPr="00290C19">
        <w:rPr>
          <w:rFonts w:ascii="Sylfaen" w:hAnsi="Sylfaen"/>
          <w:i/>
          <w:color w:val="000000" w:themeColor="text1"/>
        </w:rPr>
        <w:t>Canadian Medical Association Journal,</w:t>
      </w:r>
      <w:r w:rsidRPr="00290C19">
        <w:rPr>
          <w:rFonts w:ascii="Sylfaen" w:hAnsi="Sylfaen"/>
          <w:color w:val="000000" w:themeColor="text1"/>
        </w:rPr>
        <w:t xml:space="preserve"> 175(10). [Online] Available at: &lt;</w:t>
      </w:r>
      <w:hyperlink r:id="rId29" w:history="1">
        <w:r w:rsidRPr="00290C19">
          <w:rPr>
            <w:rStyle w:val="Hyperlink"/>
            <w:rFonts w:ascii="Sylfaen" w:hAnsi="Sylfaen"/>
            <w:color w:val="000000" w:themeColor="text1"/>
          </w:rPr>
          <w:t>http://www.ecmaj.ca/content/175/10/1213.full</w:t>
        </w:r>
      </w:hyperlink>
      <w:r w:rsidRPr="00290C19">
        <w:rPr>
          <w:rStyle w:val="Hyperlink"/>
          <w:rFonts w:ascii="Sylfaen" w:hAnsi="Sylfaen"/>
          <w:color w:val="000000" w:themeColor="text1"/>
        </w:rPr>
        <w:t>&gt;</w:t>
      </w:r>
      <w:r w:rsidRPr="00290C19">
        <w:rPr>
          <w:rFonts w:ascii="Sylfaen" w:hAnsi="Sylfaen"/>
          <w:color w:val="000000" w:themeColor="text1"/>
        </w:rPr>
        <w:t xml:space="preserve"> [Accessed: 24 April 2013].</w:t>
      </w:r>
    </w:p>
    <w:p w14:paraId="56820FBB"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lang w:val="nl-BE"/>
        </w:rPr>
        <w:t xml:space="preserve">Von Konig, C.H., et al. </w:t>
      </w:r>
      <w:r w:rsidRPr="00290C19">
        <w:rPr>
          <w:rFonts w:ascii="Sylfaen" w:hAnsi="Sylfaen"/>
          <w:color w:val="000000" w:themeColor="text1"/>
        </w:rPr>
        <w:t xml:space="preserve">(2002). Pertussis of Adults and Infants. </w:t>
      </w:r>
      <w:r w:rsidRPr="00290C19">
        <w:rPr>
          <w:rFonts w:ascii="Sylfaen" w:hAnsi="Sylfaen"/>
          <w:i/>
          <w:color w:val="000000" w:themeColor="text1"/>
        </w:rPr>
        <w:t>The Lancet Infectious Diseases,</w:t>
      </w:r>
      <w:r w:rsidRPr="00290C19">
        <w:rPr>
          <w:rFonts w:ascii="Sylfaen" w:hAnsi="Sylfaen"/>
          <w:color w:val="000000" w:themeColor="text1"/>
        </w:rPr>
        <w:t xml:space="preserve"> 2(12), pp. 744-750.</w:t>
      </w:r>
    </w:p>
    <w:p w14:paraId="30421A15"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lang w:val="nl-BE"/>
        </w:rPr>
        <w:t xml:space="preserve">Ward, J.I., et al. </w:t>
      </w:r>
      <w:r w:rsidRPr="00290C19">
        <w:rPr>
          <w:rFonts w:ascii="Sylfaen" w:hAnsi="Sylfaen"/>
          <w:color w:val="000000" w:themeColor="text1"/>
        </w:rPr>
        <w:t xml:space="preserve">(2005). Efficacy of an Acellular Pertussis Vaccine among Adolescents and Adults. </w:t>
      </w:r>
      <w:r w:rsidRPr="00290C19">
        <w:rPr>
          <w:rFonts w:ascii="Sylfaen" w:hAnsi="Sylfaen"/>
          <w:i/>
          <w:color w:val="000000" w:themeColor="text1"/>
        </w:rPr>
        <w:t>The New England Journal of Medicine,</w:t>
      </w:r>
      <w:r w:rsidRPr="00290C19">
        <w:rPr>
          <w:rFonts w:ascii="Sylfaen" w:hAnsi="Sylfaen"/>
          <w:color w:val="000000" w:themeColor="text1"/>
        </w:rPr>
        <w:t xml:space="preserve"> 353(15), pp. 1555-1563.</w:t>
      </w:r>
    </w:p>
    <w:p w14:paraId="6223D0D7"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lastRenderedPageBreak/>
        <w:t xml:space="preserve">Wearing, H.J., and Rohani, P. (2009). Estimating the Duration of Pertussis Immunity Using Epidemiological Signatures. </w:t>
      </w:r>
      <w:r w:rsidRPr="00290C19">
        <w:rPr>
          <w:rFonts w:ascii="Sylfaen" w:hAnsi="Sylfaen"/>
          <w:i/>
          <w:color w:val="000000" w:themeColor="text1"/>
        </w:rPr>
        <w:t>PLoS Pathogen,</w:t>
      </w:r>
      <w:r w:rsidRPr="00290C19">
        <w:rPr>
          <w:rFonts w:ascii="Sylfaen" w:hAnsi="Sylfaen"/>
          <w:color w:val="000000" w:themeColor="text1"/>
        </w:rPr>
        <w:t xml:space="preserve"> 5(10). [Online] at: &lt;</w:t>
      </w:r>
      <w:hyperlink r:id="rId30" w:history="1">
        <w:r w:rsidRPr="00290C19">
          <w:rPr>
            <w:rStyle w:val="Hyperlink"/>
            <w:rFonts w:ascii="Sylfaen" w:hAnsi="Sylfaen"/>
            <w:color w:val="000000" w:themeColor="text1"/>
          </w:rPr>
          <w:t>http://www.plospathogens.org/article/info%3Adoi%2F10.1371%2Fjournal.ppat.1000647</w:t>
        </w:r>
      </w:hyperlink>
      <w:r w:rsidRPr="00290C19">
        <w:rPr>
          <w:rStyle w:val="Hyperlink"/>
          <w:rFonts w:ascii="Sylfaen" w:hAnsi="Sylfaen"/>
          <w:color w:val="000000" w:themeColor="text1"/>
        </w:rPr>
        <w:t>&gt;</w:t>
      </w:r>
      <w:r w:rsidRPr="00290C19">
        <w:rPr>
          <w:rFonts w:ascii="Sylfaen" w:hAnsi="Sylfaen"/>
          <w:color w:val="000000" w:themeColor="text1"/>
        </w:rPr>
        <w:t xml:space="preserve"> [Accessed: 24 April 2013].</w:t>
      </w:r>
    </w:p>
    <w:p w14:paraId="5B9BFD60"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lang w:val="nl-BE"/>
        </w:rPr>
        <w:t xml:space="preserve">Wendelboe, A.M., et al. </w:t>
      </w:r>
      <w:r w:rsidRPr="00290C19">
        <w:rPr>
          <w:rFonts w:ascii="Sylfaen" w:hAnsi="Sylfaen"/>
          <w:color w:val="000000" w:themeColor="text1"/>
        </w:rPr>
        <w:t xml:space="preserve">(2005). Duration of Immunity against Pertussis after Natural Infection or Vaccination. </w:t>
      </w:r>
      <w:r w:rsidRPr="00290C19">
        <w:rPr>
          <w:rFonts w:ascii="Sylfaen" w:hAnsi="Sylfaen"/>
          <w:i/>
          <w:color w:val="000000" w:themeColor="text1"/>
        </w:rPr>
        <w:t>Pediatric Infectious Disease Journal,</w:t>
      </w:r>
      <w:r w:rsidRPr="00290C19">
        <w:rPr>
          <w:rFonts w:ascii="Sylfaen" w:hAnsi="Sylfaen"/>
          <w:color w:val="000000" w:themeColor="text1"/>
        </w:rPr>
        <w:t xml:space="preserve"> 24(5), pp. S58-S61.</w:t>
      </w:r>
    </w:p>
    <w:p w14:paraId="5B59D694"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t>World Health Organization (WHO)</w:t>
      </w:r>
      <w:r w:rsidRPr="00290C19">
        <w:rPr>
          <w:rFonts w:ascii="Sylfaen" w:hAnsi="Sylfaen"/>
          <w:i/>
          <w:color w:val="000000" w:themeColor="text1"/>
        </w:rPr>
        <w:t xml:space="preserve"> </w:t>
      </w:r>
      <w:r w:rsidRPr="00290C19">
        <w:rPr>
          <w:rFonts w:ascii="Sylfaen" w:hAnsi="Sylfaen"/>
          <w:color w:val="000000" w:themeColor="text1"/>
        </w:rPr>
        <w:t xml:space="preserve">(2010). Pertussis Vaccines: WHO Position Paper. </w:t>
      </w:r>
      <w:r w:rsidRPr="00290C19">
        <w:rPr>
          <w:rFonts w:ascii="Sylfaen" w:hAnsi="Sylfaen"/>
          <w:i/>
          <w:color w:val="000000" w:themeColor="text1"/>
        </w:rPr>
        <w:t>Weekly Epidemiological Record</w:t>
      </w:r>
      <w:r w:rsidRPr="00290C19">
        <w:rPr>
          <w:rFonts w:ascii="Sylfaen" w:hAnsi="Sylfaen"/>
          <w:color w:val="000000" w:themeColor="text1"/>
        </w:rPr>
        <w:t>, 40(85), pp. 385-400. [Online] Available at: &lt;</w:t>
      </w:r>
      <w:hyperlink r:id="rId31" w:history="1">
        <w:r w:rsidRPr="00290C19">
          <w:rPr>
            <w:rStyle w:val="Hyperlink"/>
            <w:rFonts w:ascii="Sylfaen" w:hAnsi="Sylfaen"/>
            <w:color w:val="000000" w:themeColor="text1"/>
          </w:rPr>
          <w:t>http://www.who.int/wer/2010/wer8540.pdf</w:t>
        </w:r>
      </w:hyperlink>
      <w:r w:rsidRPr="00290C19">
        <w:rPr>
          <w:rStyle w:val="Hyperlink"/>
          <w:rFonts w:ascii="Sylfaen" w:hAnsi="Sylfaen"/>
          <w:color w:val="000000" w:themeColor="text1"/>
        </w:rPr>
        <w:t>&gt;</w:t>
      </w:r>
      <w:r w:rsidRPr="00290C19">
        <w:rPr>
          <w:rFonts w:ascii="Sylfaen" w:hAnsi="Sylfaen"/>
          <w:color w:val="000000" w:themeColor="text1"/>
        </w:rPr>
        <w:t xml:space="preserve"> [Accessed: on: 25 April 2013].</w:t>
      </w:r>
    </w:p>
    <w:p w14:paraId="63C176B3"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t xml:space="preserve">World Health Organization (WHO) (2013). </w:t>
      </w:r>
      <w:r w:rsidRPr="00290C19">
        <w:rPr>
          <w:rFonts w:ascii="Sylfaen" w:hAnsi="Sylfaen"/>
          <w:i/>
          <w:color w:val="000000" w:themeColor="text1"/>
        </w:rPr>
        <w:t>Pertussis</w:t>
      </w:r>
      <w:r w:rsidRPr="00290C19">
        <w:rPr>
          <w:rFonts w:ascii="Sylfaen" w:hAnsi="Sylfaen"/>
          <w:color w:val="000000" w:themeColor="text1"/>
        </w:rPr>
        <w:t>. [Online] Available at: &lt;</w:t>
      </w:r>
      <w:hyperlink r:id="rId32" w:history="1">
        <w:r w:rsidRPr="00290C19">
          <w:rPr>
            <w:rStyle w:val="Hyperlink"/>
            <w:rFonts w:ascii="Sylfaen" w:hAnsi="Sylfaen"/>
            <w:color w:val="000000" w:themeColor="text1"/>
          </w:rPr>
          <w:t>http://www.who.int/topics/pertussis/en/</w:t>
        </w:r>
      </w:hyperlink>
      <w:r w:rsidRPr="00290C19">
        <w:rPr>
          <w:rFonts w:ascii="Sylfaen" w:hAnsi="Sylfaen"/>
          <w:color w:val="000000" w:themeColor="text1"/>
        </w:rPr>
        <w:t>&gt; [Accessed: 20 March 2013].</w:t>
      </w:r>
    </w:p>
    <w:p w14:paraId="52290476" w14:textId="78FCEF5F"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t xml:space="preserve">World Health Organization (WHO) (2010). Pertussis vaccines: WHO position paper. </w:t>
      </w:r>
      <w:r w:rsidRPr="00290C19">
        <w:rPr>
          <w:rFonts w:ascii="Sylfaen" w:hAnsi="Sylfaen"/>
          <w:i/>
          <w:color w:val="000000" w:themeColor="text1"/>
        </w:rPr>
        <w:t>Weekly Epidemiological Record,</w:t>
      </w:r>
      <w:r w:rsidRPr="00290C19">
        <w:rPr>
          <w:rFonts w:ascii="Sylfaen" w:hAnsi="Sylfaen"/>
          <w:color w:val="000000" w:themeColor="text1"/>
        </w:rPr>
        <w:t xml:space="preserve"> 40(85), pp. 385-400. [Online] Available at: &lt;</w:t>
      </w:r>
      <w:hyperlink r:id="rId33" w:history="1">
        <w:r w:rsidRPr="00290C19">
          <w:rPr>
            <w:rStyle w:val="Hyperlink"/>
            <w:rFonts w:ascii="Sylfaen" w:hAnsi="Sylfaen"/>
            <w:color w:val="000000" w:themeColor="text1"/>
          </w:rPr>
          <w:t>http://www.who.int/wer/2010/wer8540.pdf</w:t>
        </w:r>
      </w:hyperlink>
      <w:r w:rsidRPr="00290C19">
        <w:rPr>
          <w:rStyle w:val="Hyperlink"/>
          <w:rFonts w:ascii="Sylfaen" w:hAnsi="Sylfaen"/>
          <w:color w:val="000000" w:themeColor="text1"/>
        </w:rPr>
        <w:t>&gt;</w:t>
      </w:r>
      <w:r w:rsidRPr="00290C19">
        <w:rPr>
          <w:rFonts w:ascii="Sylfaen" w:hAnsi="Sylfaen"/>
          <w:color w:val="000000" w:themeColor="text1"/>
        </w:rPr>
        <w:t xml:space="preserve"> [Accessed: 20 March 2013].</w:t>
      </w:r>
    </w:p>
    <w:p w14:paraId="5156976F" w14:textId="1E3927B7" w:rsidR="00350441" w:rsidRPr="00290C19" w:rsidRDefault="00F6406E" w:rsidP="00290C19">
      <w:pPr>
        <w:spacing w:before="120" w:after="120" w:line="360" w:lineRule="auto"/>
        <w:jc w:val="both"/>
        <w:rPr>
          <w:rFonts w:ascii="Sylfaen" w:hAnsi="Sylfaen"/>
          <w:color w:val="000000" w:themeColor="text1"/>
        </w:rPr>
      </w:pPr>
      <w:r w:rsidRPr="00290C19">
        <w:rPr>
          <w:rFonts w:ascii="Sylfaen" w:hAnsi="Sylfaen"/>
          <w:color w:val="000000" w:themeColor="text1"/>
        </w:rPr>
        <w:t xml:space="preserve">Witt, M.A., Katz, P.H., and Witt, D.J. (2012). Unexpected Limited Durability of Immunity Following Acellular Pertussis Vaccination in Preadolescents in a North American Outbreak. </w:t>
      </w:r>
      <w:r w:rsidRPr="00290C19">
        <w:rPr>
          <w:rFonts w:ascii="Sylfaen" w:hAnsi="Sylfaen"/>
          <w:i/>
          <w:color w:val="000000" w:themeColor="text1"/>
        </w:rPr>
        <w:t>Clinical Infectious Diseases,</w:t>
      </w:r>
      <w:r w:rsidRPr="00290C19">
        <w:rPr>
          <w:rFonts w:ascii="Sylfaen" w:hAnsi="Sylfaen"/>
          <w:color w:val="000000" w:themeColor="text1"/>
        </w:rPr>
        <w:t xml:space="preserve"> 54(12), pp. 1730-1735. [Online] Available at: &lt;</w:t>
      </w:r>
      <w:hyperlink r:id="rId34" w:history="1">
        <w:r w:rsidRPr="00290C19">
          <w:rPr>
            <w:rStyle w:val="Hyperlink"/>
            <w:rFonts w:ascii="Sylfaen" w:hAnsi="Sylfaen"/>
            <w:color w:val="000000" w:themeColor="text1"/>
          </w:rPr>
          <w:t>http://kpbs.media.clients.ellingtoncms.com/news/documents/2012/08/14/Clin_Infect_Dis.-2012-Witt-1730-5.pdf</w:t>
        </w:r>
      </w:hyperlink>
      <w:r w:rsidRPr="00290C19">
        <w:rPr>
          <w:rStyle w:val="Hyperlink"/>
          <w:rFonts w:ascii="Sylfaen" w:hAnsi="Sylfaen"/>
          <w:color w:val="000000" w:themeColor="text1"/>
        </w:rPr>
        <w:t>&gt;</w:t>
      </w:r>
      <w:r w:rsidRPr="00290C19">
        <w:rPr>
          <w:rFonts w:ascii="Sylfaen" w:hAnsi="Sylfaen"/>
          <w:color w:val="000000" w:themeColor="text1"/>
        </w:rPr>
        <w:t xml:space="preserve"> [Accessed: 24 April 2013].</w:t>
      </w:r>
    </w:p>
    <w:p w14:paraId="11B559DF" w14:textId="77777777" w:rsidR="00290C19" w:rsidRPr="008D471A" w:rsidRDefault="00290C19" w:rsidP="00F6406E">
      <w:pPr>
        <w:spacing w:before="120" w:after="120" w:line="360" w:lineRule="auto"/>
        <w:jc w:val="both"/>
        <w:rPr>
          <w:rFonts w:ascii="Sylfaen" w:hAnsi="Sylfaen" w:cs="Times New Roman"/>
        </w:rPr>
      </w:pPr>
    </w:p>
    <w:p w14:paraId="60689433" w14:textId="1EBFFD06" w:rsidR="00A10993" w:rsidRPr="008C28AD" w:rsidRDefault="004B5389" w:rsidP="008C28AD">
      <w:pPr>
        <w:spacing w:before="120" w:after="120" w:line="360" w:lineRule="auto"/>
        <w:rPr>
          <w:rFonts w:ascii="Sylfaen" w:eastAsia="Times New Roman" w:hAnsi="Sylfaen" w:cs="Times New Roman"/>
          <w:color w:val="000000" w:themeColor="text1"/>
          <w:lang w:eastAsia="en-GB"/>
        </w:rPr>
      </w:pPr>
      <w:r w:rsidRPr="008D471A">
        <w:rPr>
          <w:rFonts w:ascii="Sylfaen" w:eastAsia="Times New Roman" w:hAnsi="Sylfaen" w:cs="Arial"/>
          <w:color w:val="000000" w:themeColor="text1"/>
          <w:shd w:val="clear" w:color="auto" w:fill="FFFFFF"/>
          <w:lang w:eastAsia="en-GB"/>
        </w:rPr>
        <w:t>©</w:t>
      </w:r>
      <w:r w:rsidR="002A3808">
        <w:rPr>
          <w:rFonts w:ascii="Sylfaen" w:eastAsia="Times New Roman" w:hAnsi="Sylfaen" w:cs="Arial"/>
          <w:color w:val="000000" w:themeColor="text1"/>
          <w:shd w:val="clear" w:color="auto" w:fill="FFFFFF"/>
          <w:lang w:eastAsia="en-GB"/>
        </w:rPr>
        <w:t>Frazer Merrit</w:t>
      </w:r>
      <w:r w:rsidRPr="008D471A">
        <w:rPr>
          <w:rFonts w:ascii="Sylfaen" w:eastAsia="Times New Roman" w:hAnsi="Sylfaen" w:cs="Arial"/>
          <w:color w:val="000000" w:themeColor="text1"/>
          <w:shd w:val="clear" w:color="auto" w:fill="FFFFFF"/>
          <w:lang w:eastAsia="en-GB"/>
        </w:rPr>
        <w:t>. This article is licensed under a Creative Commons Attribution 4.0 International Licence (CC BY).</w:t>
      </w:r>
    </w:p>
    <w:sectPr w:rsidR="00A10993" w:rsidRPr="008C28AD" w:rsidSect="005A7F7C">
      <w:headerReference w:type="default" r:id="rId35"/>
      <w:footerReference w:type="default" r:id="rId36"/>
      <w:footerReference w:type="first" r:id="rId3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BCB38" w14:textId="77777777" w:rsidR="00944D28" w:rsidRDefault="00944D28" w:rsidP="002B247D">
      <w:pPr>
        <w:spacing w:after="0" w:line="240" w:lineRule="auto"/>
      </w:pPr>
      <w:r>
        <w:separator/>
      </w:r>
    </w:p>
  </w:endnote>
  <w:endnote w:type="continuationSeparator" w:id="0">
    <w:p w14:paraId="1BD8473E" w14:textId="77777777" w:rsidR="00944D28" w:rsidRDefault="00944D28"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15D8AFE1" w:rsidR="00BE6334" w:rsidRPr="00990D5E" w:rsidRDefault="00BE6334" w:rsidP="008B2EFC">
        <w:pPr>
          <w:pStyle w:val="Footer"/>
          <w:jc w:val="center"/>
          <w:rPr>
            <w:rFonts w:ascii="Sylfaen" w:hAnsi="Sylfaen"/>
            <w:noProof/>
            <w:sz w:val="20"/>
            <w:szCs w:val="20"/>
          </w:rPr>
        </w:pPr>
        <w:r w:rsidRPr="00990D5E">
          <w:rPr>
            <w:rFonts w:ascii="Sylfaen" w:hAnsi="Sylfaen"/>
            <w:noProof/>
            <w:sz w:val="20"/>
            <w:szCs w:val="20"/>
          </w:rPr>
          <w:t>This article is CC BY</w:t>
        </w:r>
        <w:r w:rsidR="00FD48CB">
          <w:rPr>
            <w:rFonts w:ascii="Sylfaen" w:hAnsi="Sylfaen"/>
            <w:noProof/>
            <w:sz w:val="20"/>
            <w:szCs w:val="20"/>
          </w:rPr>
          <w:t xml:space="preserve"> Frazer Merritt</w:t>
        </w:r>
        <w:r w:rsidRPr="00990D5E">
          <w:rPr>
            <w:rFonts w:ascii="Sylfaen" w:hAnsi="Sylfaen"/>
            <w:noProof/>
            <w:sz w:val="20"/>
            <w:szCs w:val="20"/>
          </w:rPr>
          <w:tab/>
        </w:r>
        <w:r w:rsidRPr="00990D5E">
          <w:rPr>
            <w:rFonts w:ascii="Sylfaen" w:hAnsi="Sylfaen"/>
            <w:noProof/>
            <w:sz w:val="20"/>
            <w:szCs w:val="20"/>
          </w:rPr>
          <w:tab/>
          <w:t xml:space="preserve">Essex Student Journal, </w:t>
        </w:r>
        <w:r w:rsidR="00091FA9">
          <w:rPr>
            <w:rFonts w:ascii="Sylfaen" w:hAnsi="Sylfaen"/>
            <w:noProof/>
            <w:sz w:val="20"/>
            <w:szCs w:val="20"/>
          </w:rPr>
          <w:t>201</w:t>
        </w:r>
        <w:r w:rsidR="004060A3">
          <w:rPr>
            <w:rFonts w:ascii="Sylfaen" w:hAnsi="Sylfaen"/>
            <w:noProof/>
            <w:sz w:val="20"/>
            <w:szCs w:val="20"/>
          </w:rPr>
          <w:t>4</w:t>
        </w:r>
        <w:r w:rsidR="00091FA9">
          <w:rPr>
            <w:rFonts w:ascii="Sylfaen" w:hAnsi="Sylfaen"/>
            <w:noProof/>
            <w:sz w:val="20"/>
            <w:szCs w:val="20"/>
          </w:rPr>
          <w:t xml:space="preserve">, </w:t>
        </w:r>
        <w:r w:rsidR="008B2EFC">
          <w:rPr>
            <w:rFonts w:ascii="Sylfaen" w:hAnsi="Sylfaen"/>
            <w:noProof/>
            <w:sz w:val="20"/>
            <w:szCs w:val="20"/>
          </w:rPr>
          <w:t>Vol.</w:t>
        </w:r>
        <w:r w:rsidR="004060A3">
          <w:rPr>
            <w:rFonts w:ascii="Sylfaen" w:hAnsi="Sylfaen"/>
            <w:noProof/>
            <w:sz w:val="20"/>
            <w:szCs w:val="20"/>
          </w:rPr>
          <w:t>6</w:t>
        </w:r>
        <w:r w:rsidR="008B2EFC">
          <w:rPr>
            <w:rFonts w:ascii="Sylfaen" w:hAnsi="Sylfaen"/>
            <w:noProof/>
            <w:sz w:val="20"/>
            <w:szCs w:val="20"/>
          </w:rPr>
          <w:t>(</w:t>
        </w:r>
        <w:r w:rsidR="00331F5B">
          <w:rPr>
            <w:rFonts w:ascii="Sylfaen" w:hAnsi="Sylfaen"/>
            <w:noProof/>
            <w:sz w:val="20"/>
            <w:szCs w:val="20"/>
          </w:rPr>
          <w:t>2</w:t>
        </w:r>
        <w:r w:rsidR="008B2EFC">
          <w:rPr>
            <w:rFonts w:ascii="Sylfaen" w:hAnsi="Sylfaen"/>
            <w:noProof/>
            <w:sz w:val="20"/>
            <w:szCs w:val="20"/>
          </w:rPr>
          <w:t>)</w:t>
        </w:r>
      </w:p>
    </w:sdtContent>
  </w:sdt>
  <w:p w14:paraId="793C577F" w14:textId="13A6B0FB"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4060A3">
      <w:rPr>
        <w:rFonts w:ascii="Sylfaen" w:hAnsi="Sylfaen"/>
        <w:sz w:val="20"/>
        <w:szCs w:val="20"/>
      </w:rPr>
      <w:t>8</w:t>
    </w:r>
    <w:r w:rsidR="00FD48CB">
      <w:rPr>
        <w:rFonts w:ascii="Sylfaen" w:hAnsi="Sylfaen"/>
        <w:sz w:val="20"/>
        <w:szCs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E6FB9" w14:textId="77777777" w:rsidR="00944D28" w:rsidRDefault="00944D28" w:rsidP="002B247D">
      <w:pPr>
        <w:spacing w:after="0" w:line="240" w:lineRule="auto"/>
      </w:pPr>
      <w:r>
        <w:separator/>
      </w:r>
    </w:p>
  </w:footnote>
  <w:footnote w:type="continuationSeparator" w:id="0">
    <w:p w14:paraId="26B41F90" w14:textId="77777777" w:rsidR="00944D28" w:rsidRDefault="00944D28"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C6AD" w14:textId="77777777" w:rsidR="00FD48CB" w:rsidRPr="00FD48CB" w:rsidRDefault="00FD48CB" w:rsidP="00FD48CB">
    <w:pPr>
      <w:spacing w:after="0"/>
      <w:rPr>
        <w:rFonts w:ascii="Sylfaen" w:hAnsi="Sylfaen" w:cs="Times New Roman"/>
      </w:rPr>
    </w:pPr>
    <w:r w:rsidRPr="00FD48CB">
      <w:rPr>
        <w:rFonts w:ascii="Sylfaen" w:hAnsi="Sylfaen" w:cs="Times New Roman"/>
      </w:rPr>
      <w:t xml:space="preserve">Captain Bush and the White Whale of Mass Destruction: </w:t>
    </w:r>
    <w:r w:rsidRPr="00FD48CB">
      <w:rPr>
        <w:rFonts w:ascii="Sylfaen" w:hAnsi="Sylfaen" w:cs="Times New Roman"/>
        <w:i/>
        <w:iCs/>
      </w:rPr>
      <w:t>Moby-Dick</w:t>
    </w:r>
    <w:r w:rsidRPr="00FD48CB">
      <w:rPr>
        <w:rFonts w:ascii="Sylfaen" w:hAnsi="Sylfaen" w:cs="Times New Roman"/>
      </w:rPr>
      <w:t xml:space="preserve"> as a Meditation on America</w:t>
    </w:r>
  </w:p>
  <w:p w14:paraId="2194D3E8" w14:textId="08F9073B" w:rsidR="002B247D" w:rsidRPr="00FD48CB" w:rsidRDefault="002B247D" w:rsidP="004C4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A0E40"/>
    <w:multiLevelType w:val="hybridMultilevel"/>
    <w:tmpl w:val="9B22EC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3A96533"/>
    <w:multiLevelType w:val="hybridMultilevel"/>
    <w:tmpl w:val="D846AAE2"/>
    <w:lvl w:ilvl="0" w:tplc="E278CF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50608"/>
    <w:rsid w:val="00057F3F"/>
    <w:rsid w:val="0007067F"/>
    <w:rsid w:val="00082008"/>
    <w:rsid w:val="00091FA9"/>
    <w:rsid w:val="000F0C8E"/>
    <w:rsid w:val="00114047"/>
    <w:rsid w:val="00221F4A"/>
    <w:rsid w:val="00225451"/>
    <w:rsid w:val="00240FC1"/>
    <w:rsid w:val="00242733"/>
    <w:rsid w:val="0025429F"/>
    <w:rsid w:val="00290C19"/>
    <w:rsid w:val="002A3808"/>
    <w:rsid w:val="002B247D"/>
    <w:rsid w:val="002B25F7"/>
    <w:rsid w:val="002C2942"/>
    <w:rsid w:val="002C4464"/>
    <w:rsid w:val="002E3823"/>
    <w:rsid w:val="00304A6A"/>
    <w:rsid w:val="00313E93"/>
    <w:rsid w:val="00331418"/>
    <w:rsid w:val="00331F5B"/>
    <w:rsid w:val="003320E8"/>
    <w:rsid w:val="00350441"/>
    <w:rsid w:val="0036695E"/>
    <w:rsid w:val="00374289"/>
    <w:rsid w:val="003D43B9"/>
    <w:rsid w:val="003F3860"/>
    <w:rsid w:val="004060A3"/>
    <w:rsid w:val="004B5389"/>
    <w:rsid w:val="004C4CAE"/>
    <w:rsid w:val="005364B0"/>
    <w:rsid w:val="00567BD9"/>
    <w:rsid w:val="005A7F7C"/>
    <w:rsid w:val="00637440"/>
    <w:rsid w:val="00642356"/>
    <w:rsid w:val="006642DE"/>
    <w:rsid w:val="00692DB8"/>
    <w:rsid w:val="006A4B53"/>
    <w:rsid w:val="006C5947"/>
    <w:rsid w:val="0072460B"/>
    <w:rsid w:val="0077089A"/>
    <w:rsid w:val="007814FF"/>
    <w:rsid w:val="007A7FC4"/>
    <w:rsid w:val="007C25E7"/>
    <w:rsid w:val="007F4E0F"/>
    <w:rsid w:val="00815815"/>
    <w:rsid w:val="008630EA"/>
    <w:rsid w:val="008B2EFC"/>
    <w:rsid w:val="008C160E"/>
    <w:rsid w:val="008C28AD"/>
    <w:rsid w:val="008D471A"/>
    <w:rsid w:val="008E033B"/>
    <w:rsid w:val="008F3F5C"/>
    <w:rsid w:val="00913AF1"/>
    <w:rsid w:val="00944D28"/>
    <w:rsid w:val="0095198F"/>
    <w:rsid w:val="00990D5E"/>
    <w:rsid w:val="009A0883"/>
    <w:rsid w:val="009C10A8"/>
    <w:rsid w:val="009E26F7"/>
    <w:rsid w:val="00A10993"/>
    <w:rsid w:val="00A538B5"/>
    <w:rsid w:val="00A55EA2"/>
    <w:rsid w:val="00A62EA1"/>
    <w:rsid w:val="00AE38CB"/>
    <w:rsid w:val="00B06B12"/>
    <w:rsid w:val="00B322FB"/>
    <w:rsid w:val="00B77266"/>
    <w:rsid w:val="00B97E4D"/>
    <w:rsid w:val="00BB4EB3"/>
    <w:rsid w:val="00BC0C64"/>
    <w:rsid w:val="00BE6334"/>
    <w:rsid w:val="00C4128C"/>
    <w:rsid w:val="00D30E59"/>
    <w:rsid w:val="00D33279"/>
    <w:rsid w:val="00D35A7A"/>
    <w:rsid w:val="00D661AD"/>
    <w:rsid w:val="00DA1689"/>
    <w:rsid w:val="00DC2C3A"/>
    <w:rsid w:val="00DD1181"/>
    <w:rsid w:val="00E355F6"/>
    <w:rsid w:val="00E636BE"/>
    <w:rsid w:val="00E91DB0"/>
    <w:rsid w:val="00ED039A"/>
    <w:rsid w:val="00ED729A"/>
    <w:rsid w:val="00F241D4"/>
    <w:rsid w:val="00F6406E"/>
    <w:rsid w:val="00F76E5E"/>
    <w:rsid w:val="00FA50B7"/>
    <w:rsid w:val="00FC033B"/>
    <w:rsid w:val="00FC77AB"/>
    <w:rsid w:val="00FD48CB"/>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20"/>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06B12"/>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B06B12"/>
    <w:rPr>
      <w:rFonts w:ascii="Times New Roman" w:eastAsia="Times New Roman" w:hAnsi="Times New Roman" w:cs="Times New Roman"/>
      <w:sz w:val="21"/>
      <w:szCs w:val="21"/>
    </w:rPr>
  </w:style>
  <w:style w:type="character" w:customStyle="1" w:styleId="apple-style-span">
    <w:name w:val="apple-style-span"/>
    <w:basedOn w:val="DefaultParagraphFont"/>
    <w:rsid w:val="00114047"/>
  </w:style>
  <w:style w:type="character" w:styleId="Hyperlink">
    <w:name w:val="Hyperlink"/>
    <w:basedOn w:val="DefaultParagraphFont"/>
    <w:uiPriority w:val="99"/>
    <w:unhideWhenUsed/>
    <w:rsid w:val="003D43B9"/>
    <w:rPr>
      <w:color w:val="0000FF" w:themeColor="hyperlink"/>
      <w:u w:val="single"/>
    </w:rPr>
  </w:style>
  <w:style w:type="character" w:styleId="PlaceholderText">
    <w:name w:val="Placeholder Text"/>
    <w:basedOn w:val="DefaultParagraphFont"/>
    <w:uiPriority w:val="99"/>
    <w:semiHidden/>
    <w:rsid w:val="00F6406E"/>
    <w:rPr>
      <w:color w:val="808080"/>
    </w:rPr>
  </w:style>
  <w:style w:type="paragraph" w:styleId="BalloonText">
    <w:name w:val="Balloon Text"/>
    <w:basedOn w:val="Normal"/>
    <w:link w:val="BalloonTextChar"/>
    <w:uiPriority w:val="99"/>
    <w:semiHidden/>
    <w:unhideWhenUsed/>
    <w:rsid w:val="00F64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06E"/>
    <w:rPr>
      <w:rFonts w:ascii="Tahoma" w:hAnsi="Tahoma" w:cs="Tahoma"/>
      <w:sz w:val="16"/>
      <w:szCs w:val="16"/>
    </w:rPr>
  </w:style>
  <w:style w:type="character" w:styleId="CommentReference">
    <w:name w:val="annotation reference"/>
    <w:basedOn w:val="DefaultParagraphFont"/>
    <w:uiPriority w:val="99"/>
    <w:semiHidden/>
    <w:unhideWhenUsed/>
    <w:rsid w:val="00F6406E"/>
    <w:rPr>
      <w:sz w:val="16"/>
      <w:szCs w:val="16"/>
    </w:rPr>
  </w:style>
  <w:style w:type="paragraph" w:styleId="CommentText">
    <w:name w:val="annotation text"/>
    <w:basedOn w:val="Normal"/>
    <w:link w:val="CommentTextChar"/>
    <w:uiPriority w:val="99"/>
    <w:semiHidden/>
    <w:unhideWhenUsed/>
    <w:rsid w:val="00F6406E"/>
    <w:pPr>
      <w:spacing w:line="240" w:lineRule="auto"/>
    </w:pPr>
    <w:rPr>
      <w:sz w:val="20"/>
      <w:szCs w:val="20"/>
    </w:rPr>
  </w:style>
  <w:style w:type="character" w:customStyle="1" w:styleId="CommentTextChar">
    <w:name w:val="Comment Text Char"/>
    <w:basedOn w:val="DefaultParagraphFont"/>
    <w:link w:val="CommentText"/>
    <w:uiPriority w:val="99"/>
    <w:semiHidden/>
    <w:rsid w:val="00F6406E"/>
    <w:rPr>
      <w:sz w:val="20"/>
      <w:szCs w:val="20"/>
    </w:rPr>
  </w:style>
  <w:style w:type="paragraph" w:styleId="CommentSubject">
    <w:name w:val="annotation subject"/>
    <w:basedOn w:val="CommentText"/>
    <w:next w:val="CommentText"/>
    <w:link w:val="CommentSubjectChar"/>
    <w:uiPriority w:val="99"/>
    <w:semiHidden/>
    <w:unhideWhenUsed/>
    <w:rsid w:val="00F6406E"/>
    <w:rPr>
      <w:b/>
      <w:bCs/>
    </w:rPr>
  </w:style>
  <w:style w:type="character" w:customStyle="1" w:styleId="CommentSubjectChar">
    <w:name w:val="Comment Subject Char"/>
    <w:basedOn w:val="CommentTextChar"/>
    <w:link w:val="CommentSubject"/>
    <w:uiPriority w:val="99"/>
    <w:semiHidden/>
    <w:rsid w:val="00F6406E"/>
    <w:rPr>
      <w:b/>
      <w:bCs/>
      <w:sz w:val="20"/>
      <w:szCs w:val="20"/>
    </w:rPr>
  </w:style>
  <w:style w:type="paragraph" w:styleId="ListParagraph">
    <w:name w:val="List Paragraph"/>
    <w:basedOn w:val="Normal"/>
    <w:uiPriority w:val="34"/>
    <w:qFormat/>
    <w:rsid w:val="00F6406E"/>
    <w:pPr>
      <w:ind w:left="720"/>
      <w:contextualSpacing/>
    </w:pPr>
  </w:style>
  <w:style w:type="paragraph" w:styleId="Caption">
    <w:name w:val="caption"/>
    <w:basedOn w:val="Normal"/>
    <w:next w:val="Normal"/>
    <w:uiPriority w:val="35"/>
    <w:unhideWhenUsed/>
    <w:qFormat/>
    <w:rsid w:val="00F6406E"/>
    <w:pPr>
      <w:spacing w:line="240" w:lineRule="auto"/>
    </w:pPr>
    <w:rPr>
      <w:b/>
      <w:bCs/>
      <w:color w:val="4F81BD" w:themeColor="accent1"/>
      <w:sz w:val="18"/>
      <w:szCs w:val="18"/>
    </w:rPr>
  </w:style>
  <w:style w:type="character" w:styleId="Strong">
    <w:name w:val="Strong"/>
    <w:uiPriority w:val="22"/>
    <w:qFormat/>
    <w:rsid w:val="00F6406E"/>
    <w:rPr>
      <w:b/>
      <w:bCs/>
    </w:rPr>
  </w:style>
  <w:style w:type="character" w:styleId="FollowedHyperlink">
    <w:name w:val="FollowedHyperlink"/>
    <w:basedOn w:val="DefaultParagraphFont"/>
    <w:uiPriority w:val="99"/>
    <w:semiHidden/>
    <w:unhideWhenUsed/>
    <w:rsid w:val="00F640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mc/articles/PMC3357482/" TargetMode="External"/><Relationship Id="rId18" Type="http://schemas.openxmlformats.org/officeDocument/2006/relationships/hyperlink" Target="http://www.hpa.org.uk/webc/HPAwebFile/HPAweb_C/1287142671506" TargetMode="External"/><Relationship Id="rId26" Type="http://schemas.openxmlformats.org/officeDocument/2006/relationships/hyperlink" Target="http://cid.oxfordjournals.org/content/54/3/318.full.pdf+html" TargetMode="External"/><Relationship Id="rId39" Type="http://schemas.openxmlformats.org/officeDocument/2006/relationships/theme" Target="theme/theme1.xml"/><Relationship Id="rId21" Type="http://schemas.openxmlformats.org/officeDocument/2006/relationships/hyperlink" Target="http://www.cdc.gov/mmwr/preview/mmwrhtml/rr5517a1.htm" TargetMode="External"/><Relationship Id="rId34" Type="http://schemas.openxmlformats.org/officeDocument/2006/relationships/hyperlink" Target="http://kpbs.media.clients.ellingtoncms.com/news/documents/2012/08/14/Clin_Infect_Dis.-2012-Witt-1730-5.pdf" TargetMode="External"/><Relationship Id="rId7" Type="http://schemas.openxmlformats.org/officeDocument/2006/relationships/endnotes" Target="endnotes.xml"/><Relationship Id="rId12" Type="http://schemas.openxmlformats.org/officeDocument/2006/relationships/hyperlink" Target="http://www.cdc.gov/Features/Pertussis/" TargetMode="External"/><Relationship Id="rId17" Type="http://schemas.openxmlformats.org/officeDocument/2006/relationships/hyperlink" Target="http://www.hpa.org.uk/webw/HPAwebandHPA%20webStandard/HPAweb_C/1317137240199" TargetMode="External"/><Relationship Id="rId25" Type="http://schemas.openxmlformats.org/officeDocument/2006/relationships/hyperlink" Target="http://www.ncbi.nlm.nih.gov/pmc/articles/PMC3414039/" TargetMode="External"/><Relationship Id="rId33" Type="http://schemas.openxmlformats.org/officeDocument/2006/relationships/hyperlink" Target="http://www.who.int/wer/2010/wer8540.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mc/articles/PMC2094806/pdf/JID12074.pdf" TargetMode="External"/><Relationship Id="rId20" Type="http://schemas.openxmlformats.org/officeDocument/2006/relationships/hyperlink" Target="http://idahoimmune.org/pdfs/NEJMoa1200850.pdf" TargetMode="External"/><Relationship Id="rId29" Type="http://schemas.openxmlformats.org/officeDocument/2006/relationships/hyperlink" Target="http://www.ecmaj.ca/content/175/10/1213.fu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pertussis/outbreaks.html" TargetMode="External"/><Relationship Id="rId24" Type="http://schemas.openxmlformats.org/officeDocument/2006/relationships/hyperlink" Target="http://www.medscape.com/viewarticle/777012_6" TargetMode="External"/><Relationship Id="rId32" Type="http://schemas.openxmlformats.org/officeDocument/2006/relationships/hyperlink" Target="http://www.who.int/topics/pertussis/en/"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ealth.gov.au/internet/main/publishing.nsf/content/cda-cdi3402-pdf-cnt.htm/$FILE/cdi3402e.pdf" TargetMode="External"/><Relationship Id="rId23" Type="http://schemas.openxmlformats.org/officeDocument/2006/relationships/hyperlink" Target="http://www.pediatricsdigest.mobi/content/129/2/e424.full.pdf+html" TargetMode="External"/><Relationship Id="rId28" Type="http://schemas.openxmlformats.org/officeDocument/2006/relationships/hyperlink" Target="http://elmu.umm.ac.id/file.php/1/jurnal/M/Mathematical%20Biosciences/Vol164.Issue2.Apr2000/6181.pdf" TargetMode="External"/><Relationship Id="rId36" Type="http://schemas.openxmlformats.org/officeDocument/2006/relationships/footer" Target="footer1.xml"/><Relationship Id="rId10" Type="http://schemas.openxmlformats.org/officeDocument/2006/relationships/hyperlink" Target="http://www.cdc.gov/pertussis'/surv-reporting.html" TargetMode="External"/><Relationship Id="rId19" Type="http://schemas.openxmlformats.org/officeDocument/2006/relationships/hyperlink" Target="http://www.hpa.org.uk/NewsCentre/NationalPressReleases/2013PressReleases/130301Casesofwhoopingcoughcontinuetodecrease/" TargetMode="External"/><Relationship Id="rId31" Type="http://schemas.openxmlformats.org/officeDocument/2006/relationships/hyperlink" Target="http://www.who.int/wer/2010/wer8540.pdf" TargetMode="External"/><Relationship Id="rId4" Type="http://schemas.openxmlformats.org/officeDocument/2006/relationships/settings" Target="settings.xml"/><Relationship Id="rId9" Type="http://schemas.openxmlformats.org/officeDocument/2006/relationships/hyperlink" Target="http://www.ncbi.nlm.nih.gov/pmc/articles/PMC2981935/" TargetMode="External"/><Relationship Id="rId14" Type="http://schemas.openxmlformats.org/officeDocument/2006/relationships/hyperlink" Target="http://www.cdc.gov/vaccines/pubs/surv-manual/index.html" TargetMode="External"/><Relationship Id="rId22" Type="http://schemas.openxmlformats.org/officeDocument/2006/relationships/hyperlink" Target="http://www.ncbi.nlm.nih.gov/pmc/articles/PMC3246080/pdf/nihms340699.pdf" TargetMode="External"/><Relationship Id="rId27" Type="http://schemas.openxmlformats.org/officeDocument/2006/relationships/hyperlink" Target="http://files.sld.cu/inmunologia/files/2013/03/2013-03-17-para-files-sld.pdf" TargetMode="External"/><Relationship Id="rId30" Type="http://schemas.openxmlformats.org/officeDocument/2006/relationships/hyperlink" Target="http://www.plospathogens.org/article/info%3Adoi%2F10.1371%2Fjournal.ppat.1000647" TargetMode="External"/><Relationship Id="rId35" Type="http://schemas.openxmlformats.org/officeDocument/2006/relationships/header" Target="header1.xml"/><Relationship Id="rId8" Type="http://schemas.openxmlformats.org/officeDocument/2006/relationships/hyperlink" Target="http://www.jabfm.org/content/19/6/603.ful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4813</Words>
  <Characters>27436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3</cp:revision>
  <dcterms:created xsi:type="dcterms:W3CDTF">2022-02-02T15:12:00Z</dcterms:created>
  <dcterms:modified xsi:type="dcterms:W3CDTF">2022-02-09T09:32:00Z</dcterms:modified>
</cp:coreProperties>
</file>